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6"/>
        <w:spacing w:after="0"/>
        <w:rPr>
          <w:sz w:val="20"/>
          <w:szCs w:val="20"/>
          <w:color w:val="auto"/>
        </w:rPr>
      </w:pPr>
      <w:r>
        <w:rPr>
          <w:rFonts w:ascii="Arial" w:cs="Arial" w:eastAsia="Arial" w:hAnsi="Arial"/>
          <w:sz w:val="28"/>
          <w:szCs w:val="28"/>
          <w:b w:val="1"/>
          <w:bCs w:val="1"/>
          <w:color w:val="auto"/>
        </w:rPr>
        <w:t>UNITED STATES</w:t>
      </w:r>
    </w:p>
    <w:p>
      <w:pPr>
        <w:spacing w:after="0" w:line="24" w:lineRule="exact"/>
        <w:rPr>
          <w:sz w:val="24"/>
          <w:szCs w:val="24"/>
          <w:color w:val="auto"/>
        </w:rPr>
      </w:pPr>
    </w:p>
    <w:p>
      <w:pPr>
        <w:jc w:val="center"/>
        <w:ind w:right="156"/>
        <w:spacing w:after="0"/>
        <w:rPr>
          <w:sz w:val="20"/>
          <w:szCs w:val="20"/>
          <w:color w:val="auto"/>
        </w:rPr>
      </w:pPr>
      <w:r>
        <w:rPr>
          <w:rFonts w:ascii="Arial" w:cs="Arial" w:eastAsia="Arial" w:hAnsi="Arial"/>
          <w:sz w:val="14"/>
          <w:szCs w:val="14"/>
          <w:b w:val="1"/>
          <w:bCs w:val="1"/>
          <w:color w:val="auto"/>
        </w:rPr>
        <w:t>SECURITIES AND EXCHANGE COMMISSION</w:t>
      </w:r>
    </w:p>
    <w:p>
      <w:pPr>
        <w:jc w:val="center"/>
        <w:ind w:right="156"/>
        <w:spacing w:after="0"/>
        <w:rPr>
          <w:sz w:val="20"/>
          <w:szCs w:val="20"/>
          <w:color w:val="auto"/>
        </w:rPr>
      </w:pPr>
      <w:r>
        <w:rPr>
          <w:rFonts w:ascii="Arial" w:cs="Arial" w:eastAsia="Arial" w:hAnsi="Arial"/>
          <w:sz w:val="19"/>
          <w:szCs w:val="19"/>
          <w:color w:val="auto"/>
        </w:rPr>
        <w:t>Washington, D.C. 20549</w:t>
      </w:r>
    </w:p>
    <w:p>
      <w:pPr>
        <w:spacing w:after="0" w:line="103" w:lineRule="exact"/>
        <w:rPr>
          <w:sz w:val="24"/>
          <w:szCs w:val="24"/>
          <w:color w:val="auto"/>
        </w:rPr>
      </w:pPr>
    </w:p>
    <w:p>
      <w:pPr>
        <w:jc w:val="center"/>
        <w:ind w:right="156"/>
        <w:spacing w:after="0"/>
        <w:rPr>
          <w:sz w:val="20"/>
          <w:szCs w:val="20"/>
          <w:color w:val="auto"/>
        </w:rPr>
      </w:pPr>
      <w:r>
        <w:rPr>
          <w:rFonts w:ascii="Arial" w:cs="Arial" w:eastAsia="Arial" w:hAnsi="Arial"/>
          <w:sz w:val="25"/>
          <w:szCs w:val="25"/>
          <w:b w:val="1"/>
          <w:bCs w:val="1"/>
          <w:color w:val="auto"/>
        </w:rPr>
        <w:t>FORM 10-Q</w:t>
      </w:r>
    </w:p>
    <w:p>
      <w:pPr>
        <w:spacing w:after="0" w:line="131" w:lineRule="exact"/>
        <w:rPr>
          <w:sz w:val="24"/>
          <w:szCs w:val="24"/>
          <w:color w:val="auto"/>
        </w:rPr>
      </w:pPr>
    </w:p>
    <w:p>
      <w:pPr>
        <w:ind w:left="4" w:right="879" w:hanging="4"/>
        <w:spacing w:after="0" w:line="263" w:lineRule="auto"/>
        <w:tabs>
          <w:tab w:leader="none" w:pos="26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2020</w:t>
      </w:r>
    </w:p>
    <w:p>
      <w:pPr>
        <w:jc w:val="center"/>
        <w:ind w:right="156"/>
        <w:spacing w:after="0"/>
        <w:rPr>
          <w:sz w:val="20"/>
          <w:szCs w:val="20"/>
          <w:color w:val="auto"/>
        </w:rPr>
      </w:pPr>
      <w:r>
        <w:rPr>
          <w:rFonts w:ascii="Arial" w:cs="Arial" w:eastAsia="Arial" w:hAnsi="Arial"/>
          <w:sz w:val="19"/>
          <w:szCs w:val="19"/>
          <w:b w:val="1"/>
          <w:bCs w:val="1"/>
          <w:color w:val="auto"/>
        </w:rPr>
        <w:t>or</w:t>
      </w:r>
    </w:p>
    <w:p>
      <w:pPr>
        <w:spacing w:after="0" w:line="118" w:lineRule="exact"/>
        <w:rPr>
          <w:sz w:val="24"/>
          <w:szCs w:val="24"/>
          <w:color w:val="auto"/>
        </w:rPr>
      </w:pPr>
    </w:p>
    <w:p>
      <w:pPr>
        <w:ind w:left="4" w:right="939" w:hanging="4"/>
        <w:spacing w:after="0" w:line="286" w:lineRule="auto"/>
        <w:tabs>
          <w:tab w:leader="none" w:pos="96"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 TRANSITION REPORT PURSUANT TO SECTION 13 OR 15(d) OF THE SECURITIES EXCHANGE ACT OF 1934 For the transition period from _____ to ________</w:t>
      </w:r>
    </w:p>
    <w:p>
      <w:pPr>
        <w:spacing w:after="0" w:line="68" w:lineRule="exact"/>
        <w:rPr>
          <w:sz w:val="24"/>
          <w:szCs w:val="24"/>
          <w:color w:val="auto"/>
        </w:rPr>
      </w:pPr>
    </w:p>
    <w:p>
      <w:pPr>
        <w:jc w:val="center"/>
        <w:ind w:right="156"/>
        <w:spacing w:after="0"/>
        <w:rPr>
          <w:sz w:val="20"/>
          <w:szCs w:val="20"/>
          <w:color w:val="auto"/>
        </w:rPr>
      </w:pPr>
      <w:r>
        <w:rPr>
          <w:rFonts w:ascii="Arial" w:cs="Arial" w:eastAsia="Arial" w:hAnsi="Arial"/>
          <w:sz w:val="19"/>
          <w:szCs w:val="19"/>
          <w:b w:val="1"/>
          <w:bCs w:val="1"/>
          <w:color w:val="auto"/>
        </w:rPr>
        <w:t>Commission File Number: 000-09341</w:t>
      </w:r>
    </w:p>
    <w:p>
      <w:pPr>
        <w:spacing w:after="0" w:line="125" w:lineRule="exact"/>
        <w:rPr>
          <w:sz w:val="24"/>
          <w:szCs w:val="24"/>
          <w:color w:val="auto"/>
        </w:rPr>
      </w:pPr>
    </w:p>
    <w:p>
      <w:pPr>
        <w:jc w:val="center"/>
        <w:ind w:right="156"/>
        <w:spacing w:after="0"/>
        <w:rPr>
          <w:sz w:val="20"/>
          <w:szCs w:val="20"/>
          <w:color w:val="auto"/>
        </w:rPr>
      </w:pPr>
      <w:r>
        <w:rPr>
          <w:rFonts w:ascii="Arial" w:cs="Arial" w:eastAsia="Arial" w:hAnsi="Arial"/>
          <w:sz w:val="14"/>
          <w:szCs w:val="14"/>
          <w:b w:val="1"/>
          <w:bCs w:val="1"/>
          <w:color w:val="auto"/>
        </w:rPr>
        <w:t>SECURITY NATIONAL FINANCIAL CORPORATION</w:t>
      </w:r>
    </w:p>
    <w:p>
      <w:pPr>
        <w:spacing w:after="0" w:line="11" w:lineRule="exact"/>
        <w:rPr>
          <w:sz w:val="24"/>
          <w:szCs w:val="24"/>
          <w:color w:val="auto"/>
        </w:rPr>
      </w:pPr>
    </w:p>
    <w:p>
      <w:pPr>
        <w:jc w:val="center"/>
        <w:ind w:right="156"/>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19" w:lineRule="exact"/>
        <w:rPr>
          <w:sz w:val="24"/>
          <w:szCs w:val="24"/>
          <w:color w:val="auto"/>
        </w:rPr>
      </w:pPr>
    </w:p>
    <w:tbl>
      <w:tblPr>
        <w:tblLayout w:type="fixed"/>
        <w:tblInd w:w="1024" w:type="dxa"/>
        <w:tblCellMar>
          <w:top w:w="0" w:type="dxa"/>
          <w:left w:w="0" w:type="dxa"/>
          <w:bottom w:w="0" w:type="dxa"/>
          <w:right w:w="0" w:type="dxa"/>
        </w:tblCellMar>
      </w:tblPr>
      <w:tr>
        <w:trPr>
          <w:trHeight w:val="252"/>
        </w:trPr>
        <w:tc>
          <w:tcPr>
            <w:tcW w:w="4400" w:type="dxa"/>
            <w:vAlign w:val="bottom"/>
          </w:tcPr>
          <w:p>
            <w:pPr>
              <w:jc w:val="center"/>
              <w:ind w:right="332"/>
              <w:spacing w:after="0"/>
              <w:rPr>
                <w:sz w:val="20"/>
                <w:szCs w:val="20"/>
                <w:color w:val="auto"/>
              </w:rPr>
            </w:pPr>
            <w:r>
              <w:rPr>
                <w:rFonts w:ascii="Arial" w:cs="Arial" w:eastAsia="Arial" w:hAnsi="Arial"/>
                <w:sz w:val="19"/>
                <w:szCs w:val="19"/>
                <w:b w:val="1"/>
                <w:bCs w:val="1"/>
                <w:color w:val="auto"/>
              </w:rPr>
              <w:t>UTAH</w:t>
            </w:r>
          </w:p>
        </w:tc>
        <w:tc>
          <w:tcPr>
            <w:tcW w:w="2680" w:type="dxa"/>
            <w:vAlign w:val="bottom"/>
          </w:tcPr>
          <w:p>
            <w:pPr>
              <w:jc w:val="right"/>
              <w:ind w:right="572"/>
              <w:spacing w:after="0"/>
              <w:rPr>
                <w:sz w:val="20"/>
                <w:szCs w:val="20"/>
                <w:color w:val="auto"/>
              </w:rPr>
            </w:pPr>
            <w:r>
              <w:rPr>
                <w:rFonts w:ascii="Arial" w:cs="Arial" w:eastAsia="Arial" w:hAnsi="Arial"/>
                <w:sz w:val="19"/>
                <w:szCs w:val="19"/>
                <w:b w:val="1"/>
                <w:bCs w:val="1"/>
                <w:color w:val="auto"/>
              </w:rPr>
              <w:t>87-0345941</w:t>
            </w:r>
          </w:p>
        </w:tc>
      </w:tr>
      <w:tr>
        <w:trPr>
          <w:trHeight w:val="212"/>
        </w:trPr>
        <w:tc>
          <w:tcPr>
            <w:tcW w:w="4400" w:type="dxa"/>
            <w:vAlign w:val="bottom"/>
          </w:tcPr>
          <w:p>
            <w:pPr>
              <w:jc w:val="center"/>
              <w:ind w:right="332"/>
              <w:spacing w:after="0"/>
              <w:rPr>
                <w:sz w:val="20"/>
                <w:szCs w:val="20"/>
                <w:color w:val="auto"/>
              </w:rPr>
            </w:pPr>
            <w:r>
              <w:rPr>
                <w:rFonts w:ascii="Arial" w:cs="Arial" w:eastAsia="Arial" w:hAnsi="Arial"/>
                <w:sz w:val="16"/>
                <w:szCs w:val="16"/>
                <w:i w:val="1"/>
                <w:iCs w:val="1"/>
                <w:color w:val="auto"/>
                <w:w w:val="93"/>
              </w:rPr>
              <w:t>(State or other jurisdiction of incorporation or organization)</w:t>
            </w:r>
          </w:p>
        </w:tc>
        <w:tc>
          <w:tcPr>
            <w:tcW w:w="2680" w:type="dxa"/>
            <w:vAlign w:val="bottom"/>
          </w:tcPr>
          <w:p>
            <w:pPr>
              <w:jc w:val="center"/>
              <w:ind w:left="332"/>
              <w:spacing w:after="0"/>
              <w:rPr>
                <w:sz w:val="20"/>
                <w:szCs w:val="20"/>
                <w:color w:val="auto"/>
              </w:rPr>
            </w:pPr>
            <w:r>
              <w:rPr>
                <w:rFonts w:ascii="Arial" w:cs="Arial" w:eastAsia="Arial" w:hAnsi="Arial"/>
                <w:sz w:val="16"/>
                <w:szCs w:val="16"/>
                <w:i w:val="1"/>
                <w:iCs w:val="1"/>
                <w:color w:val="auto"/>
                <w:w w:val="91"/>
              </w:rPr>
              <w:t>(I.R.S. Employer Identification No.)</w:t>
            </w:r>
          </w:p>
        </w:tc>
      </w:tr>
      <w:tr>
        <w:trPr>
          <w:trHeight w:val="408"/>
        </w:trPr>
        <w:tc>
          <w:tcPr>
            <w:tcW w:w="4400" w:type="dxa"/>
            <w:vAlign w:val="bottom"/>
          </w:tcPr>
          <w:p>
            <w:pPr>
              <w:jc w:val="center"/>
              <w:ind w:right="312"/>
              <w:spacing w:after="0"/>
              <w:rPr>
                <w:sz w:val="20"/>
                <w:szCs w:val="20"/>
                <w:color w:val="auto"/>
              </w:rPr>
            </w:pPr>
            <w:r>
              <w:rPr>
                <w:rFonts w:ascii="Arial" w:cs="Arial" w:eastAsia="Arial" w:hAnsi="Arial"/>
                <w:sz w:val="19"/>
                <w:szCs w:val="19"/>
                <w:b w:val="1"/>
                <w:bCs w:val="1"/>
                <w:color w:val="auto"/>
                <w:w w:val="92"/>
              </w:rPr>
              <w:t>121 West Election Road, Suite 100, Draper, Utah</w:t>
            </w:r>
          </w:p>
        </w:tc>
        <w:tc>
          <w:tcPr>
            <w:tcW w:w="2680" w:type="dxa"/>
            <w:vAlign w:val="bottom"/>
          </w:tcPr>
          <w:p>
            <w:pPr>
              <w:jc w:val="right"/>
              <w:ind w:right="792"/>
              <w:spacing w:after="0"/>
              <w:rPr>
                <w:sz w:val="20"/>
                <w:szCs w:val="20"/>
                <w:color w:val="auto"/>
              </w:rPr>
            </w:pPr>
            <w:r>
              <w:rPr>
                <w:rFonts w:ascii="Arial" w:cs="Arial" w:eastAsia="Arial" w:hAnsi="Arial"/>
                <w:sz w:val="19"/>
                <w:szCs w:val="19"/>
                <w:b w:val="1"/>
                <w:bCs w:val="1"/>
                <w:color w:val="auto"/>
              </w:rPr>
              <w:t>84020</w:t>
            </w:r>
          </w:p>
        </w:tc>
      </w:tr>
      <w:tr>
        <w:trPr>
          <w:trHeight w:val="212"/>
        </w:trPr>
        <w:tc>
          <w:tcPr>
            <w:tcW w:w="4400" w:type="dxa"/>
            <w:vAlign w:val="bottom"/>
          </w:tcPr>
          <w:p>
            <w:pPr>
              <w:jc w:val="center"/>
              <w:ind w:right="312"/>
              <w:spacing w:after="0"/>
              <w:rPr>
                <w:sz w:val="20"/>
                <w:szCs w:val="20"/>
                <w:color w:val="auto"/>
              </w:rPr>
            </w:pPr>
            <w:r>
              <w:rPr>
                <w:rFonts w:ascii="Arial" w:cs="Arial" w:eastAsia="Arial" w:hAnsi="Arial"/>
                <w:sz w:val="16"/>
                <w:szCs w:val="16"/>
                <w:i w:val="1"/>
                <w:iCs w:val="1"/>
                <w:color w:val="auto"/>
                <w:w w:val="90"/>
              </w:rPr>
              <w:t>(Address of principal executive offices)</w:t>
            </w:r>
          </w:p>
        </w:tc>
        <w:tc>
          <w:tcPr>
            <w:tcW w:w="2680" w:type="dxa"/>
            <w:vAlign w:val="bottom"/>
          </w:tcPr>
          <w:p>
            <w:pPr>
              <w:jc w:val="center"/>
              <w:ind w:left="332"/>
              <w:spacing w:after="0"/>
              <w:rPr>
                <w:sz w:val="20"/>
                <w:szCs w:val="20"/>
                <w:color w:val="auto"/>
              </w:rPr>
            </w:pPr>
            <w:r>
              <w:rPr>
                <w:rFonts w:ascii="Arial" w:cs="Arial" w:eastAsia="Arial" w:hAnsi="Arial"/>
                <w:sz w:val="16"/>
                <w:szCs w:val="16"/>
                <w:i w:val="1"/>
                <w:iCs w:val="1"/>
                <w:color w:val="auto"/>
                <w:w w:val="92"/>
              </w:rPr>
              <w:t>(Zip Code)</w:t>
            </w:r>
          </w:p>
        </w:tc>
      </w:tr>
    </w:tbl>
    <w:p>
      <w:pPr>
        <w:spacing w:after="0" w:line="156" w:lineRule="exact"/>
        <w:rPr>
          <w:sz w:val="24"/>
          <w:szCs w:val="24"/>
          <w:color w:val="auto"/>
        </w:rPr>
      </w:pPr>
    </w:p>
    <w:p>
      <w:pPr>
        <w:jc w:val="center"/>
        <w:ind w:right="176"/>
        <w:spacing w:after="0"/>
        <w:rPr>
          <w:sz w:val="20"/>
          <w:szCs w:val="20"/>
          <w:color w:val="auto"/>
        </w:rPr>
      </w:pPr>
      <w:r>
        <w:rPr>
          <w:rFonts w:ascii="Arial" w:cs="Arial" w:eastAsia="Arial" w:hAnsi="Arial"/>
          <w:sz w:val="19"/>
          <w:szCs w:val="19"/>
          <w:b w:val="1"/>
          <w:bCs w:val="1"/>
          <w:color w:val="auto"/>
        </w:rPr>
        <w:t>(801) 264-1060</w:t>
      </w:r>
    </w:p>
    <w:p>
      <w:pPr>
        <w:spacing w:after="0" w:line="33" w:lineRule="exact"/>
        <w:rPr>
          <w:sz w:val="24"/>
          <w:szCs w:val="24"/>
          <w:color w:val="auto"/>
        </w:rPr>
      </w:pPr>
    </w:p>
    <w:p>
      <w:pPr>
        <w:jc w:val="center"/>
        <w:ind w:right="176"/>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19" w:lineRule="exact"/>
        <w:rPr>
          <w:sz w:val="24"/>
          <w:szCs w:val="24"/>
          <w:color w:val="auto"/>
        </w:rPr>
      </w:pPr>
    </w:p>
    <w:p>
      <w:pPr>
        <w:jc w:val="center"/>
        <w:ind w:right="156"/>
        <w:spacing w:after="0"/>
        <w:rPr>
          <w:sz w:val="20"/>
          <w:szCs w:val="20"/>
          <w:color w:val="auto"/>
        </w:rPr>
      </w:pPr>
      <w:r>
        <w:rPr>
          <w:rFonts w:ascii="Arial" w:cs="Arial" w:eastAsia="Arial" w:hAnsi="Arial"/>
          <w:sz w:val="19"/>
          <w:szCs w:val="19"/>
          <w:b w:val="1"/>
          <w:bCs w:val="1"/>
          <w:color w:val="auto"/>
        </w:rPr>
        <w:t>Securities registered pursuant to Section 12(b) of the Act:</w:t>
      </w:r>
    </w:p>
    <w:p>
      <w:pPr>
        <w:sectPr>
          <w:pgSz w:w="11900" w:h="16838" w:orient="portrait"/>
          <w:cols w:equalWidth="0" w:num="1">
            <w:col w:w="9183"/>
          </w:cols>
          <w:pgMar w:left="1276" w:top="213" w:right="1440" w:bottom="1440" w:gutter="0" w:footer="0" w:header="0"/>
        </w:sectPr>
      </w:pPr>
    </w:p>
    <w:p>
      <w:pPr>
        <w:spacing w:after="0" w:line="244" w:lineRule="exact"/>
        <w:rPr>
          <w:sz w:val="24"/>
          <w:szCs w:val="24"/>
          <w:color w:val="auto"/>
        </w:rPr>
      </w:pPr>
    </w:p>
    <w:p>
      <w:pPr>
        <w:ind w:left="684"/>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Name of each exchange on which</w:t>
      </w:r>
    </w:p>
    <w:p>
      <w:pPr>
        <w:spacing w:after="0" w:line="62"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registered</w:t>
      </w:r>
    </w:p>
    <w:p>
      <w:pPr>
        <w:spacing w:after="0" w:line="23" w:lineRule="exact"/>
        <w:rPr>
          <w:sz w:val="24"/>
          <w:szCs w:val="24"/>
          <w:color w:val="auto"/>
        </w:rPr>
      </w:pPr>
    </w:p>
    <w:p>
      <w:pPr>
        <w:sectPr>
          <w:pgSz w:w="11900" w:h="16838" w:orient="portrait"/>
          <w:cols w:equalWidth="0" w:num="3">
            <w:col w:w="3024" w:space="720"/>
            <w:col w:w="1740" w:space="720"/>
            <w:col w:w="2979"/>
          </w:cols>
          <w:pgMar w:left="1276" w:top="213" w:right="1440" w:bottom="1440" w:gutter="0" w:footer="0" w:header="0"/>
          <w:type w:val="continuous"/>
        </w:sectPr>
      </w:pPr>
    </w:p>
    <w:p>
      <w:pPr>
        <w:ind w:left="644"/>
        <w:spacing w:after="0"/>
        <w:rPr>
          <w:sz w:val="20"/>
          <w:szCs w:val="20"/>
          <w:color w:val="auto"/>
        </w:rPr>
      </w:pPr>
      <w:r>
        <w:rPr>
          <w:rFonts w:ascii="Arial" w:cs="Arial" w:eastAsia="Arial" w:hAnsi="Arial"/>
          <w:sz w:val="14"/>
          <w:szCs w:val="14"/>
          <w:color w:val="auto"/>
        </w:rPr>
        <w:t>Class A Common Stock</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4"/>
          <w:szCs w:val="14"/>
          <w:color w:val="auto"/>
        </w:rPr>
        <w:t>SNFCA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200" w:lineRule="exact"/>
        <w:rPr>
          <w:sz w:val="24"/>
          <w:szCs w:val="24"/>
          <w:color w:val="auto"/>
        </w:rPr>
      </w:pPr>
    </w:p>
    <w:p>
      <w:pPr>
        <w:sectPr>
          <w:pgSz w:w="11900" w:h="16838" w:orient="portrait"/>
          <w:cols w:equalWidth="0" w:num="3">
            <w:col w:w="3424" w:space="720"/>
            <w:col w:w="1620" w:space="720"/>
            <w:col w:w="2699"/>
          </w:cols>
          <w:pgMar w:left="1276" w:top="213" w:right="1440" w:bottom="1440" w:gutter="0" w:footer="0" w:header="0"/>
          <w:type w:val="continuous"/>
        </w:sectPr>
      </w:pPr>
    </w:p>
    <w:p>
      <w:pPr>
        <w:spacing w:after="0" w:line="75" w:lineRule="exact"/>
        <w:rPr>
          <w:sz w:val="24"/>
          <w:szCs w:val="24"/>
          <w:color w:val="auto"/>
        </w:rPr>
      </w:pPr>
    </w:p>
    <w:p>
      <w:pPr>
        <w:jc w:val="both"/>
        <w:ind w:left="4" w:right="159" w:firstLine="396"/>
        <w:spacing w:after="0" w:line="259"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7924"/>
        <w:spacing w:after="0"/>
        <w:rPr>
          <w:sz w:val="20"/>
          <w:szCs w:val="20"/>
          <w:color w:val="auto"/>
        </w:rPr>
      </w:pPr>
      <w:r>
        <w:rPr>
          <w:rFonts w:ascii="Arial" w:cs="Arial" w:eastAsia="Arial" w:hAnsi="Arial"/>
          <w:sz w:val="16"/>
          <w:szCs w:val="16"/>
          <w:color w:val="auto"/>
        </w:rPr>
        <w:t>Yes [X] No [ ]</w:t>
      </w:r>
    </w:p>
    <w:p>
      <w:pPr>
        <w:spacing w:after="0" w:line="209" w:lineRule="exact"/>
        <w:rPr>
          <w:sz w:val="24"/>
          <w:szCs w:val="24"/>
          <w:color w:val="auto"/>
        </w:rPr>
      </w:pPr>
    </w:p>
    <w:p>
      <w:pPr>
        <w:jc w:val="both"/>
        <w:ind w:left="4" w:right="159" w:firstLine="396"/>
        <w:spacing w:after="0" w:line="25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 w:lineRule="exact"/>
        <w:rPr>
          <w:sz w:val="24"/>
          <w:szCs w:val="24"/>
          <w:color w:val="auto"/>
        </w:rPr>
      </w:pPr>
    </w:p>
    <w:p>
      <w:pPr>
        <w:ind w:left="7924"/>
        <w:spacing w:after="0"/>
        <w:rPr>
          <w:sz w:val="20"/>
          <w:szCs w:val="20"/>
          <w:color w:val="auto"/>
        </w:rPr>
      </w:pPr>
      <w:r>
        <w:rPr>
          <w:rFonts w:ascii="Arial" w:cs="Arial" w:eastAsia="Arial" w:hAnsi="Arial"/>
          <w:sz w:val="16"/>
          <w:szCs w:val="16"/>
          <w:color w:val="auto"/>
        </w:rPr>
        <w:t>Yes [X] No [ ]</w:t>
      </w:r>
    </w:p>
    <w:p>
      <w:pPr>
        <w:spacing w:after="0" w:line="209" w:lineRule="exact"/>
        <w:rPr>
          <w:sz w:val="24"/>
          <w:szCs w:val="24"/>
          <w:color w:val="auto"/>
        </w:rPr>
      </w:pPr>
    </w:p>
    <w:p>
      <w:pPr>
        <w:jc w:val="both"/>
        <w:ind w:left="4" w:right="159" w:firstLine="396"/>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183"/>
          </w:cols>
          <w:pgMar w:left="1276" w:top="213" w:right="1440" w:bottom="1440" w:gutter="0" w:footer="0" w:header="0"/>
          <w:type w:val="continuous"/>
        </w:sectPr>
      </w:pPr>
    </w:p>
    <w:p>
      <w:pPr>
        <w:spacing w:after="0" w:line="174" w:lineRule="exact"/>
        <w:rPr>
          <w:sz w:val="24"/>
          <w:szCs w:val="24"/>
          <w:color w:val="auto"/>
        </w:rPr>
      </w:pPr>
    </w:p>
    <w:p>
      <w:pPr>
        <w:ind w:left="644"/>
        <w:spacing w:after="0"/>
        <w:rPr>
          <w:sz w:val="20"/>
          <w:szCs w:val="20"/>
          <w:color w:val="auto"/>
        </w:rPr>
      </w:pPr>
      <w:r>
        <w:rPr>
          <w:rFonts w:ascii="Arial" w:cs="Arial" w:eastAsia="Arial" w:hAnsi="Arial"/>
          <w:sz w:val="16"/>
          <w:szCs w:val="16"/>
          <w:color w:val="auto"/>
        </w:rPr>
        <w:t>Large accelerated filer [ ]</w:t>
      </w:r>
    </w:p>
    <w:p>
      <w:pPr>
        <w:spacing w:after="0" w:line="17" w:lineRule="exact"/>
        <w:rPr>
          <w:sz w:val="24"/>
          <w:szCs w:val="24"/>
          <w:color w:val="auto"/>
        </w:rPr>
      </w:pPr>
    </w:p>
    <w:p>
      <w:pPr>
        <w:ind w:left="644"/>
        <w:spacing w:after="0"/>
        <w:rPr>
          <w:sz w:val="20"/>
          <w:szCs w:val="20"/>
          <w:color w:val="auto"/>
        </w:rPr>
      </w:pPr>
      <w:r>
        <w:rPr>
          <w:rFonts w:ascii="Arial" w:cs="Arial" w:eastAsia="Arial" w:hAnsi="Arial"/>
          <w:sz w:val="14"/>
          <w:szCs w:val="14"/>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 ]</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 [X]</w:t>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 [ ]</w:t>
      </w:r>
    </w:p>
    <w:p>
      <w:pPr>
        <w:spacing w:after="0" w:line="200" w:lineRule="exact"/>
        <w:rPr>
          <w:sz w:val="24"/>
          <w:szCs w:val="24"/>
          <w:color w:val="auto"/>
        </w:rPr>
      </w:pPr>
    </w:p>
    <w:p>
      <w:pPr>
        <w:sectPr>
          <w:pgSz w:w="11900" w:h="16838" w:orient="portrait"/>
          <w:cols w:equalWidth="0" w:num="2">
            <w:col w:w="5624" w:space="720"/>
            <w:col w:w="2839"/>
          </w:cols>
          <w:pgMar w:left="1276" w:top="213" w:right="1440" w:bottom="1440" w:gutter="0" w:footer="0" w:header="0"/>
          <w:type w:val="continuous"/>
        </w:sectPr>
      </w:pPr>
    </w:p>
    <w:p>
      <w:pPr>
        <w:spacing w:after="0" w:line="21" w:lineRule="exact"/>
        <w:rPr>
          <w:sz w:val="24"/>
          <w:szCs w:val="24"/>
          <w:color w:val="auto"/>
        </w:rPr>
      </w:pPr>
    </w:p>
    <w:p>
      <w:pPr>
        <w:ind w:left="4" w:right="159" w:firstLine="396"/>
        <w:spacing w:after="0" w:line="315"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41" w:lineRule="exact"/>
        <w:rPr>
          <w:sz w:val="24"/>
          <w:szCs w:val="24"/>
          <w:color w:val="auto"/>
        </w:rPr>
      </w:pPr>
    </w:p>
    <w:p>
      <w:pPr>
        <w:ind w:left="404"/>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7" w:lineRule="exact"/>
        <w:rPr>
          <w:sz w:val="24"/>
          <w:szCs w:val="24"/>
          <w:color w:val="auto"/>
        </w:rPr>
      </w:pPr>
    </w:p>
    <w:p>
      <w:pPr>
        <w:ind w:left="7964"/>
        <w:spacing w:after="0"/>
        <w:rPr>
          <w:sz w:val="20"/>
          <w:szCs w:val="20"/>
          <w:color w:val="auto"/>
        </w:rPr>
      </w:pPr>
      <w:r>
        <w:rPr>
          <w:rFonts w:ascii="Arial" w:cs="Arial" w:eastAsia="Arial" w:hAnsi="Arial"/>
          <w:sz w:val="16"/>
          <w:szCs w:val="16"/>
          <w:color w:val="auto"/>
        </w:rPr>
        <w:t>Yes [ ] No[X]</w:t>
      </w:r>
    </w:p>
    <w:p>
      <w:pPr>
        <w:spacing w:after="0" w:line="200" w:lineRule="exact"/>
        <w:rPr>
          <w:sz w:val="24"/>
          <w:szCs w:val="24"/>
          <w:color w:val="auto"/>
        </w:rPr>
      </w:pPr>
    </w:p>
    <w:p>
      <w:pPr>
        <w:spacing w:after="0" w:line="207" w:lineRule="exact"/>
        <w:rPr>
          <w:sz w:val="24"/>
          <w:szCs w:val="24"/>
          <w:color w:val="auto"/>
        </w:rPr>
      </w:pPr>
    </w:p>
    <w:p>
      <w:pPr>
        <w:ind w:left="4" w:right="159" w:firstLine="396"/>
        <w:spacing w:after="0" w:line="280" w:lineRule="auto"/>
        <w:rPr>
          <w:sz w:val="20"/>
          <w:szCs w:val="20"/>
          <w:color w:val="auto"/>
        </w:rPr>
      </w:pPr>
      <w:r>
        <w:rPr>
          <w:rFonts w:ascii="Arial" w:cs="Arial" w:eastAsia="Arial" w:hAnsi="Arial"/>
          <w:sz w:val="16"/>
          <w:szCs w:val="16"/>
          <w:color w:val="auto"/>
        </w:rPr>
        <w:t>As of August 10, 2020, the registrant had 16,557,925 shares of Class A Common Stock, $2.00 par value, outstanding and 2,551,445 shares of Class C Common Stock, $2.00 par value, outstanding.</w:t>
      </w:r>
    </w:p>
    <w:p>
      <w:pPr>
        <w:spacing w:after="0" w:line="158" w:lineRule="exact"/>
        <w:rPr>
          <w:sz w:val="24"/>
          <w:szCs w:val="24"/>
          <w:color w:val="auto"/>
        </w:rPr>
      </w:pPr>
    </w:p>
    <w:p>
      <w:pPr>
        <w:ind w:left="4"/>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5634355" cy="3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213" w:right="1440" w:bottom="1440" w:gutter="0" w:footer="0" w:header="0"/>
          <w:type w:val="continuous"/>
        </w:sectPr>
      </w:pPr>
    </w:p>
    <w:bookmarkStart w:id="1" w:name="page2"/>
    <w:bookmarkEnd w:id="1"/>
    <w:p>
      <w:pPr>
        <w:jc w:val="center"/>
        <w:ind w:right="319"/>
        <w:spacing w:after="0"/>
        <w:rPr>
          <w:sz w:val="20"/>
          <w:szCs w:val="20"/>
          <w:color w:val="auto"/>
        </w:rPr>
      </w:pPr>
      <w:r>
        <w:rPr>
          <w:rFonts w:ascii="Arial" w:cs="Arial" w:eastAsia="Arial" w:hAnsi="Arial"/>
          <w:sz w:val="19"/>
          <w:szCs w:val="19"/>
          <w:b w:val="1"/>
          <w:bCs w:val="1"/>
          <w:color w:val="auto"/>
        </w:rPr>
        <w:t>SECURITY NATIONAL FINANCIAL CORPORATION AND SUBSIDIARIES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FORM 10-Q</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QUARTER ENDED JUNE 30, 2020</w:t>
      </w:r>
    </w:p>
    <w:p>
      <w:pPr>
        <w:spacing w:after="0" w:line="129" w:lineRule="exact"/>
        <w:rPr>
          <w:sz w:val="20"/>
          <w:szCs w:val="20"/>
          <w:color w:val="auto"/>
        </w:rPr>
      </w:pPr>
    </w:p>
    <w:p>
      <w:pPr>
        <w:jc w:val="center"/>
        <w:ind w:right="319"/>
        <w:spacing w:after="0"/>
        <w:rPr>
          <w:sz w:val="20"/>
          <w:szCs w:val="20"/>
          <w:color w:val="auto"/>
        </w:rPr>
      </w:pPr>
      <w:r>
        <w:rPr>
          <w:rFonts w:ascii="Arial" w:cs="Arial" w:eastAsia="Arial" w:hAnsi="Arial"/>
          <w:sz w:val="19"/>
          <w:szCs w:val="19"/>
          <w:b w:val="1"/>
          <w:bCs w:val="1"/>
          <w:color w:val="auto"/>
        </w:rPr>
        <w:t>Table of Contents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Arial" w:cs="Arial" w:eastAsia="Arial" w:hAnsi="Arial"/>
                <w:sz w:val="19"/>
                <w:szCs w:val="19"/>
                <w:color w:val="auto"/>
              </w:rPr>
              <w:t>Page No.</w:t>
            </w:r>
          </w:p>
        </w:tc>
      </w:tr>
      <w:tr>
        <w:trPr>
          <w:trHeight w:val="395"/>
        </w:trPr>
        <w:tc>
          <w:tcPr>
            <w:tcW w:w="760" w:type="dxa"/>
            <w:vAlign w:val="bottom"/>
          </w:tcPr>
          <w:p>
            <w:pPr>
              <w:spacing w:after="0"/>
              <w:rPr>
                <w:sz w:val="24"/>
                <w:szCs w:val="24"/>
                <w:color w:val="auto"/>
              </w:rPr>
            </w:pPr>
          </w:p>
        </w:tc>
        <w:tc>
          <w:tcPr>
            <w:tcW w:w="6980" w:type="dxa"/>
            <w:vAlign w:val="bottom"/>
          </w:tcPr>
          <w:p>
            <w:pPr>
              <w:ind w:left="2240"/>
              <w:spacing w:after="0"/>
              <w:rPr>
                <w:sz w:val="20"/>
                <w:szCs w:val="20"/>
                <w:color w:val="auto"/>
              </w:rPr>
            </w:pPr>
            <w:r>
              <w:rPr>
                <w:rFonts w:ascii="Arial" w:cs="Arial" w:eastAsia="Arial" w:hAnsi="Arial"/>
                <w:sz w:val="19"/>
                <w:szCs w:val="19"/>
                <w:b w:val="1"/>
                <w:bCs w:val="1"/>
                <w:color w:val="auto"/>
              </w:rPr>
              <w:t>Part I - Financial Information</w:t>
            </w:r>
          </w:p>
        </w:tc>
        <w:tc>
          <w:tcPr>
            <w:tcW w:w="7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396"/>
        </w:trPr>
        <w:tc>
          <w:tcPr>
            <w:tcW w:w="760" w:type="dxa"/>
            <w:vAlign w:val="bottom"/>
          </w:tcPr>
          <w:p>
            <w:pPr>
              <w:spacing w:after="0"/>
              <w:rPr>
                <w:sz w:val="20"/>
                <w:szCs w:val="20"/>
                <w:color w:val="auto"/>
              </w:rPr>
            </w:pPr>
            <w:r>
              <w:rPr>
                <w:rFonts w:ascii="Arial" w:cs="Arial" w:eastAsia="Arial" w:hAnsi="Arial"/>
                <w:sz w:val="19"/>
                <w:szCs w:val="19"/>
                <w:color w:val="auto"/>
              </w:rPr>
              <w:t>Item 1.</w:t>
            </w:r>
          </w:p>
        </w:tc>
        <w:tc>
          <w:tcPr>
            <w:tcW w:w="6980" w:type="dxa"/>
            <w:vAlign w:val="bottom"/>
          </w:tcPr>
          <w:p>
            <w:pPr>
              <w:ind w:left="60"/>
              <w:spacing w:after="0"/>
              <w:rPr>
                <w:sz w:val="20"/>
                <w:szCs w:val="20"/>
                <w:color w:val="auto"/>
              </w:rPr>
            </w:pPr>
            <w:r>
              <w:rPr>
                <w:rFonts w:ascii="Arial" w:cs="Arial" w:eastAsia="Arial" w:hAnsi="Arial"/>
                <w:sz w:val="19"/>
                <w:szCs w:val="19"/>
                <w:color w:val="auto"/>
              </w:rPr>
              <w:t>Financial Statements</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5"/>
        </w:trPr>
        <w:tc>
          <w:tcPr>
            <w:tcW w:w="7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w w:val="91"/>
              </w:rPr>
              <w:t>Condensed Consolidated Balance Sheets as of June 30, 2020 (unaudited) and December</w:t>
            </w:r>
          </w:p>
        </w:tc>
        <w:tc>
          <w:tcPr>
            <w:tcW w:w="720" w:type="dxa"/>
            <w:vAlign w:val="bottom"/>
          </w:tcPr>
          <w:p>
            <w:pPr>
              <w:jc w:val="center"/>
              <w:ind w:left="3"/>
              <w:spacing w:after="0"/>
              <w:rPr>
                <w:sz w:val="20"/>
                <w:szCs w:val="20"/>
                <w:color w:val="auto"/>
              </w:rPr>
            </w:pPr>
            <w:r>
              <w:rPr>
                <w:rFonts w:ascii="Arial" w:cs="Arial" w:eastAsia="Arial" w:hAnsi="Arial"/>
                <w:sz w:val="19"/>
                <w:szCs w:val="19"/>
                <w:color w:val="auto"/>
                <w:w w:val="94"/>
              </w:rPr>
              <w:t>3-4</w:t>
            </w:r>
          </w:p>
        </w:tc>
        <w:tc>
          <w:tcPr>
            <w:tcW w:w="400" w:type="dxa"/>
            <w:vAlign w:val="bottom"/>
          </w:tcPr>
          <w:p>
            <w:pPr>
              <w:spacing w:after="0"/>
              <w:rPr>
                <w:sz w:val="24"/>
                <w:szCs w:val="24"/>
                <w:color w:val="auto"/>
              </w:rPr>
            </w:pPr>
          </w:p>
        </w:tc>
      </w:tr>
      <w:tr>
        <w:trPr>
          <w:trHeight w:val="246"/>
        </w:trPr>
        <w:tc>
          <w:tcPr>
            <w:tcW w:w="7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rPr>
              <w:t>31, 2019</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74"/>
        </w:trPr>
        <w:tc>
          <w:tcPr>
            <w:tcW w:w="7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rPr>
              <w:t>Condensed Consolidated Statements of Earnings for the three and six months</w:t>
            </w:r>
          </w:p>
        </w:tc>
        <w:tc>
          <w:tcPr>
            <w:tcW w:w="720" w:type="dxa"/>
            <w:vAlign w:val="bottom"/>
          </w:tcPr>
          <w:p>
            <w:pPr>
              <w:jc w:val="center"/>
              <w:ind w:left="3"/>
              <w:spacing w:after="0"/>
              <w:rPr>
                <w:sz w:val="20"/>
                <w:szCs w:val="20"/>
                <w:color w:val="auto"/>
              </w:rPr>
            </w:pPr>
            <w:r>
              <w:rPr>
                <w:rFonts w:ascii="Arial" w:cs="Arial" w:eastAsia="Arial" w:hAnsi="Arial"/>
                <w:sz w:val="19"/>
                <w:szCs w:val="19"/>
                <w:color w:val="auto"/>
                <w:w w:val="94"/>
              </w:rPr>
              <w:t>5</w:t>
            </w:r>
          </w:p>
        </w:tc>
        <w:tc>
          <w:tcPr>
            <w:tcW w:w="400" w:type="dxa"/>
            <w:vAlign w:val="bottom"/>
          </w:tcPr>
          <w:p>
            <w:pPr>
              <w:spacing w:after="0"/>
              <w:rPr>
                <w:sz w:val="24"/>
                <w:szCs w:val="24"/>
                <w:color w:val="auto"/>
              </w:rPr>
            </w:pPr>
          </w:p>
        </w:tc>
      </w:tr>
      <w:tr>
        <w:trPr>
          <w:trHeight w:val="246"/>
        </w:trPr>
        <w:tc>
          <w:tcPr>
            <w:tcW w:w="7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rPr>
              <w:t>ended June 30, 2020 and 2019 (unaudited)</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74"/>
        </w:trPr>
        <w:tc>
          <w:tcPr>
            <w:tcW w:w="7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w w:val="96"/>
              </w:rPr>
              <w:t>Condensed Consolidated Statements of Comprehensive Income for the three and six</w:t>
            </w:r>
          </w:p>
        </w:tc>
        <w:tc>
          <w:tcPr>
            <w:tcW w:w="720" w:type="dxa"/>
            <w:vAlign w:val="bottom"/>
          </w:tcPr>
          <w:p>
            <w:pPr>
              <w:jc w:val="center"/>
              <w:ind w:left="3"/>
              <w:spacing w:after="0"/>
              <w:rPr>
                <w:sz w:val="20"/>
                <w:szCs w:val="20"/>
                <w:color w:val="auto"/>
              </w:rPr>
            </w:pPr>
            <w:r>
              <w:rPr>
                <w:rFonts w:ascii="Arial" w:cs="Arial" w:eastAsia="Arial" w:hAnsi="Arial"/>
                <w:sz w:val="19"/>
                <w:szCs w:val="19"/>
                <w:color w:val="auto"/>
                <w:w w:val="94"/>
              </w:rPr>
              <w:t>6</w:t>
            </w:r>
          </w:p>
        </w:tc>
        <w:tc>
          <w:tcPr>
            <w:tcW w:w="400" w:type="dxa"/>
            <w:vAlign w:val="bottom"/>
          </w:tcPr>
          <w:p>
            <w:pPr>
              <w:spacing w:after="0"/>
              <w:rPr>
                <w:sz w:val="24"/>
                <w:szCs w:val="24"/>
                <w:color w:val="auto"/>
              </w:rPr>
            </w:pPr>
          </w:p>
        </w:tc>
      </w:tr>
      <w:tr>
        <w:trPr>
          <w:trHeight w:val="246"/>
        </w:trPr>
        <w:tc>
          <w:tcPr>
            <w:tcW w:w="7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rPr>
              <w:t>months ended June 30, 2020 and 2019 (unaudited)</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74"/>
        </w:trPr>
        <w:tc>
          <w:tcPr>
            <w:tcW w:w="7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w w:val="95"/>
              </w:rPr>
              <w:t>Condensed Consolidated Statements of Stockholders' Equity as of June 30, 2020 and</w:t>
            </w:r>
          </w:p>
        </w:tc>
        <w:tc>
          <w:tcPr>
            <w:tcW w:w="720" w:type="dxa"/>
            <w:vAlign w:val="bottom"/>
          </w:tcPr>
          <w:p>
            <w:pPr>
              <w:jc w:val="center"/>
              <w:ind w:left="3"/>
              <w:spacing w:after="0"/>
              <w:rPr>
                <w:sz w:val="20"/>
                <w:szCs w:val="20"/>
                <w:color w:val="auto"/>
              </w:rPr>
            </w:pPr>
            <w:r>
              <w:rPr>
                <w:rFonts w:ascii="Arial" w:cs="Arial" w:eastAsia="Arial" w:hAnsi="Arial"/>
                <w:sz w:val="19"/>
                <w:szCs w:val="19"/>
                <w:color w:val="auto"/>
                <w:w w:val="94"/>
              </w:rPr>
              <w:t>7</w:t>
            </w:r>
          </w:p>
        </w:tc>
        <w:tc>
          <w:tcPr>
            <w:tcW w:w="400" w:type="dxa"/>
            <w:vAlign w:val="bottom"/>
          </w:tcPr>
          <w:p>
            <w:pPr>
              <w:spacing w:after="0"/>
              <w:rPr>
                <w:sz w:val="24"/>
                <w:szCs w:val="24"/>
                <w:color w:val="auto"/>
              </w:rPr>
            </w:pPr>
          </w:p>
        </w:tc>
      </w:tr>
      <w:tr>
        <w:trPr>
          <w:trHeight w:val="246"/>
        </w:trPr>
        <w:tc>
          <w:tcPr>
            <w:tcW w:w="7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rPr>
              <w:t>June 30, 2019 (unaudited)</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74"/>
        </w:trPr>
        <w:tc>
          <w:tcPr>
            <w:tcW w:w="7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w w:val="94"/>
              </w:rPr>
              <w:t>Condensed Consolidated Statements of Cash Flows for the six months ended June 30,</w:t>
            </w:r>
          </w:p>
        </w:tc>
        <w:tc>
          <w:tcPr>
            <w:tcW w:w="720" w:type="dxa"/>
            <w:vAlign w:val="bottom"/>
          </w:tcPr>
          <w:p>
            <w:pPr>
              <w:jc w:val="center"/>
              <w:ind w:left="3"/>
              <w:spacing w:after="0"/>
              <w:rPr>
                <w:sz w:val="20"/>
                <w:szCs w:val="20"/>
                <w:color w:val="auto"/>
              </w:rPr>
            </w:pPr>
            <w:r>
              <w:rPr>
                <w:rFonts w:ascii="Arial" w:cs="Arial" w:eastAsia="Arial" w:hAnsi="Arial"/>
                <w:sz w:val="19"/>
                <w:szCs w:val="19"/>
                <w:color w:val="auto"/>
                <w:w w:val="94"/>
              </w:rPr>
              <w:t>8-9</w:t>
            </w:r>
          </w:p>
        </w:tc>
        <w:tc>
          <w:tcPr>
            <w:tcW w:w="400" w:type="dxa"/>
            <w:vAlign w:val="bottom"/>
          </w:tcPr>
          <w:p>
            <w:pPr>
              <w:spacing w:after="0"/>
              <w:rPr>
                <w:sz w:val="24"/>
                <w:szCs w:val="24"/>
                <w:color w:val="auto"/>
              </w:rPr>
            </w:pPr>
          </w:p>
        </w:tc>
      </w:tr>
      <w:tr>
        <w:trPr>
          <w:trHeight w:val="246"/>
        </w:trPr>
        <w:tc>
          <w:tcPr>
            <w:tcW w:w="7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rPr>
              <w:t>2020 and 2019 (unaudited)</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396"/>
        </w:trPr>
        <w:tc>
          <w:tcPr>
            <w:tcW w:w="7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rPr>
              <w:t>Notes to Condensed Consolidated Financial Statements (unaudited)</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10</w:t>
            </w:r>
          </w:p>
        </w:tc>
        <w:tc>
          <w:tcPr>
            <w:tcW w:w="400" w:type="dxa"/>
            <w:vAlign w:val="bottom"/>
          </w:tcPr>
          <w:p>
            <w:pPr>
              <w:spacing w:after="0"/>
              <w:rPr>
                <w:sz w:val="24"/>
                <w:szCs w:val="24"/>
                <w:color w:val="auto"/>
              </w:rPr>
            </w:pPr>
          </w:p>
        </w:tc>
      </w:tr>
      <w:tr>
        <w:trPr>
          <w:trHeight w:val="295"/>
        </w:trPr>
        <w:tc>
          <w:tcPr>
            <w:tcW w:w="760" w:type="dxa"/>
            <w:vAlign w:val="bottom"/>
          </w:tcPr>
          <w:p>
            <w:pPr>
              <w:spacing w:after="0"/>
              <w:rPr>
                <w:sz w:val="20"/>
                <w:szCs w:val="20"/>
                <w:color w:val="auto"/>
              </w:rPr>
            </w:pPr>
            <w:r>
              <w:rPr>
                <w:rFonts w:ascii="Arial" w:cs="Arial" w:eastAsia="Arial" w:hAnsi="Arial"/>
                <w:sz w:val="19"/>
                <w:szCs w:val="19"/>
                <w:color w:val="auto"/>
              </w:rPr>
              <w:t>Item 2.</w:t>
            </w:r>
          </w:p>
        </w:tc>
        <w:tc>
          <w:tcPr>
            <w:tcW w:w="6980" w:type="dxa"/>
            <w:vAlign w:val="bottom"/>
          </w:tcPr>
          <w:p>
            <w:pPr>
              <w:ind w:left="60"/>
              <w:spacing w:after="0"/>
              <w:rPr>
                <w:sz w:val="20"/>
                <w:szCs w:val="20"/>
                <w:color w:val="auto"/>
              </w:rPr>
            </w:pPr>
            <w:r>
              <w:rPr>
                <w:rFonts w:ascii="Arial" w:cs="Arial" w:eastAsia="Arial" w:hAnsi="Arial"/>
                <w:sz w:val="19"/>
                <w:szCs w:val="19"/>
                <w:color w:val="auto"/>
              </w:rPr>
              <w:t>Management’s Discussion and Analysis of Financial Condition and Results of</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55</w:t>
            </w:r>
          </w:p>
        </w:tc>
        <w:tc>
          <w:tcPr>
            <w:tcW w:w="400" w:type="dxa"/>
            <w:vAlign w:val="bottom"/>
          </w:tcPr>
          <w:p>
            <w:pPr>
              <w:spacing w:after="0"/>
              <w:rPr>
                <w:sz w:val="24"/>
                <w:szCs w:val="24"/>
                <w:color w:val="auto"/>
              </w:rPr>
            </w:pPr>
          </w:p>
        </w:tc>
      </w:tr>
      <w:tr>
        <w:trPr>
          <w:trHeight w:val="246"/>
        </w:trPr>
        <w:tc>
          <w:tcPr>
            <w:tcW w:w="760" w:type="dxa"/>
            <w:vAlign w:val="bottom"/>
          </w:tcPr>
          <w:p>
            <w:pPr>
              <w:spacing w:after="0"/>
              <w:rPr>
                <w:sz w:val="21"/>
                <w:szCs w:val="21"/>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rPr>
              <w:t>Operations</w:t>
            </w: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51"/>
        </w:trPr>
        <w:tc>
          <w:tcPr>
            <w:tcW w:w="760" w:type="dxa"/>
            <w:vAlign w:val="bottom"/>
          </w:tcPr>
          <w:p>
            <w:pPr>
              <w:spacing w:after="0"/>
              <w:rPr>
                <w:sz w:val="20"/>
                <w:szCs w:val="20"/>
                <w:color w:val="auto"/>
              </w:rPr>
            </w:pPr>
            <w:r>
              <w:rPr>
                <w:rFonts w:ascii="Arial" w:cs="Arial" w:eastAsia="Arial" w:hAnsi="Arial"/>
                <w:sz w:val="19"/>
                <w:szCs w:val="19"/>
                <w:color w:val="auto"/>
              </w:rPr>
              <w:t>Item 3.</w:t>
            </w:r>
          </w:p>
        </w:tc>
        <w:tc>
          <w:tcPr>
            <w:tcW w:w="6980" w:type="dxa"/>
            <w:vAlign w:val="bottom"/>
          </w:tcPr>
          <w:p>
            <w:pPr>
              <w:ind w:left="60"/>
              <w:spacing w:after="0"/>
              <w:rPr>
                <w:sz w:val="20"/>
                <w:szCs w:val="20"/>
                <w:color w:val="auto"/>
              </w:rPr>
            </w:pPr>
            <w:r>
              <w:rPr>
                <w:rFonts w:ascii="Arial" w:cs="Arial" w:eastAsia="Arial" w:hAnsi="Arial"/>
                <w:sz w:val="19"/>
                <w:szCs w:val="19"/>
                <w:color w:val="auto"/>
              </w:rPr>
              <w:t>Quantitative and Qualitative Disclosures about Market Risk</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62</w:t>
            </w:r>
          </w:p>
        </w:tc>
        <w:tc>
          <w:tcPr>
            <w:tcW w:w="400" w:type="dxa"/>
            <w:vAlign w:val="bottom"/>
          </w:tcPr>
          <w:p>
            <w:pPr>
              <w:spacing w:after="0"/>
              <w:rPr>
                <w:sz w:val="21"/>
                <w:szCs w:val="21"/>
                <w:color w:val="auto"/>
              </w:rPr>
            </w:pPr>
          </w:p>
        </w:tc>
      </w:tr>
      <w:tr>
        <w:trPr>
          <w:trHeight w:val="317"/>
        </w:trPr>
        <w:tc>
          <w:tcPr>
            <w:tcW w:w="760" w:type="dxa"/>
            <w:vAlign w:val="bottom"/>
          </w:tcPr>
          <w:p>
            <w:pPr>
              <w:spacing w:after="0"/>
              <w:rPr>
                <w:sz w:val="20"/>
                <w:szCs w:val="20"/>
                <w:color w:val="auto"/>
              </w:rPr>
            </w:pPr>
            <w:r>
              <w:rPr>
                <w:rFonts w:ascii="Arial" w:cs="Arial" w:eastAsia="Arial" w:hAnsi="Arial"/>
                <w:sz w:val="19"/>
                <w:szCs w:val="19"/>
                <w:color w:val="auto"/>
              </w:rPr>
              <w:t>Item 4.</w:t>
            </w:r>
          </w:p>
        </w:tc>
        <w:tc>
          <w:tcPr>
            <w:tcW w:w="6980" w:type="dxa"/>
            <w:vAlign w:val="bottom"/>
          </w:tcPr>
          <w:p>
            <w:pPr>
              <w:ind w:left="60"/>
              <w:spacing w:after="0"/>
              <w:rPr>
                <w:sz w:val="20"/>
                <w:szCs w:val="20"/>
                <w:color w:val="auto"/>
              </w:rPr>
            </w:pPr>
            <w:r>
              <w:rPr>
                <w:rFonts w:ascii="Arial" w:cs="Arial" w:eastAsia="Arial" w:hAnsi="Arial"/>
                <w:sz w:val="19"/>
                <w:szCs w:val="19"/>
                <w:color w:val="auto"/>
              </w:rPr>
              <w:t>Controls and Procedures</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62</w:t>
            </w:r>
          </w:p>
        </w:tc>
        <w:tc>
          <w:tcPr>
            <w:tcW w:w="400" w:type="dxa"/>
            <w:vAlign w:val="bottom"/>
          </w:tcPr>
          <w:p>
            <w:pPr>
              <w:spacing w:after="0"/>
              <w:rPr>
                <w:sz w:val="24"/>
                <w:szCs w:val="24"/>
                <w:color w:val="auto"/>
              </w:rPr>
            </w:pPr>
          </w:p>
        </w:tc>
      </w:tr>
      <w:tr>
        <w:trPr>
          <w:trHeight w:val="343"/>
        </w:trPr>
        <w:tc>
          <w:tcPr>
            <w:tcW w:w="760" w:type="dxa"/>
            <w:vAlign w:val="bottom"/>
          </w:tcPr>
          <w:p>
            <w:pPr>
              <w:spacing w:after="0"/>
              <w:rPr>
                <w:sz w:val="24"/>
                <w:szCs w:val="24"/>
                <w:color w:val="auto"/>
              </w:rPr>
            </w:pPr>
          </w:p>
        </w:tc>
        <w:tc>
          <w:tcPr>
            <w:tcW w:w="6980" w:type="dxa"/>
            <w:vAlign w:val="bottom"/>
          </w:tcPr>
          <w:p>
            <w:pPr>
              <w:ind w:left="2360"/>
              <w:spacing w:after="0"/>
              <w:rPr>
                <w:sz w:val="20"/>
                <w:szCs w:val="20"/>
                <w:color w:val="auto"/>
              </w:rPr>
            </w:pPr>
            <w:r>
              <w:rPr>
                <w:rFonts w:ascii="Arial" w:cs="Arial" w:eastAsia="Arial" w:hAnsi="Arial"/>
                <w:sz w:val="19"/>
                <w:szCs w:val="19"/>
                <w:b w:val="1"/>
                <w:bCs w:val="1"/>
                <w:color w:val="auto"/>
              </w:rPr>
              <w:t>Part II - Other Information</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90"/>
        </w:trPr>
        <w:tc>
          <w:tcPr>
            <w:tcW w:w="760" w:type="dxa"/>
            <w:vAlign w:val="bottom"/>
          </w:tcPr>
          <w:p>
            <w:pPr>
              <w:spacing w:after="0"/>
              <w:rPr>
                <w:sz w:val="20"/>
                <w:szCs w:val="20"/>
                <w:color w:val="auto"/>
              </w:rPr>
            </w:pPr>
            <w:r>
              <w:rPr>
                <w:rFonts w:ascii="Arial" w:cs="Arial" w:eastAsia="Arial" w:hAnsi="Arial"/>
                <w:sz w:val="19"/>
                <w:szCs w:val="19"/>
                <w:color w:val="auto"/>
              </w:rPr>
              <w:t>Item 1.</w:t>
            </w:r>
          </w:p>
        </w:tc>
        <w:tc>
          <w:tcPr>
            <w:tcW w:w="6980" w:type="dxa"/>
            <w:vAlign w:val="bottom"/>
          </w:tcPr>
          <w:p>
            <w:pPr>
              <w:ind w:left="60"/>
              <w:spacing w:after="0"/>
              <w:rPr>
                <w:sz w:val="20"/>
                <w:szCs w:val="20"/>
                <w:color w:val="auto"/>
              </w:rPr>
            </w:pPr>
            <w:r>
              <w:rPr>
                <w:rFonts w:ascii="Arial" w:cs="Arial" w:eastAsia="Arial" w:hAnsi="Arial"/>
                <w:sz w:val="19"/>
                <w:szCs w:val="19"/>
                <w:color w:val="auto"/>
              </w:rPr>
              <w:t>Legal Proceedings</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63</w:t>
            </w:r>
          </w:p>
        </w:tc>
        <w:tc>
          <w:tcPr>
            <w:tcW w:w="400" w:type="dxa"/>
            <w:vAlign w:val="bottom"/>
          </w:tcPr>
          <w:p>
            <w:pPr>
              <w:spacing w:after="0"/>
              <w:rPr>
                <w:sz w:val="24"/>
                <w:szCs w:val="24"/>
                <w:color w:val="auto"/>
              </w:rPr>
            </w:pPr>
          </w:p>
        </w:tc>
      </w:tr>
      <w:tr>
        <w:trPr>
          <w:trHeight w:val="317"/>
        </w:trPr>
        <w:tc>
          <w:tcPr>
            <w:tcW w:w="760" w:type="dxa"/>
            <w:vAlign w:val="bottom"/>
          </w:tcPr>
          <w:p>
            <w:pPr>
              <w:spacing w:after="0"/>
              <w:rPr>
                <w:sz w:val="20"/>
                <w:szCs w:val="20"/>
                <w:color w:val="auto"/>
              </w:rPr>
            </w:pPr>
            <w:r>
              <w:rPr>
                <w:rFonts w:ascii="Arial" w:cs="Arial" w:eastAsia="Arial" w:hAnsi="Arial"/>
                <w:sz w:val="19"/>
                <w:szCs w:val="19"/>
                <w:color w:val="auto"/>
              </w:rPr>
              <w:t>Item 1A.</w:t>
            </w:r>
          </w:p>
        </w:tc>
        <w:tc>
          <w:tcPr>
            <w:tcW w:w="6980" w:type="dxa"/>
            <w:vAlign w:val="bottom"/>
          </w:tcPr>
          <w:p>
            <w:pPr>
              <w:ind w:left="60"/>
              <w:spacing w:after="0"/>
              <w:rPr>
                <w:sz w:val="20"/>
                <w:szCs w:val="20"/>
                <w:color w:val="auto"/>
              </w:rPr>
            </w:pPr>
            <w:r>
              <w:rPr>
                <w:rFonts w:ascii="Arial" w:cs="Arial" w:eastAsia="Arial" w:hAnsi="Arial"/>
                <w:sz w:val="19"/>
                <w:szCs w:val="19"/>
                <w:color w:val="auto"/>
              </w:rPr>
              <w:t>Risk Factors</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63</w:t>
            </w:r>
          </w:p>
        </w:tc>
        <w:tc>
          <w:tcPr>
            <w:tcW w:w="400" w:type="dxa"/>
            <w:vAlign w:val="bottom"/>
          </w:tcPr>
          <w:p>
            <w:pPr>
              <w:spacing w:after="0"/>
              <w:rPr>
                <w:sz w:val="24"/>
                <w:szCs w:val="24"/>
                <w:color w:val="auto"/>
              </w:rPr>
            </w:pPr>
          </w:p>
        </w:tc>
      </w:tr>
      <w:tr>
        <w:trPr>
          <w:trHeight w:val="317"/>
        </w:trPr>
        <w:tc>
          <w:tcPr>
            <w:tcW w:w="760" w:type="dxa"/>
            <w:vAlign w:val="bottom"/>
          </w:tcPr>
          <w:p>
            <w:pPr>
              <w:spacing w:after="0"/>
              <w:rPr>
                <w:sz w:val="20"/>
                <w:szCs w:val="20"/>
                <w:color w:val="auto"/>
              </w:rPr>
            </w:pPr>
            <w:r>
              <w:rPr>
                <w:rFonts w:ascii="Arial" w:cs="Arial" w:eastAsia="Arial" w:hAnsi="Arial"/>
                <w:sz w:val="19"/>
                <w:szCs w:val="19"/>
                <w:color w:val="auto"/>
              </w:rPr>
              <w:t>Item 2.</w:t>
            </w:r>
          </w:p>
        </w:tc>
        <w:tc>
          <w:tcPr>
            <w:tcW w:w="6980" w:type="dxa"/>
            <w:vAlign w:val="bottom"/>
          </w:tcPr>
          <w:p>
            <w:pPr>
              <w:ind w:left="60"/>
              <w:spacing w:after="0"/>
              <w:rPr>
                <w:sz w:val="20"/>
                <w:szCs w:val="20"/>
                <w:color w:val="auto"/>
              </w:rPr>
            </w:pPr>
            <w:r>
              <w:rPr>
                <w:rFonts w:ascii="Arial" w:cs="Arial" w:eastAsia="Arial" w:hAnsi="Arial"/>
                <w:sz w:val="19"/>
                <w:szCs w:val="19"/>
                <w:color w:val="auto"/>
              </w:rPr>
              <w:t>Unregistered Sales of Equity Securities and Use of Proceeds</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63</w:t>
            </w:r>
          </w:p>
        </w:tc>
        <w:tc>
          <w:tcPr>
            <w:tcW w:w="400" w:type="dxa"/>
            <w:vAlign w:val="bottom"/>
          </w:tcPr>
          <w:p>
            <w:pPr>
              <w:spacing w:after="0"/>
              <w:rPr>
                <w:sz w:val="24"/>
                <w:szCs w:val="24"/>
                <w:color w:val="auto"/>
              </w:rPr>
            </w:pPr>
          </w:p>
        </w:tc>
      </w:tr>
      <w:tr>
        <w:trPr>
          <w:trHeight w:val="317"/>
        </w:trPr>
        <w:tc>
          <w:tcPr>
            <w:tcW w:w="760" w:type="dxa"/>
            <w:vAlign w:val="bottom"/>
          </w:tcPr>
          <w:p>
            <w:pPr>
              <w:spacing w:after="0"/>
              <w:rPr>
                <w:sz w:val="20"/>
                <w:szCs w:val="20"/>
                <w:color w:val="auto"/>
              </w:rPr>
            </w:pPr>
            <w:r>
              <w:rPr>
                <w:rFonts w:ascii="Arial" w:cs="Arial" w:eastAsia="Arial" w:hAnsi="Arial"/>
                <w:sz w:val="19"/>
                <w:szCs w:val="19"/>
                <w:color w:val="auto"/>
              </w:rPr>
              <w:t>Item 3.</w:t>
            </w:r>
          </w:p>
        </w:tc>
        <w:tc>
          <w:tcPr>
            <w:tcW w:w="6980" w:type="dxa"/>
            <w:vAlign w:val="bottom"/>
          </w:tcPr>
          <w:p>
            <w:pPr>
              <w:ind w:left="60"/>
              <w:spacing w:after="0"/>
              <w:rPr>
                <w:sz w:val="20"/>
                <w:szCs w:val="20"/>
                <w:color w:val="auto"/>
              </w:rPr>
            </w:pPr>
            <w:r>
              <w:rPr>
                <w:rFonts w:ascii="Arial" w:cs="Arial" w:eastAsia="Arial" w:hAnsi="Arial"/>
                <w:sz w:val="19"/>
                <w:szCs w:val="19"/>
                <w:color w:val="auto"/>
              </w:rPr>
              <w:t>Defaults Upon Senior Securities</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64</w:t>
            </w:r>
          </w:p>
        </w:tc>
        <w:tc>
          <w:tcPr>
            <w:tcW w:w="400" w:type="dxa"/>
            <w:vAlign w:val="bottom"/>
          </w:tcPr>
          <w:p>
            <w:pPr>
              <w:spacing w:after="0"/>
              <w:rPr>
                <w:sz w:val="24"/>
                <w:szCs w:val="24"/>
                <w:color w:val="auto"/>
              </w:rPr>
            </w:pPr>
          </w:p>
        </w:tc>
      </w:tr>
      <w:tr>
        <w:trPr>
          <w:trHeight w:val="317"/>
        </w:trPr>
        <w:tc>
          <w:tcPr>
            <w:tcW w:w="760" w:type="dxa"/>
            <w:vAlign w:val="bottom"/>
          </w:tcPr>
          <w:p>
            <w:pPr>
              <w:spacing w:after="0"/>
              <w:rPr>
                <w:sz w:val="20"/>
                <w:szCs w:val="20"/>
                <w:color w:val="auto"/>
              </w:rPr>
            </w:pPr>
            <w:r>
              <w:rPr>
                <w:rFonts w:ascii="Arial" w:cs="Arial" w:eastAsia="Arial" w:hAnsi="Arial"/>
                <w:sz w:val="19"/>
                <w:szCs w:val="19"/>
                <w:color w:val="auto"/>
              </w:rPr>
              <w:t>Item 4.</w:t>
            </w:r>
          </w:p>
        </w:tc>
        <w:tc>
          <w:tcPr>
            <w:tcW w:w="6980" w:type="dxa"/>
            <w:vAlign w:val="bottom"/>
          </w:tcPr>
          <w:p>
            <w:pPr>
              <w:ind w:left="60"/>
              <w:spacing w:after="0"/>
              <w:rPr>
                <w:sz w:val="20"/>
                <w:szCs w:val="20"/>
                <w:color w:val="auto"/>
              </w:rPr>
            </w:pPr>
            <w:r>
              <w:rPr>
                <w:rFonts w:ascii="Arial" w:cs="Arial" w:eastAsia="Arial" w:hAnsi="Arial"/>
                <w:sz w:val="19"/>
                <w:szCs w:val="19"/>
                <w:color w:val="auto"/>
              </w:rPr>
              <w:t>Mine Safety Disclosures</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64</w:t>
            </w:r>
          </w:p>
        </w:tc>
        <w:tc>
          <w:tcPr>
            <w:tcW w:w="400" w:type="dxa"/>
            <w:vAlign w:val="bottom"/>
          </w:tcPr>
          <w:p>
            <w:pPr>
              <w:spacing w:after="0"/>
              <w:rPr>
                <w:sz w:val="24"/>
                <w:szCs w:val="24"/>
                <w:color w:val="auto"/>
              </w:rPr>
            </w:pPr>
          </w:p>
        </w:tc>
      </w:tr>
      <w:tr>
        <w:trPr>
          <w:trHeight w:val="317"/>
        </w:trPr>
        <w:tc>
          <w:tcPr>
            <w:tcW w:w="760" w:type="dxa"/>
            <w:vAlign w:val="bottom"/>
          </w:tcPr>
          <w:p>
            <w:pPr>
              <w:spacing w:after="0"/>
              <w:rPr>
                <w:sz w:val="20"/>
                <w:szCs w:val="20"/>
                <w:color w:val="auto"/>
              </w:rPr>
            </w:pPr>
            <w:r>
              <w:rPr>
                <w:rFonts w:ascii="Arial" w:cs="Arial" w:eastAsia="Arial" w:hAnsi="Arial"/>
                <w:sz w:val="19"/>
                <w:szCs w:val="19"/>
                <w:color w:val="auto"/>
              </w:rPr>
              <w:t>Item 5.</w:t>
            </w:r>
          </w:p>
        </w:tc>
        <w:tc>
          <w:tcPr>
            <w:tcW w:w="6980" w:type="dxa"/>
            <w:vAlign w:val="bottom"/>
          </w:tcPr>
          <w:p>
            <w:pPr>
              <w:ind w:left="60"/>
              <w:spacing w:after="0"/>
              <w:rPr>
                <w:sz w:val="20"/>
                <w:szCs w:val="20"/>
                <w:color w:val="auto"/>
              </w:rPr>
            </w:pPr>
            <w:r>
              <w:rPr>
                <w:rFonts w:ascii="Arial" w:cs="Arial" w:eastAsia="Arial" w:hAnsi="Arial"/>
                <w:sz w:val="19"/>
                <w:szCs w:val="19"/>
                <w:color w:val="auto"/>
              </w:rPr>
              <w:t>Other Information</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64</w:t>
            </w:r>
          </w:p>
        </w:tc>
        <w:tc>
          <w:tcPr>
            <w:tcW w:w="400" w:type="dxa"/>
            <w:vAlign w:val="bottom"/>
          </w:tcPr>
          <w:p>
            <w:pPr>
              <w:spacing w:after="0"/>
              <w:rPr>
                <w:sz w:val="24"/>
                <w:szCs w:val="24"/>
                <w:color w:val="auto"/>
              </w:rPr>
            </w:pPr>
          </w:p>
        </w:tc>
      </w:tr>
      <w:tr>
        <w:trPr>
          <w:trHeight w:val="317"/>
        </w:trPr>
        <w:tc>
          <w:tcPr>
            <w:tcW w:w="760" w:type="dxa"/>
            <w:vAlign w:val="bottom"/>
          </w:tcPr>
          <w:p>
            <w:pPr>
              <w:spacing w:after="0"/>
              <w:rPr>
                <w:sz w:val="20"/>
                <w:szCs w:val="20"/>
                <w:color w:val="auto"/>
              </w:rPr>
            </w:pPr>
            <w:r>
              <w:rPr>
                <w:rFonts w:ascii="Arial" w:cs="Arial" w:eastAsia="Arial" w:hAnsi="Arial"/>
                <w:sz w:val="19"/>
                <w:szCs w:val="19"/>
                <w:color w:val="auto"/>
              </w:rPr>
              <w:t>Item 6.</w:t>
            </w:r>
          </w:p>
        </w:tc>
        <w:tc>
          <w:tcPr>
            <w:tcW w:w="6980" w:type="dxa"/>
            <w:vAlign w:val="bottom"/>
          </w:tcPr>
          <w:p>
            <w:pPr>
              <w:ind w:left="60"/>
              <w:spacing w:after="0"/>
              <w:rPr>
                <w:sz w:val="20"/>
                <w:szCs w:val="20"/>
                <w:color w:val="auto"/>
              </w:rPr>
            </w:pPr>
            <w:r>
              <w:rPr>
                <w:rFonts w:ascii="Arial" w:cs="Arial" w:eastAsia="Arial" w:hAnsi="Arial"/>
                <w:sz w:val="19"/>
                <w:szCs w:val="19"/>
                <w:color w:val="auto"/>
              </w:rPr>
              <w:t>Exhibits</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64</w:t>
            </w:r>
          </w:p>
        </w:tc>
        <w:tc>
          <w:tcPr>
            <w:tcW w:w="400" w:type="dxa"/>
            <w:vAlign w:val="bottom"/>
          </w:tcPr>
          <w:p>
            <w:pPr>
              <w:spacing w:after="0"/>
              <w:rPr>
                <w:sz w:val="24"/>
                <w:szCs w:val="24"/>
                <w:color w:val="auto"/>
              </w:rPr>
            </w:pPr>
          </w:p>
        </w:tc>
      </w:tr>
      <w:tr>
        <w:trPr>
          <w:trHeight w:val="317"/>
        </w:trPr>
        <w:tc>
          <w:tcPr>
            <w:tcW w:w="760" w:type="dxa"/>
            <w:vAlign w:val="bottom"/>
          </w:tcPr>
          <w:p>
            <w:pPr>
              <w:spacing w:after="0"/>
              <w:rPr>
                <w:sz w:val="24"/>
                <w:szCs w:val="24"/>
                <w:color w:val="auto"/>
              </w:rPr>
            </w:pPr>
          </w:p>
        </w:tc>
        <w:tc>
          <w:tcPr>
            <w:tcW w:w="6980" w:type="dxa"/>
            <w:vAlign w:val="bottom"/>
          </w:tcPr>
          <w:p>
            <w:pPr>
              <w:ind w:left="60"/>
              <w:spacing w:after="0"/>
              <w:rPr>
                <w:sz w:val="20"/>
                <w:szCs w:val="20"/>
                <w:color w:val="auto"/>
              </w:rPr>
            </w:pPr>
            <w:r>
              <w:rPr>
                <w:rFonts w:ascii="Arial" w:cs="Arial" w:eastAsia="Arial" w:hAnsi="Arial"/>
                <w:sz w:val="19"/>
                <w:szCs w:val="19"/>
                <w:color w:val="auto"/>
              </w:rPr>
              <w:t>Signature Page</w:t>
            </w:r>
          </w:p>
        </w:tc>
        <w:tc>
          <w:tcPr>
            <w:tcW w:w="720" w:type="dxa"/>
            <w:vAlign w:val="bottom"/>
          </w:tcPr>
          <w:p>
            <w:pPr>
              <w:jc w:val="center"/>
              <w:ind w:left="23"/>
              <w:spacing w:after="0"/>
              <w:rPr>
                <w:sz w:val="20"/>
                <w:szCs w:val="20"/>
                <w:color w:val="auto"/>
              </w:rPr>
            </w:pPr>
            <w:r>
              <w:rPr>
                <w:rFonts w:ascii="Arial" w:cs="Arial" w:eastAsia="Arial" w:hAnsi="Arial"/>
                <w:sz w:val="19"/>
                <w:szCs w:val="19"/>
                <w:color w:val="auto"/>
                <w:w w:val="94"/>
              </w:rPr>
              <w:t>66</w:t>
            </w:r>
          </w:p>
        </w:tc>
        <w:tc>
          <w:tcPr>
            <w:tcW w:w="400" w:type="dxa"/>
            <w:vAlign w:val="bottom"/>
          </w:tcPr>
          <w:p>
            <w:pPr>
              <w:spacing w:after="0"/>
              <w:rPr>
                <w:sz w:val="24"/>
                <w:szCs w:val="24"/>
                <w:color w:val="auto"/>
              </w:rPr>
            </w:pPr>
          </w:p>
        </w:tc>
      </w:tr>
      <w:tr>
        <w:trPr>
          <w:trHeight w:val="805"/>
        </w:trPr>
        <w:tc>
          <w:tcPr>
            <w:tcW w:w="760" w:type="dxa"/>
            <w:vAlign w:val="bottom"/>
          </w:tcPr>
          <w:p>
            <w:pPr>
              <w:spacing w:after="0"/>
              <w:rPr>
                <w:sz w:val="24"/>
                <w:szCs w:val="24"/>
                <w:color w:val="auto"/>
              </w:rPr>
            </w:pPr>
          </w:p>
        </w:tc>
        <w:tc>
          <w:tcPr>
            <w:tcW w:w="6980" w:type="dxa"/>
            <w:vAlign w:val="bottom"/>
          </w:tcPr>
          <w:p>
            <w:pPr>
              <w:ind w:left="3620"/>
              <w:spacing w:after="0"/>
              <w:rPr>
                <w:sz w:val="20"/>
                <w:szCs w:val="20"/>
                <w:color w:val="auto"/>
              </w:rPr>
            </w:pPr>
            <w:r>
              <w:rPr>
                <w:rFonts w:ascii="Arial" w:cs="Arial" w:eastAsia="Arial" w:hAnsi="Arial"/>
                <w:sz w:val="19"/>
                <w:szCs w:val="19"/>
                <w:color w:val="auto"/>
              </w:rPr>
              <w:t>2</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0"/>
        </w:trPr>
        <w:tc>
          <w:tcPr>
            <w:tcW w:w="760" w:type="dxa"/>
            <w:vAlign w:val="bottom"/>
            <w:tcBorders>
              <w:bottom w:val="single" w:sz="8" w:color="909090"/>
            </w:tcBorders>
          </w:tcPr>
          <w:p>
            <w:pPr>
              <w:spacing w:after="0"/>
              <w:rPr>
                <w:sz w:val="13"/>
                <w:szCs w:val="13"/>
                <w:color w:val="auto"/>
              </w:rPr>
            </w:pPr>
          </w:p>
        </w:tc>
        <w:tc>
          <w:tcPr>
            <w:tcW w:w="6980" w:type="dxa"/>
            <w:vAlign w:val="bottom"/>
            <w:tcBorders>
              <w:bottom w:val="single" w:sz="8" w:color="909090"/>
            </w:tcBorders>
          </w:tcPr>
          <w:p>
            <w:pPr>
              <w:spacing w:after="0"/>
              <w:rPr>
                <w:sz w:val="13"/>
                <w:szCs w:val="13"/>
                <w:color w:val="auto"/>
              </w:rPr>
            </w:pPr>
          </w:p>
        </w:tc>
        <w:tc>
          <w:tcPr>
            <w:tcW w:w="720" w:type="dxa"/>
            <w:vAlign w:val="bottom"/>
            <w:tcBorders>
              <w:bottom w:val="single" w:sz="8" w:color="909090"/>
            </w:tcBorders>
          </w:tcPr>
          <w:p>
            <w:pPr>
              <w:spacing w:after="0"/>
              <w:rPr>
                <w:sz w:val="13"/>
                <w:szCs w:val="13"/>
                <w:color w:val="auto"/>
              </w:rPr>
            </w:pPr>
          </w:p>
        </w:tc>
        <w:tc>
          <w:tcPr>
            <w:tcW w:w="400" w:type="dxa"/>
            <w:vAlign w:val="bottom"/>
            <w:tcBorders>
              <w:bottom w:val="single" w:sz="8" w:color="909090"/>
            </w:tcBorders>
          </w:tcPr>
          <w:p>
            <w:pPr>
              <w:spacing w:after="0"/>
              <w:rPr>
                <w:sz w:val="13"/>
                <w:szCs w:val="13"/>
                <w:color w:val="auto"/>
              </w:rPr>
            </w:pPr>
          </w:p>
        </w:tc>
      </w:tr>
    </w:tbl>
    <w:p>
      <w:pPr>
        <w:sectPr>
          <w:pgSz w:w="11900" w:h="16838" w:orient="portrait"/>
          <w:cols w:equalWidth="0" w:num="1">
            <w:col w:w="9179"/>
          </w:cols>
          <w:pgMar w:left="1280" w:top="118" w:right="1440"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CONDENSED CONSOLIDATED BALANCE SHEETS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 w:type="dxa"/>
            <w:vAlign w:val="bottom"/>
          </w:tcPr>
          <w:p>
            <w:pPr>
              <w:spacing w:after="0"/>
              <w:rPr>
                <w:sz w:val="21"/>
                <w:szCs w:val="21"/>
                <w:color w:val="auto"/>
              </w:rPr>
            </w:pPr>
          </w:p>
        </w:tc>
        <w:tc>
          <w:tcPr>
            <w:tcW w:w="4880" w:type="dxa"/>
            <w:vAlign w:val="bottom"/>
            <w:gridSpan w:val="2"/>
          </w:tcPr>
          <w:p>
            <w:pPr>
              <w:ind w:left="2420"/>
              <w:spacing w:after="0"/>
              <w:rPr>
                <w:sz w:val="20"/>
                <w:szCs w:val="20"/>
                <w:color w:val="auto"/>
              </w:rPr>
            </w:pPr>
            <w:r>
              <w:rPr>
                <w:rFonts w:ascii="Arial" w:cs="Arial" w:eastAsia="Arial" w:hAnsi="Arial"/>
                <w:sz w:val="19"/>
                <w:szCs w:val="19"/>
                <w:b w:val="1"/>
                <w:bCs w:val="1"/>
                <w:color w:val="auto"/>
                <w:w w:val="95"/>
              </w:rPr>
              <w:t xml:space="preserve">Part I </w:t>
            </w:r>
            <w:r>
              <w:rPr>
                <w:rFonts w:ascii="Arial" w:cs="Arial" w:eastAsia="Arial" w:hAnsi="Arial"/>
                <w:sz w:val="14"/>
                <w:szCs w:val="14"/>
                <w:b w:val="1"/>
                <w:bCs w:val="1"/>
                <w:color w:val="auto"/>
                <w:w w:val="95"/>
              </w:rPr>
              <w:t>-</w:t>
            </w:r>
            <w:r>
              <w:rPr>
                <w:rFonts w:ascii="Arial" w:cs="Arial" w:eastAsia="Arial" w:hAnsi="Arial"/>
                <w:sz w:val="19"/>
                <w:szCs w:val="19"/>
                <w:b w:val="1"/>
                <w:bCs w:val="1"/>
                <w:color w:val="auto"/>
                <w:w w:val="95"/>
              </w:rPr>
              <w:t xml:space="preserve"> Financial Information</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00" w:type="dxa"/>
            <w:vAlign w:val="bottom"/>
          </w:tcPr>
          <w:p>
            <w:pPr>
              <w:spacing w:after="0"/>
              <w:rPr>
                <w:sz w:val="20"/>
                <w:szCs w:val="20"/>
                <w:color w:val="auto"/>
              </w:rPr>
            </w:pPr>
            <w:r>
              <w:rPr>
                <w:rFonts w:ascii="Arial" w:cs="Arial" w:eastAsia="Arial" w:hAnsi="Arial"/>
                <w:sz w:val="19"/>
                <w:szCs w:val="19"/>
                <w:b w:val="1"/>
                <w:bCs w:val="1"/>
                <w:color w:val="auto"/>
              </w:rPr>
              <w:t>Item 1.</w:t>
            </w:r>
          </w:p>
        </w:tc>
        <w:tc>
          <w:tcPr>
            <w:tcW w:w="4880" w:type="dxa"/>
            <w:vAlign w:val="bottom"/>
            <w:gridSpan w:val="2"/>
          </w:tcPr>
          <w:p>
            <w:pPr>
              <w:ind w:left="60"/>
              <w:spacing w:after="0"/>
              <w:rPr>
                <w:sz w:val="20"/>
                <w:szCs w:val="20"/>
                <w:color w:val="auto"/>
              </w:rPr>
            </w:pPr>
            <w:r>
              <w:rPr>
                <w:rFonts w:ascii="Arial" w:cs="Arial" w:eastAsia="Arial" w:hAnsi="Arial"/>
                <w:sz w:val="19"/>
                <w:szCs w:val="19"/>
                <w:b w:val="1"/>
                <w:bCs w:val="1"/>
                <w:color w:val="auto"/>
              </w:rPr>
              <w:t>Financial Statements.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8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center"/>
              <w:ind w:right="700"/>
              <w:spacing w:after="0"/>
              <w:rPr>
                <w:sz w:val="20"/>
                <w:szCs w:val="20"/>
                <w:color w:val="auto"/>
              </w:rPr>
            </w:pPr>
            <w:r>
              <w:rPr>
                <w:rFonts w:ascii="Arial" w:cs="Arial" w:eastAsia="Arial" w:hAnsi="Arial"/>
                <w:sz w:val="19"/>
                <w:szCs w:val="19"/>
                <w:color w:val="auto"/>
                <w:w w:val="88"/>
              </w:rPr>
              <w:t>June 30</w:t>
            </w: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0" w:type="dxa"/>
            <w:vAlign w:val="bottom"/>
            <w:vMerge w:val="restart"/>
          </w:tcPr>
          <w:p>
            <w:pPr>
              <w:spacing w:after="0"/>
              <w:rPr>
                <w:sz w:val="20"/>
                <w:szCs w:val="20"/>
                <w:color w:val="auto"/>
              </w:rPr>
            </w:pPr>
            <w:r>
              <w:rPr>
                <w:rFonts w:ascii="Arial" w:cs="Arial" w:eastAsia="Arial" w:hAnsi="Arial"/>
                <w:sz w:val="19"/>
                <w:szCs w:val="19"/>
                <w:b w:val="1"/>
                <w:bCs w:val="1"/>
                <w:color w:val="auto"/>
              </w:rPr>
              <w:t>Assets</w:t>
            </w:r>
          </w:p>
        </w:tc>
        <w:tc>
          <w:tcPr>
            <w:tcW w:w="4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center"/>
              <w:ind w:right="363"/>
              <w:spacing w:after="0"/>
              <w:rPr>
                <w:sz w:val="20"/>
                <w:szCs w:val="20"/>
                <w:color w:val="auto"/>
              </w:rPr>
            </w:pPr>
            <w:r>
              <w:rPr>
                <w:rFonts w:ascii="Arial" w:cs="Arial" w:eastAsia="Arial" w:hAnsi="Arial"/>
                <w:sz w:val="19"/>
                <w:szCs w:val="19"/>
                <w:color w:val="auto"/>
                <w:w w:val="89"/>
              </w:rPr>
              <w:t>2020</w:t>
            </w:r>
          </w:p>
        </w:tc>
        <w:tc>
          <w:tcPr>
            <w:tcW w:w="220" w:type="dxa"/>
            <w:vAlign w:val="bottom"/>
          </w:tcPr>
          <w:p>
            <w:pPr>
              <w:spacing w:after="0"/>
              <w:rPr>
                <w:sz w:val="19"/>
                <w:szCs w:val="19"/>
                <w:color w:val="auto"/>
              </w:rPr>
            </w:pPr>
          </w:p>
        </w:tc>
        <w:tc>
          <w:tcPr>
            <w:tcW w:w="1500" w:type="dxa"/>
            <w:vAlign w:val="bottom"/>
          </w:tcPr>
          <w:p>
            <w:pPr>
              <w:jc w:val="right"/>
              <w:ind w:right="143"/>
              <w:spacing w:after="0"/>
              <w:rPr>
                <w:sz w:val="20"/>
                <w:szCs w:val="20"/>
                <w:color w:val="auto"/>
              </w:rPr>
            </w:pPr>
            <w:r>
              <w:rPr>
                <w:rFonts w:ascii="Arial" w:cs="Arial" w:eastAsia="Arial" w:hAnsi="Arial"/>
                <w:sz w:val="19"/>
                <w:szCs w:val="19"/>
                <w:color w:val="auto"/>
              </w:rPr>
              <w:t>December 31</w:t>
            </w:r>
          </w:p>
        </w:tc>
        <w:tc>
          <w:tcPr>
            <w:tcW w:w="0" w:type="dxa"/>
            <w:vAlign w:val="bottom"/>
          </w:tcPr>
          <w:p>
            <w:pPr>
              <w:spacing w:after="0"/>
              <w:rPr>
                <w:sz w:val="1"/>
                <w:szCs w:val="1"/>
                <w:color w:val="auto"/>
              </w:rPr>
            </w:pPr>
          </w:p>
        </w:tc>
      </w:tr>
      <w:tr>
        <w:trPr>
          <w:trHeight w:val="250"/>
        </w:trPr>
        <w:tc>
          <w:tcPr>
            <w:tcW w:w="800" w:type="dxa"/>
            <w:vAlign w:val="bottom"/>
            <w:vMerge w:val="continue"/>
          </w:tcPr>
          <w:p>
            <w:pPr>
              <w:spacing w:after="0"/>
              <w:rPr>
                <w:sz w:val="21"/>
                <w:szCs w:val="21"/>
                <w:color w:val="auto"/>
              </w:rPr>
            </w:pPr>
          </w:p>
        </w:tc>
        <w:tc>
          <w:tcPr>
            <w:tcW w:w="4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3"/>
          </w:tcPr>
          <w:p>
            <w:pPr>
              <w:jc w:val="center"/>
              <w:ind w:right="420"/>
              <w:spacing w:after="0"/>
              <w:rPr>
                <w:sz w:val="20"/>
                <w:szCs w:val="20"/>
                <w:color w:val="auto"/>
              </w:rPr>
            </w:pPr>
            <w:r>
              <w:rPr>
                <w:rFonts w:ascii="Arial" w:cs="Arial" w:eastAsia="Arial" w:hAnsi="Arial"/>
                <w:sz w:val="19"/>
                <w:szCs w:val="19"/>
                <w:color w:val="auto"/>
                <w:w w:val="94"/>
              </w:rPr>
              <w:t>(Unaudited)</w:t>
            </w:r>
          </w:p>
        </w:tc>
        <w:tc>
          <w:tcPr>
            <w:tcW w:w="1500" w:type="dxa"/>
            <w:vAlign w:val="bottom"/>
          </w:tcPr>
          <w:p>
            <w:pPr>
              <w:jc w:val="right"/>
              <w:ind w:right="463"/>
              <w:spacing w:after="0"/>
              <w:rPr>
                <w:sz w:val="20"/>
                <w:szCs w:val="20"/>
                <w:color w:val="auto"/>
              </w:rPr>
            </w:pPr>
            <w:r>
              <w:rPr>
                <w:rFonts w:ascii="Arial" w:cs="Arial" w:eastAsia="Arial" w:hAnsi="Arial"/>
                <w:sz w:val="19"/>
                <w:szCs w:val="19"/>
                <w:color w:val="auto"/>
              </w:rPr>
              <w:t>2019</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Investments:</w:t>
            </w:r>
          </w:p>
        </w:tc>
        <w:tc>
          <w:tcPr>
            <w:tcW w:w="20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680" w:type="dxa"/>
            <w:vAlign w:val="bottom"/>
            <w:gridSpan w:val="3"/>
          </w:tcPr>
          <w:p>
            <w:pPr>
              <w:ind w:left="220"/>
              <w:spacing w:after="0"/>
              <w:rPr>
                <w:sz w:val="20"/>
                <w:szCs w:val="20"/>
                <w:color w:val="auto"/>
              </w:rPr>
            </w:pPr>
            <w:r>
              <w:rPr>
                <w:rFonts w:ascii="Arial" w:cs="Arial" w:eastAsia="Arial" w:hAnsi="Arial"/>
                <w:sz w:val="19"/>
                <w:szCs w:val="19"/>
                <w:color w:val="auto"/>
                <w:w w:val="98"/>
              </w:rPr>
              <w:t>Fixed maturity securities, available for sale, at estimated fair value</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348,628,792</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  355,977,820</w:t>
            </w:r>
          </w:p>
        </w:tc>
        <w:tc>
          <w:tcPr>
            <w:tcW w:w="0" w:type="dxa"/>
            <w:vAlign w:val="bottom"/>
          </w:tcPr>
          <w:p>
            <w:pPr>
              <w:spacing w:after="0"/>
              <w:rPr>
                <w:sz w:val="1"/>
                <w:szCs w:val="1"/>
                <w:color w:val="auto"/>
              </w:rPr>
            </w:pPr>
          </w:p>
        </w:tc>
      </w:tr>
      <w:tr>
        <w:trPr>
          <w:trHeight w:val="268"/>
        </w:trPr>
        <w:tc>
          <w:tcPr>
            <w:tcW w:w="5680" w:type="dxa"/>
            <w:vAlign w:val="bottom"/>
            <w:gridSpan w:val="3"/>
            <w:shd w:val="clear" w:color="auto" w:fill="CCEEFF"/>
          </w:tcPr>
          <w:p>
            <w:pPr>
              <w:ind w:left="220"/>
              <w:spacing w:after="0"/>
              <w:rPr>
                <w:sz w:val="20"/>
                <w:szCs w:val="20"/>
                <w:color w:val="auto"/>
              </w:rPr>
            </w:pPr>
            <w:r>
              <w:rPr>
                <w:rFonts w:ascii="Arial" w:cs="Arial" w:eastAsia="Arial" w:hAnsi="Arial"/>
                <w:sz w:val="19"/>
                <w:szCs w:val="19"/>
                <w:color w:val="auto"/>
              </w:rPr>
              <w:t>Equity securities at estimated fair value</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11,791,511</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7,271,165</w:t>
            </w:r>
          </w:p>
        </w:tc>
        <w:tc>
          <w:tcPr>
            <w:tcW w:w="0" w:type="dxa"/>
            <w:vAlign w:val="bottom"/>
          </w:tcPr>
          <w:p>
            <w:pPr>
              <w:spacing w:after="0"/>
              <w:rPr>
                <w:sz w:val="1"/>
                <w:szCs w:val="1"/>
                <w:color w:val="auto"/>
              </w:rPr>
            </w:pPr>
          </w:p>
        </w:tc>
      </w:tr>
      <w:tr>
        <w:trPr>
          <w:trHeight w:val="274"/>
        </w:trPr>
        <w:tc>
          <w:tcPr>
            <w:tcW w:w="5680" w:type="dxa"/>
            <w:vAlign w:val="bottom"/>
            <w:gridSpan w:val="3"/>
          </w:tcPr>
          <w:p>
            <w:pPr>
              <w:ind w:left="220"/>
              <w:spacing w:after="0"/>
              <w:rPr>
                <w:sz w:val="20"/>
                <w:szCs w:val="20"/>
                <w:color w:val="auto"/>
              </w:rPr>
            </w:pPr>
            <w:r>
              <w:rPr>
                <w:rFonts w:ascii="Arial" w:cs="Arial" w:eastAsia="Arial" w:hAnsi="Arial"/>
                <w:sz w:val="19"/>
                <w:szCs w:val="19"/>
                <w:color w:val="auto"/>
              </w:rPr>
              <w:t>Mortgage loans held for investment (net of allowances for loan</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80" w:type="dxa"/>
            <w:vAlign w:val="bottom"/>
            <w:gridSpan w:val="3"/>
          </w:tcPr>
          <w:p>
            <w:pPr>
              <w:ind w:left="220"/>
              <w:spacing w:after="0"/>
              <w:rPr>
                <w:sz w:val="20"/>
                <w:szCs w:val="20"/>
                <w:color w:val="auto"/>
              </w:rPr>
            </w:pPr>
            <w:r>
              <w:rPr>
                <w:rFonts w:ascii="Arial" w:cs="Arial" w:eastAsia="Arial" w:hAnsi="Arial"/>
                <w:sz w:val="19"/>
                <w:szCs w:val="19"/>
                <w:color w:val="auto"/>
              </w:rPr>
              <w:t>losses of $2,443,557 and $1,453,037 for 2020 and 2019)</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260,418,004</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236,694,546</w:t>
            </w:r>
          </w:p>
        </w:tc>
        <w:tc>
          <w:tcPr>
            <w:tcW w:w="0" w:type="dxa"/>
            <w:vAlign w:val="bottom"/>
          </w:tcPr>
          <w:p>
            <w:pPr>
              <w:spacing w:after="0"/>
              <w:rPr>
                <w:sz w:val="1"/>
                <w:szCs w:val="1"/>
                <w:color w:val="auto"/>
              </w:rPr>
            </w:pPr>
          </w:p>
        </w:tc>
      </w:tr>
      <w:tr>
        <w:trPr>
          <w:trHeight w:val="278"/>
        </w:trPr>
        <w:tc>
          <w:tcPr>
            <w:tcW w:w="5680" w:type="dxa"/>
            <w:vAlign w:val="bottom"/>
            <w:gridSpan w:val="3"/>
            <w:shd w:val="clear" w:color="auto" w:fill="CCEEFF"/>
          </w:tcPr>
          <w:p>
            <w:pPr>
              <w:ind w:left="220"/>
              <w:spacing w:after="0"/>
              <w:rPr>
                <w:sz w:val="20"/>
                <w:szCs w:val="20"/>
                <w:color w:val="auto"/>
              </w:rPr>
            </w:pPr>
            <w:r>
              <w:rPr>
                <w:rFonts w:ascii="Arial" w:cs="Arial" w:eastAsia="Arial" w:hAnsi="Arial"/>
                <w:sz w:val="19"/>
                <w:szCs w:val="19"/>
                <w:color w:val="auto"/>
                <w:w w:val="96"/>
              </w:rPr>
              <w:t>Real estate held for investment (net of accumulated depreciation of</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680" w:type="dxa"/>
            <w:vAlign w:val="bottom"/>
            <w:gridSpan w:val="3"/>
            <w:shd w:val="clear" w:color="auto" w:fill="CCEEFF"/>
          </w:tcPr>
          <w:p>
            <w:pPr>
              <w:ind w:left="220"/>
              <w:spacing w:after="0"/>
              <w:rPr>
                <w:sz w:val="20"/>
                <w:szCs w:val="20"/>
                <w:color w:val="auto"/>
              </w:rPr>
            </w:pPr>
            <w:r>
              <w:rPr>
                <w:rFonts w:ascii="Arial" w:cs="Arial" w:eastAsia="Arial" w:hAnsi="Arial"/>
                <w:sz w:val="19"/>
                <w:szCs w:val="19"/>
                <w:color w:val="auto"/>
              </w:rPr>
              <w:t>$12,801,555 and $12,788,739 for 2020 and 2019)</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113,192,422</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102,756,946</w:t>
            </w:r>
          </w:p>
        </w:tc>
        <w:tc>
          <w:tcPr>
            <w:tcW w:w="0" w:type="dxa"/>
            <w:vAlign w:val="bottom"/>
          </w:tcPr>
          <w:p>
            <w:pPr>
              <w:spacing w:after="0"/>
              <w:rPr>
                <w:sz w:val="1"/>
                <w:szCs w:val="1"/>
                <w:color w:val="auto"/>
              </w:rPr>
            </w:pPr>
          </w:p>
        </w:tc>
      </w:tr>
      <w:tr>
        <w:trPr>
          <w:trHeight w:val="260"/>
        </w:trPr>
        <w:tc>
          <w:tcPr>
            <w:tcW w:w="5680" w:type="dxa"/>
            <w:vAlign w:val="bottom"/>
            <w:gridSpan w:val="3"/>
          </w:tcPr>
          <w:p>
            <w:pPr>
              <w:ind w:left="220"/>
              <w:spacing w:after="0"/>
              <w:rPr>
                <w:sz w:val="20"/>
                <w:szCs w:val="20"/>
                <w:color w:val="auto"/>
              </w:rPr>
            </w:pPr>
            <w:r>
              <w:rPr>
                <w:rFonts w:ascii="Arial" w:cs="Arial" w:eastAsia="Arial" w:hAnsi="Arial"/>
                <w:sz w:val="19"/>
                <w:szCs w:val="19"/>
                <w:color w:val="auto"/>
              </w:rPr>
              <w:t>Real estate held for sale</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10,598,341</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14,097,627</w:t>
            </w:r>
          </w:p>
        </w:tc>
        <w:tc>
          <w:tcPr>
            <w:tcW w:w="0" w:type="dxa"/>
            <w:vAlign w:val="bottom"/>
          </w:tcPr>
          <w:p>
            <w:pPr>
              <w:spacing w:after="0"/>
              <w:rPr>
                <w:sz w:val="1"/>
                <w:szCs w:val="1"/>
                <w:color w:val="auto"/>
              </w:rPr>
            </w:pPr>
          </w:p>
        </w:tc>
      </w:tr>
      <w:tr>
        <w:trPr>
          <w:trHeight w:val="278"/>
        </w:trPr>
        <w:tc>
          <w:tcPr>
            <w:tcW w:w="5680" w:type="dxa"/>
            <w:vAlign w:val="bottom"/>
            <w:gridSpan w:val="3"/>
            <w:shd w:val="clear" w:color="auto" w:fill="CCEEFF"/>
          </w:tcPr>
          <w:p>
            <w:pPr>
              <w:ind w:left="220"/>
              <w:spacing w:after="0"/>
              <w:rPr>
                <w:sz w:val="20"/>
                <w:szCs w:val="20"/>
                <w:color w:val="auto"/>
              </w:rPr>
            </w:pPr>
            <w:r>
              <w:rPr>
                <w:rFonts w:ascii="Arial" w:cs="Arial" w:eastAsia="Arial" w:hAnsi="Arial"/>
                <w:sz w:val="19"/>
                <w:szCs w:val="19"/>
                <w:color w:val="auto"/>
                <w:w w:val="98"/>
              </w:rPr>
              <w:t>Other investments and policy loans (net of allowances for doubtful</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680" w:type="dxa"/>
            <w:vAlign w:val="bottom"/>
            <w:gridSpan w:val="3"/>
            <w:shd w:val="clear" w:color="auto" w:fill="CCEEFF"/>
          </w:tcPr>
          <w:p>
            <w:pPr>
              <w:ind w:left="220"/>
              <w:spacing w:after="0"/>
              <w:rPr>
                <w:sz w:val="20"/>
                <w:szCs w:val="20"/>
                <w:color w:val="auto"/>
              </w:rPr>
            </w:pPr>
            <w:r>
              <w:rPr>
                <w:rFonts w:ascii="Arial" w:cs="Arial" w:eastAsia="Arial" w:hAnsi="Arial"/>
                <w:sz w:val="19"/>
                <w:szCs w:val="19"/>
                <w:color w:val="auto"/>
              </w:rPr>
              <w:t>accounts of $1,533,696 and $1,448,026 for 2020 and 2019)</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65,700,611</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60,245,269</w:t>
            </w:r>
          </w:p>
        </w:tc>
        <w:tc>
          <w:tcPr>
            <w:tcW w:w="0" w:type="dxa"/>
            <w:vAlign w:val="bottom"/>
          </w:tcPr>
          <w:p>
            <w:pPr>
              <w:spacing w:after="0"/>
              <w:rPr>
                <w:sz w:val="1"/>
                <w:szCs w:val="1"/>
                <w:color w:val="auto"/>
              </w:rPr>
            </w:pPr>
          </w:p>
        </w:tc>
      </w:tr>
      <w:tr>
        <w:trPr>
          <w:trHeight w:val="260"/>
        </w:trPr>
        <w:tc>
          <w:tcPr>
            <w:tcW w:w="5680" w:type="dxa"/>
            <w:vAlign w:val="bottom"/>
            <w:gridSpan w:val="3"/>
          </w:tcPr>
          <w:p>
            <w:pPr>
              <w:ind w:left="200"/>
              <w:spacing w:after="0"/>
              <w:rPr>
                <w:sz w:val="20"/>
                <w:szCs w:val="20"/>
                <w:color w:val="auto"/>
              </w:rPr>
            </w:pPr>
            <w:r>
              <w:rPr>
                <w:rFonts w:ascii="Arial" w:cs="Arial" w:eastAsia="Arial" w:hAnsi="Arial"/>
                <w:sz w:val="19"/>
                <w:szCs w:val="19"/>
                <w:color w:val="auto"/>
              </w:rPr>
              <w:t>Accrued investment income</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5,008,772</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4,833,232</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9"/>
                <w:szCs w:val="19"/>
                <w:color w:val="auto"/>
              </w:rPr>
              <w:t>Total investments</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815,338,453</w:t>
            </w:r>
          </w:p>
        </w:tc>
        <w:tc>
          <w:tcPr>
            <w:tcW w:w="220" w:type="dxa"/>
            <w:vAlign w:val="bottom"/>
            <w:tcBorders>
              <w:top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781,876,605</w:t>
            </w:r>
          </w:p>
        </w:tc>
        <w:tc>
          <w:tcPr>
            <w:tcW w:w="0" w:type="dxa"/>
            <w:vAlign w:val="bottom"/>
          </w:tcPr>
          <w:p>
            <w:pPr>
              <w:spacing w:after="0"/>
              <w:rPr>
                <w:sz w:val="1"/>
                <w:szCs w:val="1"/>
                <w:color w:val="auto"/>
              </w:rPr>
            </w:pPr>
          </w:p>
        </w:tc>
      </w:tr>
      <w:tr>
        <w:trPr>
          <w:trHeight w:val="242"/>
        </w:trPr>
        <w:tc>
          <w:tcPr>
            <w:tcW w:w="5480" w:type="dxa"/>
            <w:vAlign w:val="bottom"/>
            <w:gridSpan w:val="2"/>
          </w:tcPr>
          <w:p>
            <w:pPr>
              <w:spacing w:after="0"/>
              <w:rPr>
                <w:sz w:val="20"/>
                <w:szCs w:val="20"/>
                <w:color w:val="auto"/>
              </w:rPr>
            </w:pPr>
            <w:r>
              <w:rPr>
                <w:rFonts w:ascii="Arial" w:cs="Arial" w:eastAsia="Arial" w:hAnsi="Arial"/>
                <w:sz w:val="19"/>
                <w:szCs w:val="19"/>
                <w:color w:val="auto"/>
              </w:rPr>
              <w:t>Cash and cash equivalents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116,961,182</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127,754,719</w:t>
            </w:r>
          </w:p>
        </w:tc>
        <w:tc>
          <w:tcPr>
            <w:tcW w:w="0" w:type="dxa"/>
            <w:vAlign w:val="bottom"/>
          </w:tcPr>
          <w:p>
            <w:pPr>
              <w:spacing w:after="0"/>
              <w:rPr>
                <w:sz w:val="1"/>
                <w:szCs w:val="1"/>
                <w:color w:val="auto"/>
              </w:rPr>
            </w:pPr>
          </w:p>
        </w:tc>
      </w:tr>
      <w:tr>
        <w:trPr>
          <w:trHeight w:val="266"/>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Loans held for sale at estimated fair value</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356,949,958</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213,457,632</w:t>
            </w:r>
          </w:p>
        </w:tc>
        <w:tc>
          <w:tcPr>
            <w:tcW w:w="0" w:type="dxa"/>
            <w:vAlign w:val="bottom"/>
          </w:tcPr>
          <w:p>
            <w:pPr>
              <w:spacing w:after="0"/>
              <w:rPr>
                <w:sz w:val="1"/>
                <w:szCs w:val="1"/>
                <w:color w:val="auto"/>
              </w:rPr>
            </w:pPr>
          </w:p>
        </w:tc>
      </w:tr>
      <w:tr>
        <w:trPr>
          <w:trHeight w:val="274"/>
        </w:trPr>
        <w:tc>
          <w:tcPr>
            <w:tcW w:w="5680" w:type="dxa"/>
            <w:vAlign w:val="bottom"/>
            <w:gridSpan w:val="3"/>
          </w:tcPr>
          <w:p>
            <w:pPr>
              <w:spacing w:after="0"/>
              <w:rPr>
                <w:sz w:val="20"/>
                <w:szCs w:val="20"/>
                <w:color w:val="auto"/>
              </w:rPr>
            </w:pPr>
            <w:r>
              <w:rPr>
                <w:rFonts w:ascii="Arial" w:cs="Arial" w:eastAsia="Arial" w:hAnsi="Arial"/>
                <w:sz w:val="19"/>
                <w:szCs w:val="19"/>
                <w:color w:val="auto"/>
              </w:rPr>
              <w:t>Receivables (net of allowances for doubtful accounts of $1,731,873</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80" w:type="dxa"/>
            <w:vAlign w:val="bottom"/>
            <w:gridSpan w:val="3"/>
          </w:tcPr>
          <w:p>
            <w:pPr>
              <w:spacing w:after="0"/>
              <w:rPr>
                <w:sz w:val="20"/>
                <w:szCs w:val="20"/>
                <w:color w:val="auto"/>
              </w:rPr>
            </w:pPr>
            <w:r>
              <w:rPr>
                <w:rFonts w:ascii="Arial" w:cs="Arial" w:eastAsia="Arial" w:hAnsi="Arial"/>
                <w:sz w:val="19"/>
                <w:szCs w:val="19"/>
                <w:color w:val="auto"/>
              </w:rPr>
              <w:t>and $1,724,156 for 2020 and 2019)</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10,208,989</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9,236,330</w:t>
            </w:r>
          </w:p>
        </w:tc>
        <w:tc>
          <w:tcPr>
            <w:tcW w:w="0" w:type="dxa"/>
            <w:vAlign w:val="bottom"/>
          </w:tcPr>
          <w:p>
            <w:pPr>
              <w:spacing w:after="0"/>
              <w:rPr>
                <w:sz w:val="1"/>
                <w:szCs w:val="1"/>
                <w:color w:val="auto"/>
              </w:rPr>
            </w:pPr>
          </w:p>
        </w:tc>
      </w:tr>
      <w:tr>
        <w:trPr>
          <w:trHeight w:val="278"/>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w w:val="97"/>
              </w:rPr>
              <w:t>Restricted assets (including $3,029,593 and $2,985,347 for 2020 and</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2019 at estimated fair value)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16,445,277</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13,935,317</w:t>
            </w:r>
          </w:p>
        </w:tc>
        <w:tc>
          <w:tcPr>
            <w:tcW w:w="0" w:type="dxa"/>
            <w:vAlign w:val="bottom"/>
          </w:tcPr>
          <w:p>
            <w:pPr>
              <w:spacing w:after="0"/>
              <w:rPr>
                <w:sz w:val="1"/>
                <w:szCs w:val="1"/>
                <w:color w:val="auto"/>
              </w:rPr>
            </w:pPr>
          </w:p>
        </w:tc>
      </w:tr>
      <w:tr>
        <w:trPr>
          <w:trHeight w:val="274"/>
        </w:trPr>
        <w:tc>
          <w:tcPr>
            <w:tcW w:w="5680" w:type="dxa"/>
            <w:vAlign w:val="bottom"/>
            <w:gridSpan w:val="3"/>
          </w:tcPr>
          <w:p>
            <w:pPr>
              <w:spacing w:after="0"/>
              <w:rPr>
                <w:sz w:val="20"/>
                <w:szCs w:val="20"/>
                <w:color w:val="auto"/>
              </w:rPr>
            </w:pPr>
            <w:r>
              <w:rPr>
                <w:rFonts w:ascii="Arial" w:cs="Arial" w:eastAsia="Arial" w:hAnsi="Arial"/>
                <w:sz w:val="19"/>
                <w:szCs w:val="19"/>
                <w:color w:val="auto"/>
                <w:w w:val="97"/>
              </w:rPr>
              <w:t>Cemetery perpetual care trust investments (including $2,671,716 and</w:t>
            </w: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680" w:type="dxa"/>
            <w:vAlign w:val="bottom"/>
            <w:gridSpan w:val="3"/>
          </w:tcPr>
          <w:p>
            <w:pPr>
              <w:spacing w:after="0"/>
              <w:rPr>
                <w:sz w:val="20"/>
                <w:szCs w:val="20"/>
                <w:color w:val="auto"/>
              </w:rPr>
            </w:pPr>
            <w:r>
              <w:rPr>
                <w:rFonts w:ascii="Arial" w:cs="Arial" w:eastAsia="Arial" w:hAnsi="Arial"/>
                <w:sz w:val="19"/>
                <w:szCs w:val="19"/>
                <w:color w:val="auto"/>
              </w:rPr>
              <w:t>$2,581,124 for 2020 and 2019 at estimated fair value)</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5,230,630</w:t>
            </w: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4,411,864</w:t>
            </w:r>
          </w:p>
        </w:tc>
        <w:tc>
          <w:tcPr>
            <w:tcW w:w="0" w:type="dxa"/>
            <w:vAlign w:val="bottom"/>
          </w:tcPr>
          <w:p>
            <w:pPr>
              <w:spacing w:after="0"/>
              <w:rPr>
                <w:sz w:val="1"/>
                <w:szCs w:val="1"/>
                <w:color w:val="auto"/>
              </w:rPr>
            </w:pPr>
          </w:p>
        </w:tc>
      </w:tr>
      <w:tr>
        <w:trPr>
          <w:trHeight w:val="268"/>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Receivable from reinsurers</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15,858,896</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15,747,768</w:t>
            </w:r>
          </w:p>
        </w:tc>
        <w:tc>
          <w:tcPr>
            <w:tcW w:w="0" w:type="dxa"/>
            <w:vAlign w:val="bottom"/>
          </w:tcPr>
          <w:p>
            <w:pPr>
              <w:spacing w:after="0"/>
              <w:rPr>
                <w:sz w:val="1"/>
                <w:szCs w:val="1"/>
                <w:color w:val="auto"/>
              </w:rPr>
            </w:pPr>
          </w:p>
        </w:tc>
      </w:tr>
      <w:tr>
        <w:trPr>
          <w:trHeight w:val="260"/>
        </w:trPr>
        <w:tc>
          <w:tcPr>
            <w:tcW w:w="5680" w:type="dxa"/>
            <w:vAlign w:val="bottom"/>
            <w:gridSpan w:val="3"/>
          </w:tcPr>
          <w:p>
            <w:pPr>
              <w:spacing w:after="0"/>
              <w:rPr>
                <w:sz w:val="20"/>
                <w:szCs w:val="20"/>
                <w:color w:val="auto"/>
              </w:rPr>
            </w:pPr>
            <w:r>
              <w:rPr>
                <w:rFonts w:ascii="Arial" w:cs="Arial" w:eastAsia="Arial" w:hAnsi="Arial"/>
                <w:sz w:val="19"/>
                <w:szCs w:val="19"/>
                <w:color w:val="auto"/>
              </w:rPr>
              <w:t>Cemetery land and improvements</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9,173,403</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9,519,950</w:t>
            </w:r>
          </w:p>
        </w:tc>
        <w:tc>
          <w:tcPr>
            <w:tcW w:w="0" w:type="dxa"/>
            <w:vAlign w:val="bottom"/>
          </w:tcPr>
          <w:p>
            <w:pPr>
              <w:spacing w:after="0"/>
              <w:rPr>
                <w:sz w:val="1"/>
                <w:szCs w:val="1"/>
                <w:color w:val="auto"/>
              </w:rPr>
            </w:pPr>
          </w:p>
        </w:tc>
      </w:tr>
      <w:tr>
        <w:trPr>
          <w:trHeight w:val="268"/>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Deferred policy and pre-need contract acquisition costs</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97,528,343</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94,701,920</w:t>
            </w:r>
          </w:p>
        </w:tc>
        <w:tc>
          <w:tcPr>
            <w:tcW w:w="0" w:type="dxa"/>
            <w:vAlign w:val="bottom"/>
          </w:tcPr>
          <w:p>
            <w:pPr>
              <w:spacing w:after="0"/>
              <w:rPr>
                <w:sz w:val="1"/>
                <w:szCs w:val="1"/>
                <w:color w:val="auto"/>
              </w:rPr>
            </w:pPr>
          </w:p>
        </w:tc>
      </w:tr>
      <w:tr>
        <w:trPr>
          <w:trHeight w:val="260"/>
        </w:trPr>
        <w:tc>
          <w:tcPr>
            <w:tcW w:w="5680" w:type="dxa"/>
            <w:vAlign w:val="bottom"/>
            <w:gridSpan w:val="3"/>
          </w:tcPr>
          <w:p>
            <w:pPr>
              <w:spacing w:after="0"/>
              <w:rPr>
                <w:sz w:val="20"/>
                <w:szCs w:val="20"/>
                <w:color w:val="auto"/>
              </w:rPr>
            </w:pPr>
            <w:r>
              <w:rPr>
                <w:rFonts w:ascii="Arial" w:cs="Arial" w:eastAsia="Arial" w:hAnsi="Arial"/>
                <w:sz w:val="19"/>
                <w:szCs w:val="19"/>
                <w:color w:val="auto"/>
              </w:rPr>
              <w:t>Mortgage servicing rights, net</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21,695,123</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17,155,529</w:t>
            </w:r>
          </w:p>
        </w:tc>
        <w:tc>
          <w:tcPr>
            <w:tcW w:w="0" w:type="dxa"/>
            <w:vAlign w:val="bottom"/>
          </w:tcPr>
          <w:p>
            <w:pPr>
              <w:spacing w:after="0"/>
              <w:rPr>
                <w:sz w:val="1"/>
                <w:szCs w:val="1"/>
                <w:color w:val="auto"/>
              </w:rPr>
            </w:pPr>
          </w:p>
        </w:tc>
      </w:tr>
      <w:tr>
        <w:trPr>
          <w:trHeight w:val="268"/>
        </w:trPr>
        <w:tc>
          <w:tcPr>
            <w:tcW w:w="568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Property and equipment, net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12,952,262</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14,600,394</w:t>
            </w:r>
          </w:p>
        </w:tc>
        <w:tc>
          <w:tcPr>
            <w:tcW w:w="0" w:type="dxa"/>
            <w:vAlign w:val="bottom"/>
          </w:tcPr>
          <w:p>
            <w:pPr>
              <w:spacing w:after="0"/>
              <w:rPr>
                <w:sz w:val="1"/>
                <w:szCs w:val="1"/>
                <w:color w:val="auto"/>
              </w:rPr>
            </w:pPr>
          </w:p>
        </w:tc>
      </w:tr>
      <w:tr>
        <w:trPr>
          <w:trHeight w:val="260"/>
        </w:trPr>
        <w:tc>
          <w:tcPr>
            <w:tcW w:w="5680" w:type="dxa"/>
            <w:vAlign w:val="bottom"/>
            <w:gridSpan w:val="3"/>
          </w:tcPr>
          <w:p>
            <w:pPr>
              <w:spacing w:after="0"/>
              <w:rPr>
                <w:sz w:val="20"/>
                <w:szCs w:val="20"/>
                <w:color w:val="auto"/>
              </w:rPr>
            </w:pPr>
            <w:r>
              <w:rPr>
                <w:rFonts w:ascii="Arial" w:cs="Arial" w:eastAsia="Arial" w:hAnsi="Arial"/>
                <w:sz w:val="19"/>
                <w:szCs w:val="19"/>
                <w:color w:val="auto"/>
              </w:rPr>
              <w:t>Value of business acquired</w:t>
            </w: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9,570,741</w:t>
            </w:r>
          </w:p>
        </w:tc>
        <w:tc>
          <w:tcPr>
            <w:tcW w:w="22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9,876,647</w:t>
            </w:r>
          </w:p>
        </w:tc>
        <w:tc>
          <w:tcPr>
            <w:tcW w:w="0" w:type="dxa"/>
            <w:vAlign w:val="bottom"/>
          </w:tcPr>
          <w:p>
            <w:pPr>
              <w:spacing w:after="0"/>
              <w:rPr>
                <w:sz w:val="1"/>
                <w:szCs w:val="1"/>
                <w:color w:val="auto"/>
              </w:rPr>
            </w:pPr>
          </w:p>
        </w:tc>
      </w:tr>
      <w:tr>
        <w:trPr>
          <w:trHeight w:val="268"/>
        </w:trPr>
        <w:tc>
          <w:tcPr>
            <w:tcW w:w="800" w:type="dxa"/>
            <w:vAlign w:val="bottom"/>
            <w:shd w:val="clear" w:color="auto" w:fill="CCEEFF"/>
          </w:tcPr>
          <w:p>
            <w:pPr>
              <w:spacing w:after="0"/>
              <w:rPr>
                <w:sz w:val="20"/>
                <w:szCs w:val="20"/>
                <w:color w:val="auto"/>
              </w:rPr>
            </w:pPr>
            <w:r>
              <w:rPr>
                <w:rFonts w:ascii="Arial" w:cs="Arial" w:eastAsia="Arial" w:hAnsi="Arial"/>
                <w:sz w:val="19"/>
                <w:szCs w:val="19"/>
                <w:color w:val="auto"/>
              </w:rPr>
              <w:t>Goodwill</w:t>
            </w:r>
          </w:p>
        </w:tc>
        <w:tc>
          <w:tcPr>
            <w:tcW w:w="4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3,519,588</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3,519,588</w:t>
            </w:r>
          </w:p>
        </w:tc>
        <w:tc>
          <w:tcPr>
            <w:tcW w:w="0" w:type="dxa"/>
            <w:vAlign w:val="bottom"/>
          </w:tcPr>
          <w:p>
            <w:pPr>
              <w:spacing w:after="0"/>
              <w:rPr>
                <w:sz w:val="1"/>
                <w:szCs w:val="1"/>
                <w:color w:val="auto"/>
              </w:rPr>
            </w:pPr>
          </w:p>
        </w:tc>
      </w:tr>
      <w:tr>
        <w:trPr>
          <w:trHeight w:val="260"/>
        </w:trPr>
        <w:tc>
          <w:tcPr>
            <w:tcW w:w="80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Other</w:t>
            </w:r>
          </w:p>
        </w:tc>
        <w:tc>
          <w:tcPr>
            <w:tcW w:w="46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29,628,897</w:t>
            </w:r>
          </w:p>
        </w:tc>
        <w:tc>
          <w:tcPr>
            <w:tcW w:w="2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18,649,812</w:t>
            </w:r>
          </w:p>
        </w:tc>
        <w:tc>
          <w:tcPr>
            <w:tcW w:w="0" w:type="dxa"/>
            <w:vAlign w:val="bottom"/>
          </w:tcPr>
          <w:p>
            <w:pPr>
              <w:spacing w:after="0"/>
              <w:rPr>
                <w:sz w:val="1"/>
                <w:szCs w:val="1"/>
                <w:color w:val="auto"/>
              </w:rPr>
            </w:pPr>
          </w:p>
        </w:tc>
      </w:tr>
      <w:tr>
        <w:trPr>
          <w:trHeight w:val="235"/>
        </w:trPr>
        <w:tc>
          <w:tcPr>
            <w:tcW w:w="800" w:type="dxa"/>
            <w:vAlign w:val="bottom"/>
            <w:shd w:val="clear" w:color="auto" w:fill="CCEEFF"/>
          </w:tcPr>
          <w:p>
            <w:pPr>
              <w:spacing w:after="0"/>
              <w:rPr>
                <w:sz w:val="20"/>
                <w:szCs w:val="20"/>
                <w:color w:val="auto"/>
              </w:rPr>
            </w:pPr>
          </w:p>
        </w:tc>
        <w:tc>
          <w:tcPr>
            <w:tcW w:w="4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80" w:type="dxa"/>
            <w:vAlign w:val="bottom"/>
            <w:gridSpan w:val="3"/>
          </w:tcPr>
          <w:p>
            <w:pPr>
              <w:spacing w:after="0"/>
              <w:rPr>
                <w:sz w:val="20"/>
                <w:szCs w:val="20"/>
                <w:color w:val="auto"/>
              </w:rPr>
            </w:pPr>
            <w:r>
              <w:rPr>
                <w:rFonts w:ascii="Arial" w:cs="Arial" w:eastAsia="Arial" w:hAnsi="Arial"/>
                <w:sz w:val="19"/>
                <w:szCs w:val="19"/>
                <w:b w:val="1"/>
                <w:bCs w:val="1"/>
                <w:color w:val="auto"/>
              </w:rPr>
              <w:t>Total Assets</w:t>
            </w:r>
          </w:p>
        </w:tc>
        <w:tc>
          <w:tcPr>
            <w:tcW w:w="260" w:type="dxa"/>
            <w:vAlign w:val="bottom"/>
          </w:tcPr>
          <w:p>
            <w:pPr>
              <w:jc w:val="right"/>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w w:val="95"/>
              </w:rPr>
              <w:t>1,521,061,742</w:t>
            </w:r>
          </w:p>
        </w:tc>
        <w:tc>
          <w:tcPr>
            <w:tcW w:w="2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9"/>
                <w:szCs w:val="19"/>
                <w:color w:val="auto"/>
              </w:rPr>
              <w:t>$ 1,334,444,075</w:t>
            </w:r>
          </w:p>
        </w:tc>
        <w:tc>
          <w:tcPr>
            <w:tcW w:w="0" w:type="dxa"/>
            <w:vAlign w:val="bottom"/>
          </w:tcPr>
          <w:p>
            <w:pPr>
              <w:spacing w:after="0"/>
              <w:rPr>
                <w:sz w:val="1"/>
                <w:szCs w:val="1"/>
                <w:color w:val="auto"/>
              </w:rPr>
            </w:pPr>
          </w:p>
        </w:tc>
      </w:tr>
      <w:tr>
        <w:trPr>
          <w:trHeight w:val="217"/>
        </w:trPr>
        <w:tc>
          <w:tcPr>
            <w:tcW w:w="80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consolidated financial statements (unaudited).</w:t>
      </w: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5634355"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79"/>
          </w:cols>
          <w:pgMar w:left="1280" w:top="121" w:right="1440"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CONDENSED CONSOLIDATED BALANCE SHEETS (Continued)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60" w:type="dxa"/>
            <w:vAlign w:val="bottom"/>
          </w:tcPr>
          <w:p>
            <w:pPr>
              <w:spacing w:after="0"/>
              <w:rPr>
                <w:sz w:val="19"/>
                <w:szCs w:val="19"/>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9"/>
                <w:szCs w:val="19"/>
                <w:color w:val="auto"/>
                <w:w w:val="88"/>
              </w:rPr>
              <w:t>June 30</w:t>
            </w:r>
          </w:p>
        </w:tc>
        <w:tc>
          <w:tcPr>
            <w:tcW w:w="1340" w:type="dxa"/>
            <w:vAlign w:val="bottom"/>
          </w:tcPr>
          <w:p>
            <w:pPr>
              <w:spacing w:after="0"/>
              <w:rPr>
                <w:sz w:val="19"/>
                <w:szCs w:val="19"/>
                <w:color w:val="auto"/>
              </w:rPr>
            </w:pPr>
          </w:p>
        </w:tc>
      </w:tr>
      <w:tr>
        <w:trPr>
          <w:trHeight w:val="224"/>
        </w:trPr>
        <w:tc>
          <w:tcPr>
            <w:tcW w:w="596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9"/>
                <w:szCs w:val="19"/>
                <w:color w:val="auto"/>
                <w:w w:val="89"/>
              </w:rPr>
              <w:t>2020</w:t>
            </w:r>
          </w:p>
        </w:tc>
        <w:tc>
          <w:tcPr>
            <w:tcW w:w="200" w:type="dxa"/>
            <w:vAlign w:val="bottom"/>
          </w:tcPr>
          <w:p>
            <w:pPr>
              <w:spacing w:after="0"/>
              <w:rPr>
                <w:sz w:val="19"/>
                <w:szCs w:val="19"/>
                <w:color w:val="auto"/>
              </w:rPr>
            </w:pPr>
          </w:p>
        </w:tc>
        <w:tc>
          <w:tcPr>
            <w:tcW w:w="1340" w:type="dxa"/>
            <w:vAlign w:val="bottom"/>
          </w:tcPr>
          <w:p>
            <w:pPr>
              <w:jc w:val="right"/>
              <w:ind w:right="43"/>
              <w:spacing w:after="0"/>
              <w:rPr>
                <w:sz w:val="20"/>
                <w:szCs w:val="20"/>
                <w:color w:val="auto"/>
              </w:rPr>
            </w:pPr>
            <w:r>
              <w:rPr>
                <w:rFonts w:ascii="Arial" w:cs="Arial" w:eastAsia="Arial" w:hAnsi="Arial"/>
                <w:sz w:val="19"/>
                <w:szCs w:val="19"/>
                <w:color w:val="auto"/>
              </w:rPr>
              <w:t>December 31</w:t>
            </w:r>
          </w:p>
        </w:tc>
      </w:tr>
      <w:tr>
        <w:trPr>
          <w:trHeight w:val="250"/>
        </w:trPr>
        <w:tc>
          <w:tcPr>
            <w:tcW w:w="5960" w:type="dxa"/>
            <w:vAlign w:val="bottom"/>
          </w:tcPr>
          <w:p>
            <w:pPr>
              <w:spacing w:after="0"/>
              <w:rPr>
                <w:sz w:val="21"/>
                <w:szCs w:val="21"/>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9"/>
                <w:szCs w:val="19"/>
                <w:color w:val="auto"/>
                <w:w w:val="94"/>
              </w:rPr>
              <w:t>(Unaudited)</w:t>
            </w:r>
          </w:p>
        </w:tc>
        <w:tc>
          <w:tcPr>
            <w:tcW w:w="1340" w:type="dxa"/>
            <w:vAlign w:val="bottom"/>
          </w:tcPr>
          <w:p>
            <w:pPr>
              <w:jc w:val="right"/>
              <w:ind w:right="383"/>
              <w:spacing w:after="0"/>
              <w:rPr>
                <w:sz w:val="20"/>
                <w:szCs w:val="20"/>
                <w:color w:val="auto"/>
              </w:rPr>
            </w:pPr>
            <w:r>
              <w:rPr>
                <w:rFonts w:ascii="Arial" w:cs="Arial" w:eastAsia="Arial" w:hAnsi="Arial"/>
                <w:sz w:val="19"/>
                <w:szCs w:val="19"/>
                <w:color w:val="auto"/>
              </w:rPr>
              <w:t>2019</w:t>
            </w:r>
          </w:p>
        </w:tc>
      </w:tr>
      <w:tr>
        <w:trPr>
          <w:trHeight w:val="248"/>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Liabilities and Stockholders' Equity</w:t>
            </w:r>
          </w:p>
        </w:tc>
        <w:tc>
          <w:tcPr>
            <w:tcW w:w="136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60"/>
        </w:trPr>
        <w:tc>
          <w:tcPr>
            <w:tcW w:w="5960" w:type="dxa"/>
            <w:vAlign w:val="bottom"/>
          </w:tcPr>
          <w:p>
            <w:pPr>
              <w:spacing w:after="0"/>
              <w:rPr>
                <w:sz w:val="20"/>
                <w:szCs w:val="20"/>
                <w:color w:val="auto"/>
              </w:rPr>
            </w:pPr>
            <w:r>
              <w:rPr>
                <w:rFonts w:ascii="Arial" w:cs="Arial" w:eastAsia="Arial" w:hAnsi="Arial"/>
                <w:sz w:val="19"/>
                <w:szCs w:val="19"/>
                <w:b w:val="1"/>
                <w:bCs w:val="1"/>
                <w:color w:val="auto"/>
              </w:rPr>
              <w:t>Liabilities</w:t>
            </w:r>
          </w:p>
        </w:tc>
        <w:tc>
          <w:tcPr>
            <w:tcW w:w="1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68"/>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Future policy benefits and unpaid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  837,481,978</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  825,600,918</w:t>
            </w:r>
          </w:p>
        </w:tc>
      </w:tr>
      <w:tr>
        <w:trPr>
          <w:trHeight w:val="260"/>
        </w:trPr>
        <w:tc>
          <w:tcPr>
            <w:tcW w:w="5960" w:type="dxa"/>
            <w:vAlign w:val="bottom"/>
          </w:tcPr>
          <w:p>
            <w:pPr>
              <w:spacing w:after="0"/>
              <w:rPr>
                <w:sz w:val="20"/>
                <w:szCs w:val="20"/>
                <w:color w:val="auto"/>
              </w:rPr>
            </w:pPr>
            <w:r>
              <w:rPr>
                <w:rFonts w:ascii="Arial" w:cs="Arial" w:eastAsia="Arial" w:hAnsi="Arial"/>
                <w:sz w:val="19"/>
                <w:szCs w:val="19"/>
                <w:color w:val="auto"/>
              </w:rPr>
              <w:t>Unearned premium reserve</w:t>
            </w:r>
          </w:p>
        </w:tc>
        <w:tc>
          <w:tcPr>
            <w:tcW w:w="1360" w:type="dxa"/>
            <w:vAlign w:val="bottom"/>
          </w:tcPr>
          <w:p>
            <w:pPr>
              <w:jc w:val="right"/>
              <w:spacing w:after="0"/>
              <w:rPr>
                <w:sz w:val="20"/>
                <w:szCs w:val="20"/>
                <w:color w:val="auto"/>
              </w:rPr>
            </w:pPr>
            <w:r>
              <w:rPr>
                <w:rFonts w:ascii="Arial" w:cs="Arial" w:eastAsia="Arial" w:hAnsi="Arial"/>
                <w:sz w:val="19"/>
                <w:szCs w:val="19"/>
                <w:color w:val="auto"/>
              </w:rPr>
              <w:t>3,476,463</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3,621,697</w:t>
            </w:r>
          </w:p>
        </w:tc>
      </w:tr>
      <w:tr>
        <w:trPr>
          <w:trHeight w:val="268"/>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Bank and other loans payable</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347,139,008</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217,572,612</w:t>
            </w:r>
          </w:p>
        </w:tc>
      </w:tr>
      <w:tr>
        <w:trPr>
          <w:trHeight w:val="260"/>
        </w:trPr>
        <w:tc>
          <w:tcPr>
            <w:tcW w:w="5960" w:type="dxa"/>
            <w:vAlign w:val="bottom"/>
          </w:tcPr>
          <w:p>
            <w:pPr>
              <w:spacing w:after="0"/>
              <w:rPr>
                <w:sz w:val="20"/>
                <w:szCs w:val="20"/>
                <w:color w:val="auto"/>
              </w:rPr>
            </w:pPr>
            <w:r>
              <w:rPr>
                <w:rFonts w:ascii="Arial" w:cs="Arial" w:eastAsia="Arial" w:hAnsi="Arial"/>
                <w:sz w:val="19"/>
                <w:szCs w:val="19"/>
                <w:color w:val="auto"/>
              </w:rPr>
              <w:t>Deferred pre-need cemetery and mortuary contract revenues</w:t>
            </w:r>
          </w:p>
        </w:tc>
        <w:tc>
          <w:tcPr>
            <w:tcW w:w="1360" w:type="dxa"/>
            <w:vAlign w:val="bottom"/>
          </w:tcPr>
          <w:p>
            <w:pPr>
              <w:jc w:val="right"/>
              <w:spacing w:after="0"/>
              <w:rPr>
                <w:sz w:val="20"/>
                <w:szCs w:val="20"/>
                <w:color w:val="auto"/>
              </w:rPr>
            </w:pPr>
            <w:r>
              <w:rPr>
                <w:rFonts w:ascii="Arial" w:cs="Arial" w:eastAsia="Arial" w:hAnsi="Arial"/>
                <w:sz w:val="19"/>
                <w:szCs w:val="19"/>
                <w:color w:val="auto"/>
              </w:rPr>
              <w:t>12,930,466</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12,607,978</w:t>
            </w:r>
          </w:p>
        </w:tc>
      </w:tr>
      <w:tr>
        <w:trPr>
          <w:trHeight w:val="268"/>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Cemetery perpetual care obligation</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4,003,169</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3,933,719</w:t>
            </w:r>
          </w:p>
        </w:tc>
      </w:tr>
      <w:tr>
        <w:trPr>
          <w:trHeight w:val="260"/>
        </w:trPr>
        <w:tc>
          <w:tcPr>
            <w:tcW w:w="5960" w:type="dxa"/>
            <w:vAlign w:val="bottom"/>
          </w:tcPr>
          <w:p>
            <w:pPr>
              <w:spacing w:after="0"/>
              <w:rPr>
                <w:sz w:val="20"/>
                <w:szCs w:val="20"/>
                <w:color w:val="auto"/>
              </w:rPr>
            </w:pPr>
            <w:r>
              <w:rPr>
                <w:rFonts w:ascii="Arial" w:cs="Arial" w:eastAsia="Arial" w:hAnsi="Arial"/>
                <w:sz w:val="19"/>
                <w:szCs w:val="19"/>
                <w:color w:val="auto"/>
              </w:rPr>
              <w:t>Accounts payable</w:t>
            </w:r>
          </w:p>
        </w:tc>
        <w:tc>
          <w:tcPr>
            <w:tcW w:w="1360" w:type="dxa"/>
            <w:vAlign w:val="bottom"/>
          </w:tcPr>
          <w:p>
            <w:pPr>
              <w:jc w:val="right"/>
              <w:spacing w:after="0"/>
              <w:rPr>
                <w:sz w:val="20"/>
                <w:szCs w:val="20"/>
                <w:color w:val="auto"/>
              </w:rPr>
            </w:pPr>
            <w:r>
              <w:rPr>
                <w:rFonts w:ascii="Arial" w:cs="Arial" w:eastAsia="Arial" w:hAnsi="Arial"/>
                <w:sz w:val="19"/>
                <w:szCs w:val="19"/>
                <w:color w:val="auto"/>
              </w:rPr>
              <w:t>4,920,178</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5,056,983</w:t>
            </w:r>
          </w:p>
        </w:tc>
      </w:tr>
      <w:tr>
        <w:trPr>
          <w:trHeight w:val="268"/>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Other liabilities and accrued expenses</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62,689,482</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50,652,591</w:t>
            </w:r>
          </w:p>
        </w:tc>
      </w:tr>
      <w:tr>
        <w:trPr>
          <w:trHeight w:val="260"/>
        </w:trPr>
        <w:tc>
          <w:tcPr>
            <w:tcW w:w="5960" w:type="dxa"/>
            <w:vAlign w:val="bottom"/>
            <w:tcBorders>
              <w:bottom w:val="single" w:sz="8" w:color="CCEEFF"/>
            </w:tcBorders>
          </w:tcPr>
          <w:p>
            <w:pPr>
              <w:spacing w:after="0"/>
              <w:rPr>
                <w:sz w:val="20"/>
                <w:szCs w:val="20"/>
                <w:color w:val="auto"/>
              </w:rPr>
            </w:pPr>
            <w:r>
              <w:rPr>
                <w:rFonts w:ascii="Arial" w:cs="Arial" w:eastAsia="Arial" w:hAnsi="Arial"/>
                <w:sz w:val="19"/>
                <w:szCs w:val="19"/>
                <w:color w:val="auto"/>
              </w:rPr>
              <w:t>Income taxes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25,806,772</w:t>
            </w:r>
          </w:p>
        </w:tc>
        <w:tc>
          <w:tcPr>
            <w:tcW w:w="2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18,686,972</w:t>
            </w:r>
          </w:p>
        </w:tc>
      </w:tr>
      <w:tr>
        <w:trPr>
          <w:trHeight w:val="246"/>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Total liabilities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1,298,447,516</w:t>
            </w:r>
          </w:p>
        </w:tc>
        <w:tc>
          <w:tcPr>
            <w:tcW w:w="2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1,137,733,470</w:t>
            </w:r>
          </w:p>
        </w:tc>
      </w:tr>
      <w:tr>
        <w:trPr>
          <w:trHeight w:val="246"/>
        </w:trPr>
        <w:tc>
          <w:tcPr>
            <w:tcW w:w="59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64"/>
        </w:trPr>
        <w:tc>
          <w:tcPr>
            <w:tcW w:w="5960" w:type="dxa"/>
            <w:vAlign w:val="bottom"/>
            <w:shd w:val="clear" w:color="auto" w:fill="CCEEFF"/>
          </w:tcPr>
          <w:p>
            <w:pPr>
              <w:spacing w:after="0"/>
              <w:rPr>
                <w:sz w:val="20"/>
                <w:szCs w:val="20"/>
                <w:color w:val="auto"/>
              </w:rPr>
            </w:pPr>
            <w:r>
              <w:rPr>
                <w:rFonts w:ascii="Arial" w:cs="Arial" w:eastAsia="Arial" w:hAnsi="Arial"/>
                <w:sz w:val="19"/>
                <w:szCs w:val="19"/>
                <w:b w:val="1"/>
                <w:bCs w:val="1"/>
                <w:color w:val="auto"/>
              </w:rPr>
              <w:t>Stockholders' Equity</w:t>
            </w:r>
          </w:p>
        </w:tc>
        <w:tc>
          <w:tcPr>
            <w:tcW w:w="13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74"/>
        </w:trPr>
        <w:tc>
          <w:tcPr>
            <w:tcW w:w="5960" w:type="dxa"/>
            <w:vAlign w:val="bottom"/>
          </w:tcPr>
          <w:p>
            <w:pPr>
              <w:spacing w:after="0"/>
              <w:rPr>
                <w:sz w:val="20"/>
                <w:szCs w:val="20"/>
                <w:color w:val="auto"/>
              </w:rPr>
            </w:pPr>
            <w:r>
              <w:rPr>
                <w:rFonts w:ascii="Arial" w:cs="Arial" w:eastAsia="Arial" w:hAnsi="Arial"/>
                <w:sz w:val="19"/>
                <w:szCs w:val="19"/>
                <w:color w:val="auto"/>
                <w:w w:val="92"/>
              </w:rPr>
              <w:t>Preferred Stock - non-voting - $1.00 par value; 5,000,000 shares authorized;</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19"/>
                <w:szCs w:val="19"/>
                <w:color w:val="auto"/>
              </w:rPr>
              <w:t>none issued or outstanding</w:t>
            </w:r>
          </w:p>
        </w:tc>
        <w:tc>
          <w:tcPr>
            <w:tcW w:w="13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8"/>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w w:val="96"/>
              </w:rPr>
              <w:t>Class A: common stock - $2.00 par value; 20,000,000 shares authorized;</w:t>
            </w:r>
          </w:p>
        </w:tc>
        <w:tc>
          <w:tcPr>
            <w:tcW w:w="1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4"/>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issued 16,557,554 shares in 2020 and 16,107,779 shares in 2019</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33,115,108</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32,215,558</w:t>
            </w:r>
          </w:p>
        </w:tc>
      </w:tr>
      <w:tr>
        <w:trPr>
          <w:trHeight w:val="274"/>
        </w:trPr>
        <w:tc>
          <w:tcPr>
            <w:tcW w:w="5960" w:type="dxa"/>
            <w:vAlign w:val="bottom"/>
          </w:tcPr>
          <w:p>
            <w:pPr>
              <w:spacing w:after="0"/>
              <w:rPr>
                <w:sz w:val="20"/>
                <w:szCs w:val="20"/>
                <w:color w:val="auto"/>
              </w:rPr>
            </w:pPr>
            <w:r>
              <w:rPr>
                <w:rFonts w:ascii="Arial" w:cs="Arial" w:eastAsia="Arial" w:hAnsi="Arial"/>
                <w:sz w:val="19"/>
                <w:szCs w:val="19"/>
                <w:color w:val="auto"/>
                <w:w w:val="99"/>
              </w:rPr>
              <w:t>Class B: non-voting common stock - $1.00 par value; 5,000,000 shares</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50"/>
        </w:trPr>
        <w:tc>
          <w:tcPr>
            <w:tcW w:w="5960" w:type="dxa"/>
            <w:vAlign w:val="bottom"/>
          </w:tcPr>
          <w:p>
            <w:pPr>
              <w:spacing w:after="0"/>
              <w:rPr>
                <w:sz w:val="20"/>
                <w:szCs w:val="20"/>
                <w:color w:val="auto"/>
              </w:rPr>
            </w:pPr>
            <w:r>
              <w:rPr>
                <w:rFonts w:ascii="Arial" w:cs="Arial" w:eastAsia="Arial" w:hAnsi="Arial"/>
                <w:sz w:val="19"/>
                <w:szCs w:val="19"/>
                <w:color w:val="auto"/>
              </w:rPr>
              <w:t>authorized; none issued or outstanding</w:t>
            </w:r>
          </w:p>
        </w:tc>
        <w:tc>
          <w:tcPr>
            <w:tcW w:w="1360" w:type="dxa"/>
            <w:vAlign w:val="bottom"/>
          </w:tcPr>
          <w:p>
            <w:pPr>
              <w:jc w:val="right"/>
              <w:spacing w:after="0"/>
              <w:rPr>
                <w:sz w:val="20"/>
                <w:szCs w:val="20"/>
                <w:color w:val="auto"/>
              </w:rPr>
            </w:pPr>
            <w:r>
              <w:rPr>
                <w:rFonts w:ascii="Arial" w:cs="Arial" w:eastAsia="Arial" w:hAnsi="Arial"/>
                <w:sz w:val="19"/>
                <w:szCs w:val="19"/>
                <w:color w:val="auto"/>
              </w:rPr>
              <w:t>-</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78"/>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w w:val="98"/>
              </w:rPr>
              <w:t>Class C: convertible common stock - $2.00 par value; 3,000,000 shares</w:t>
            </w:r>
          </w:p>
        </w:tc>
        <w:tc>
          <w:tcPr>
            <w:tcW w:w="1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4"/>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w w:val="94"/>
              </w:rPr>
              <w:t>authorized; issued 2,551,445 shares in 2020 and 2,500,887 shares in 2019</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5,102,890</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5,001,774</w:t>
            </w:r>
          </w:p>
        </w:tc>
      </w:tr>
      <w:tr>
        <w:trPr>
          <w:trHeight w:val="260"/>
        </w:trPr>
        <w:tc>
          <w:tcPr>
            <w:tcW w:w="5960" w:type="dxa"/>
            <w:vAlign w:val="bottom"/>
          </w:tcPr>
          <w:p>
            <w:pPr>
              <w:spacing w:after="0"/>
              <w:rPr>
                <w:sz w:val="20"/>
                <w:szCs w:val="20"/>
                <w:color w:val="auto"/>
              </w:rPr>
            </w:pPr>
            <w:r>
              <w:rPr>
                <w:rFonts w:ascii="Arial" w:cs="Arial" w:eastAsia="Arial" w:hAnsi="Arial"/>
                <w:sz w:val="19"/>
                <w:szCs w:val="19"/>
                <w:color w:val="auto"/>
              </w:rPr>
              <w:t>Additional paid-in capital</w:t>
            </w:r>
          </w:p>
        </w:tc>
        <w:tc>
          <w:tcPr>
            <w:tcW w:w="1360" w:type="dxa"/>
            <w:vAlign w:val="bottom"/>
          </w:tcPr>
          <w:p>
            <w:pPr>
              <w:jc w:val="right"/>
              <w:spacing w:after="0"/>
              <w:rPr>
                <w:sz w:val="20"/>
                <w:szCs w:val="20"/>
                <w:color w:val="auto"/>
              </w:rPr>
            </w:pPr>
            <w:r>
              <w:rPr>
                <w:rFonts w:ascii="Arial" w:cs="Arial" w:eastAsia="Arial" w:hAnsi="Arial"/>
                <w:sz w:val="19"/>
                <w:szCs w:val="19"/>
                <w:color w:val="auto"/>
              </w:rPr>
              <w:t>48,917,891</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46,091,112</w:t>
            </w:r>
          </w:p>
        </w:tc>
      </w:tr>
      <w:tr>
        <w:trPr>
          <w:trHeight w:val="268"/>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Accumulated other comprehensive income, net of taxes</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16,894,089</w:t>
            </w:r>
          </w:p>
        </w:tc>
        <w:tc>
          <w:tcPr>
            <w:tcW w:w="2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13,726,514</w:t>
            </w:r>
          </w:p>
        </w:tc>
      </w:tr>
      <w:tr>
        <w:trPr>
          <w:trHeight w:val="260"/>
        </w:trPr>
        <w:tc>
          <w:tcPr>
            <w:tcW w:w="5960" w:type="dxa"/>
            <w:vAlign w:val="bottom"/>
          </w:tcPr>
          <w:p>
            <w:pPr>
              <w:spacing w:after="0"/>
              <w:rPr>
                <w:sz w:val="20"/>
                <w:szCs w:val="20"/>
                <w:color w:val="auto"/>
              </w:rPr>
            </w:pPr>
            <w:r>
              <w:rPr>
                <w:rFonts w:ascii="Arial" w:cs="Arial" w:eastAsia="Arial" w:hAnsi="Arial"/>
                <w:sz w:val="19"/>
                <w:szCs w:val="19"/>
                <w:color w:val="auto"/>
              </w:rPr>
              <w:t>Retained earnings</w:t>
            </w:r>
          </w:p>
        </w:tc>
        <w:tc>
          <w:tcPr>
            <w:tcW w:w="1360" w:type="dxa"/>
            <w:vAlign w:val="bottom"/>
          </w:tcPr>
          <w:p>
            <w:pPr>
              <w:jc w:val="right"/>
              <w:spacing w:after="0"/>
              <w:rPr>
                <w:sz w:val="20"/>
                <w:szCs w:val="20"/>
                <w:color w:val="auto"/>
              </w:rPr>
            </w:pPr>
            <w:r>
              <w:rPr>
                <w:rFonts w:ascii="Arial" w:cs="Arial" w:eastAsia="Arial" w:hAnsi="Arial"/>
                <w:sz w:val="19"/>
                <w:szCs w:val="19"/>
                <w:color w:val="auto"/>
              </w:rPr>
              <w:t>120,126,524</w:t>
            </w: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101,256,229</w:t>
            </w:r>
          </w:p>
        </w:tc>
      </w:tr>
      <w:tr>
        <w:trPr>
          <w:trHeight w:val="278"/>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w w:val="93"/>
              </w:rPr>
              <w:t>Treasury stock at cost - 349,850 Class A shares in 2020 and 490,823 Class</w:t>
            </w:r>
          </w:p>
        </w:tc>
        <w:tc>
          <w:tcPr>
            <w:tcW w:w="13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54"/>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A shares in 2019</w:t>
            </w:r>
          </w:p>
        </w:tc>
        <w:tc>
          <w:tcPr>
            <w:tcW w:w="136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(1,542,276)</w:t>
            </w:r>
          </w:p>
        </w:tc>
        <w:tc>
          <w:tcPr>
            <w:tcW w:w="2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9"/>
                <w:szCs w:val="19"/>
                <w:color w:val="auto"/>
              </w:rPr>
              <w:t>(1,580,582)</w:t>
            </w:r>
          </w:p>
        </w:tc>
      </w:tr>
      <w:tr>
        <w:trPr>
          <w:trHeight w:val="251"/>
        </w:trPr>
        <w:tc>
          <w:tcPr>
            <w:tcW w:w="596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r>
      <w:tr>
        <w:trPr>
          <w:trHeight w:val="242"/>
        </w:trPr>
        <w:tc>
          <w:tcPr>
            <w:tcW w:w="5960" w:type="dxa"/>
            <w:vAlign w:val="bottom"/>
            <w:shd w:val="clear" w:color="auto" w:fill="CCEEFF"/>
          </w:tcPr>
          <w:p>
            <w:pPr>
              <w:spacing w:after="0"/>
              <w:rPr>
                <w:sz w:val="20"/>
                <w:szCs w:val="20"/>
                <w:color w:val="auto"/>
              </w:rPr>
            </w:pPr>
            <w:r>
              <w:rPr>
                <w:rFonts w:ascii="Arial" w:cs="Arial" w:eastAsia="Arial" w:hAnsi="Arial"/>
                <w:sz w:val="19"/>
                <w:szCs w:val="19"/>
                <w:color w:val="auto"/>
              </w:rPr>
              <w:t>Total stockholders' equity</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222,614,226</w:t>
            </w:r>
          </w:p>
        </w:tc>
        <w:tc>
          <w:tcPr>
            <w:tcW w:w="200" w:type="dxa"/>
            <w:vAlign w:val="bottom"/>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196,710,605</w:t>
            </w:r>
          </w:p>
        </w:tc>
      </w:tr>
      <w:tr>
        <w:trPr>
          <w:trHeight w:val="233"/>
        </w:trPr>
        <w:tc>
          <w:tcPr>
            <w:tcW w:w="5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64"/>
        </w:trPr>
        <w:tc>
          <w:tcPr>
            <w:tcW w:w="5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9"/>
                <w:szCs w:val="19"/>
                <w:b w:val="1"/>
                <w:bCs w:val="1"/>
                <w:color w:val="auto"/>
              </w:rPr>
              <w:t>Total Liabilities and Stockholders' Equity</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7"/>
              </w:rPr>
              <w:t>$ 1,521,061,742</w:t>
            </w:r>
          </w:p>
        </w:tc>
        <w:tc>
          <w:tcPr>
            <w:tcW w:w="2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96"/>
              </w:rPr>
              <w:t>$ 1,334,444,075</w:t>
            </w:r>
          </w:p>
        </w:tc>
      </w:tr>
      <w:tr>
        <w:trPr>
          <w:trHeight w:val="20"/>
        </w:trPr>
        <w:tc>
          <w:tcPr>
            <w:tcW w:w="59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6"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consolidated financial statements (unaudited).</w:t>
      </w:r>
    </w:p>
    <w:p>
      <w:pPr>
        <w:spacing w:after="0" w:line="257"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563435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79"/>
          </w:cols>
          <w:pgMar w:left="1280" w:top="122" w:right="1440" w:bottom="1440" w:gutter="0" w:footer="0" w:header="0"/>
        </w:sectPr>
      </w:pPr>
    </w:p>
    <w:bookmarkStart w:id="4" w:name="page5"/>
    <w:bookmarkEnd w:id="4"/>
    <w:p>
      <w:pPr>
        <w:jc w:val="center"/>
        <w:ind w:right="436"/>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436"/>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436"/>
        <w:spacing w:after="0"/>
        <w:rPr>
          <w:sz w:val="20"/>
          <w:szCs w:val="20"/>
          <w:color w:val="auto"/>
        </w:rPr>
      </w:pPr>
      <w:r>
        <w:rPr>
          <w:rFonts w:ascii="Arial" w:cs="Arial" w:eastAsia="Arial" w:hAnsi="Arial"/>
          <w:sz w:val="19"/>
          <w:szCs w:val="19"/>
          <w:color w:val="auto"/>
        </w:rPr>
        <w:t>CONDENSED CONSOLIDATED STATEMENTS OF EARNINGS</w:t>
      </w:r>
    </w:p>
    <w:p>
      <w:pPr>
        <w:spacing w:after="0" w:line="6" w:lineRule="exact"/>
        <w:rPr>
          <w:sz w:val="20"/>
          <w:szCs w:val="20"/>
          <w:color w:val="auto"/>
        </w:rPr>
      </w:pPr>
    </w:p>
    <w:p>
      <w:pPr>
        <w:jc w:val="center"/>
        <w:ind w:right="436"/>
        <w:spacing w:after="0"/>
        <w:rPr>
          <w:sz w:val="20"/>
          <w:szCs w:val="20"/>
          <w:color w:val="auto"/>
        </w:rPr>
      </w:pPr>
      <w:r>
        <w:rPr>
          <w:rFonts w:ascii="Arial" w:cs="Arial" w:eastAsia="Arial" w:hAnsi="Arial"/>
          <w:sz w:val="19"/>
          <w:szCs w:val="19"/>
          <w:color w:val="auto"/>
        </w:rPr>
        <w:t>(Unaudited)</w:t>
      </w:r>
    </w:p>
    <w:p>
      <w:pPr>
        <w:spacing w:after="0" w:line="213" w:lineRule="exact"/>
        <w:rPr>
          <w:sz w:val="20"/>
          <w:szCs w:val="20"/>
          <w:color w:val="auto"/>
        </w:rPr>
      </w:pPr>
    </w:p>
    <w:tbl>
      <w:tblPr>
        <w:tblLayout w:type="fixed"/>
        <w:tblInd w:w="4" w:type="dxa"/>
        <w:tblCellMar>
          <w:top w:w="0" w:type="dxa"/>
          <w:left w:w="0" w:type="dxa"/>
          <w:bottom w:w="0" w:type="dxa"/>
          <w:right w:w="0" w:type="dxa"/>
        </w:tblCellMar>
      </w:tblPr>
      <w:tr>
        <w:trPr>
          <w:trHeight w:val="177"/>
        </w:trPr>
        <w:tc>
          <w:tcPr>
            <w:tcW w:w="3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20" w:type="dxa"/>
            <w:vAlign w:val="bottom"/>
            <w:gridSpan w:val="5"/>
          </w:tcPr>
          <w:p>
            <w:pPr>
              <w:ind w:left="80"/>
              <w:spacing w:after="0"/>
              <w:rPr>
                <w:sz w:val="20"/>
                <w:szCs w:val="20"/>
                <w:color w:val="auto"/>
              </w:rPr>
            </w:pPr>
            <w:r>
              <w:rPr>
                <w:rFonts w:ascii="Arial" w:cs="Arial" w:eastAsia="Arial" w:hAnsi="Arial"/>
                <w:sz w:val="14"/>
                <w:szCs w:val="14"/>
                <w:color w:val="auto"/>
              </w:rPr>
              <w:t>Three Months Ended June 30</w:t>
            </w:r>
          </w:p>
        </w:tc>
        <w:tc>
          <w:tcPr>
            <w:tcW w:w="420" w:type="dxa"/>
            <w:vAlign w:val="bottom"/>
          </w:tcPr>
          <w:p>
            <w:pPr>
              <w:spacing w:after="0"/>
              <w:rPr>
                <w:sz w:val="15"/>
                <w:szCs w:val="15"/>
                <w:color w:val="auto"/>
              </w:rPr>
            </w:pPr>
          </w:p>
        </w:tc>
        <w:tc>
          <w:tcPr>
            <w:tcW w:w="2220" w:type="dxa"/>
            <w:vAlign w:val="bottom"/>
            <w:gridSpan w:val="4"/>
          </w:tcPr>
          <w:p>
            <w:pPr>
              <w:jc w:val="right"/>
              <w:ind w:right="490"/>
              <w:spacing w:after="0"/>
              <w:rPr>
                <w:sz w:val="20"/>
                <w:szCs w:val="20"/>
                <w:color w:val="auto"/>
              </w:rPr>
            </w:pPr>
            <w:r>
              <w:rPr>
                <w:rFonts w:ascii="Arial" w:cs="Arial" w:eastAsia="Arial" w:hAnsi="Arial"/>
                <w:sz w:val="14"/>
                <w:szCs w:val="14"/>
                <w:color w:val="auto"/>
                <w:w w:val="97"/>
              </w:rPr>
              <w:t>Six Months Ended June 30</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color w:val="auto"/>
                <w:w w:val="96"/>
              </w:rPr>
              <w:t>2020</w:t>
            </w:r>
          </w:p>
        </w:tc>
        <w:tc>
          <w:tcPr>
            <w:tcW w:w="2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color w:val="auto"/>
                <w:w w:val="96"/>
              </w:rPr>
              <w:t>2020</w:t>
            </w:r>
          </w:p>
        </w:tc>
        <w:tc>
          <w:tcPr>
            <w:tcW w:w="20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Arial" w:cs="Arial" w:eastAsia="Arial" w:hAnsi="Arial"/>
                <w:sz w:val="14"/>
                <w:szCs w:val="14"/>
                <w:color w:val="auto"/>
              </w:rPr>
              <w:t>Insurance premiums and other considerations</w:t>
            </w: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22,924,709</w:t>
            </w: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19,645,218</w:t>
            </w:r>
          </w:p>
        </w:tc>
        <w:tc>
          <w:tcPr>
            <w:tcW w:w="2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45,215,985</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38,672,220</w:t>
            </w: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Net investment income</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12,962,745</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10,540,835</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26,363,244</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20,582,503</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Arial" w:cs="Arial" w:eastAsia="Arial" w:hAnsi="Arial"/>
                <w:sz w:val="14"/>
                <w:szCs w:val="14"/>
                <w:color w:val="auto"/>
              </w:rPr>
              <w:t>Net mortuary and cemetery sales</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4,700,778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4,000,730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9,158,869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7,679,358</w:t>
            </w: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Gains (losses) on investments and other assets</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2,238,279</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(1,025,893)</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(973,968)</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780,768</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Arial" w:cs="Arial" w:eastAsia="Arial" w:hAnsi="Arial"/>
                <w:sz w:val="14"/>
                <w:szCs w:val="14"/>
                <w:color w:val="auto"/>
              </w:rPr>
              <w:t>Mortgage fee income</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73,368,333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32,946,567</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113,650,094</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57,425,438</w:t>
            </w: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2,466,898</w:t>
            </w:r>
          </w:p>
        </w:tc>
        <w:tc>
          <w:tcPr>
            <w:tcW w:w="2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2,337,725</w:t>
            </w:r>
          </w:p>
        </w:tc>
        <w:tc>
          <w:tcPr>
            <w:tcW w:w="2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4,856,467</w:t>
            </w:r>
          </w:p>
        </w:tc>
        <w:tc>
          <w:tcPr>
            <w:tcW w:w="2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4,798,730</w:t>
            </w:r>
          </w:p>
        </w:tc>
        <w:tc>
          <w:tcPr>
            <w:tcW w:w="0" w:type="dxa"/>
            <w:vAlign w:val="bottom"/>
          </w:tcPr>
          <w:p>
            <w:pPr>
              <w:spacing w:after="0"/>
              <w:rPr>
                <w:sz w:val="1"/>
                <w:szCs w:val="1"/>
                <w:color w:val="auto"/>
              </w:rPr>
            </w:pPr>
          </w:p>
        </w:tc>
      </w:tr>
      <w:tr>
        <w:trPr>
          <w:trHeight w:val="218"/>
        </w:trPr>
        <w:tc>
          <w:tcPr>
            <w:tcW w:w="3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Total revenues</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118,661,742</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68,445,182</w:t>
            </w: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198,270,691</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129,939,017</w:t>
            </w:r>
          </w:p>
        </w:tc>
        <w:tc>
          <w:tcPr>
            <w:tcW w:w="0" w:type="dxa"/>
            <w:vAlign w:val="bottom"/>
          </w:tcPr>
          <w:p>
            <w:pPr>
              <w:spacing w:after="0"/>
              <w:rPr>
                <w:sz w:val="1"/>
                <w:szCs w:val="1"/>
                <w:color w:val="auto"/>
              </w:rPr>
            </w:pPr>
          </w:p>
        </w:tc>
      </w:tr>
      <w:tr>
        <w:trPr>
          <w:trHeight w:val="165"/>
        </w:trPr>
        <w:tc>
          <w:tcPr>
            <w:tcW w:w="3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Arial" w:cs="Arial" w:eastAsia="Arial" w:hAnsi="Arial"/>
                <w:sz w:val="14"/>
                <w:szCs w:val="14"/>
                <w:b w:val="1"/>
                <w:bCs w:val="1"/>
                <w:color w:val="auto"/>
              </w:rPr>
              <w:t>Benefits and expenses:</w:t>
            </w: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Death benefits</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13,586,723</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9,248,796</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26,994,350</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19,326,699</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Arial" w:cs="Arial" w:eastAsia="Arial" w:hAnsi="Arial"/>
                <w:sz w:val="14"/>
                <w:szCs w:val="14"/>
                <w:color w:val="auto"/>
              </w:rPr>
              <w:t>Surrenders and other policy benefits</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838,191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763,978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1,908,666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1,629,909</w:t>
            </w: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Increase in future policy benefits</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6,603,843</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5,676,111</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13,641,876</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11,427,241</w:t>
            </w:r>
          </w:p>
        </w:tc>
        <w:tc>
          <w:tcPr>
            <w:tcW w:w="0" w:type="dxa"/>
            <w:vAlign w:val="bottom"/>
          </w:tcPr>
          <w:p>
            <w:pPr>
              <w:spacing w:after="0"/>
              <w:rPr>
                <w:sz w:val="1"/>
                <w:szCs w:val="1"/>
                <w:color w:val="auto"/>
              </w:rPr>
            </w:pPr>
          </w:p>
        </w:tc>
      </w:tr>
      <w:tr>
        <w:trPr>
          <w:trHeight w:val="312"/>
        </w:trPr>
        <w:tc>
          <w:tcPr>
            <w:tcW w:w="3820" w:type="dxa"/>
            <w:vAlign w:val="bottom"/>
          </w:tcPr>
          <w:p>
            <w:pPr>
              <w:spacing w:after="0"/>
              <w:rPr>
                <w:sz w:val="20"/>
                <w:szCs w:val="20"/>
                <w:color w:val="auto"/>
              </w:rPr>
            </w:pPr>
            <w:r>
              <w:rPr>
                <w:rFonts w:ascii="Arial" w:cs="Arial" w:eastAsia="Arial" w:hAnsi="Arial"/>
                <w:sz w:val="14"/>
                <w:szCs w:val="14"/>
                <w:color w:val="auto"/>
                <w:w w:val="92"/>
              </w:rPr>
              <w:t>Amortization of deferred policy and pre-need acquisition costs and</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820" w:type="dxa"/>
            <w:vAlign w:val="bottom"/>
          </w:tcPr>
          <w:p>
            <w:pPr>
              <w:spacing w:after="0"/>
              <w:rPr>
                <w:sz w:val="20"/>
                <w:szCs w:val="20"/>
                <w:color w:val="auto"/>
              </w:rPr>
            </w:pPr>
            <w:r>
              <w:rPr>
                <w:rFonts w:ascii="Arial" w:cs="Arial" w:eastAsia="Arial" w:hAnsi="Arial"/>
                <w:sz w:val="14"/>
                <w:szCs w:val="14"/>
                <w:color w:val="auto"/>
              </w:rPr>
              <w:t>value of business acquired</w:t>
            </w: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3,026,666</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3,073,478</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6,541,723</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6,201,752</w:t>
            </w: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Arial" w:cs="Arial" w:eastAsia="Arial" w:hAnsi="Arial"/>
                <w:sz w:val="14"/>
                <w:szCs w:val="14"/>
                <w:color w:val="auto"/>
              </w:rPr>
              <w:t>Commissions</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27,239,088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13,853,889</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43,793,831</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23,528,981</w:t>
            </w: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Personnel</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20,538,655</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15,699,260</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39,258,653</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30,730,596</w:t>
            </w: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Arial" w:cs="Arial" w:eastAsia="Arial" w:hAnsi="Arial"/>
                <w:sz w:val="14"/>
                <w:szCs w:val="14"/>
                <w:color w:val="auto"/>
              </w:rPr>
              <w:t>Advertising</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1,229,841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1,171,903</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2,235,158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2,205,078</w:t>
            </w: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Rent and rent related</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1,662,853</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1,724,179</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3,277,594</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3,628,467</w:t>
            </w: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Arial" w:cs="Arial" w:eastAsia="Arial" w:hAnsi="Arial"/>
                <w:sz w:val="14"/>
                <w:szCs w:val="14"/>
                <w:color w:val="auto"/>
              </w:rPr>
              <w:t>Depreciation on property and equipment</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518,070</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422,926</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1,034,283</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872,606</w:t>
            </w: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Costs related to funding mortgage loans</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2,378,815</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1,559,289</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4,335,097</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2,914,214</w:t>
            </w:r>
          </w:p>
        </w:tc>
        <w:tc>
          <w:tcPr>
            <w:tcW w:w="0" w:type="dxa"/>
            <w:vAlign w:val="bottom"/>
          </w:tcPr>
          <w:p>
            <w:pPr>
              <w:spacing w:after="0"/>
              <w:rPr>
                <w:sz w:val="1"/>
                <w:szCs w:val="1"/>
                <w:color w:val="auto"/>
              </w:rPr>
            </w:pPr>
          </w:p>
        </w:tc>
      </w:tr>
      <w:tr>
        <w:trPr>
          <w:trHeight w:val="238"/>
        </w:trPr>
        <w:tc>
          <w:tcPr>
            <w:tcW w:w="3820" w:type="dxa"/>
            <w:vAlign w:val="bottom"/>
          </w:tcPr>
          <w:p>
            <w:pPr>
              <w:ind w:left="160"/>
              <w:spacing w:after="0"/>
              <w:rPr>
                <w:sz w:val="20"/>
                <w:szCs w:val="20"/>
                <w:color w:val="auto"/>
              </w:rPr>
            </w:pPr>
            <w:r>
              <w:rPr>
                <w:rFonts w:ascii="Arial" w:cs="Arial" w:eastAsia="Arial" w:hAnsi="Arial"/>
                <w:sz w:val="14"/>
                <w:szCs w:val="14"/>
                <w:color w:val="auto"/>
              </w:rPr>
              <w:t>Other</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11,303,388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8,154,367</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21,378,930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15,799,494</w:t>
            </w: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1,881,440</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1,782,557</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3,700,049</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3,274,444</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Cost of goods and services sold-mortuaries and cemeteries</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660,413</w:t>
            </w: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690,606</w:t>
            </w: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1,502,491</w:t>
            </w:r>
          </w:p>
        </w:tc>
        <w:tc>
          <w:tcPr>
            <w:tcW w:w="2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1,343,534</w:t>
            </w:r>
          </w:p>
        </w:tc>
        <w:tc>
          <w:tcPr>
            <w:tcW w:w="0" w:type="dxa"/>
            <w:vAlign w:val="bottom"/>
          </w:tcPr>
          <w:p>
            <w:pPr>
              <w:spacing w:after="0"/>
              <w:rPr>
                <w:sz w:val="1"/>
                <w:szCs w:val="1"/>
                <w:color w:val="auto"/>
              </w:rPr>
            </w:pPr>
          </w:p>
        </w:tc>
      </w:tr>
      <w:tr>
        <w:trPr>
          <w:trHeight w:val="218"/>
        </w:trPr>
        <w:tc>
          <w:tcPr>
            <w:tcW w:w="3820" w:type="dxa"/>
            <w:vAlign w:val="bottom"/>
            <w:shd w:val="clear" w:color="auto" w:fill="CCEEFF"/>
          </w:tcPr>
          <w:p>
            <w:pPr>
              <w:spacing w:after="0"/>
              <w:rPr>
                <w:sz w:val="20"/>
                <w:szCs w:val="20"/>
                <w:color w:val="auto"/>
              </w:rPr>
            </w:pPr>
            <w:r>
              <w:rPr>
                <w:rFonts w:ascii="Arial" w:cs="Arial" w:eastAsia="Arial" w:hAnsi="Arial"/>
                <w:sz w:val="14"/>
                <w:szCs w:val="14"/>
                <w:color w:val="auto"/>
              </w:rPr>
              <w:t>Total benefits and expenses</w:t>
            </w: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91,467,986</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63,821,339</w:t>
            </w:r>
          </w:p>
        </w:tc>
        <w:tc>
          <w:tcPr>
            <w:tcW w:w="2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169,602,701</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122,883,015</w:t>
            </w:r>
          </w:p>
        </w:tc>
        <w:tc>
          <w:tcPr>
            <w:tcW w:w="0" w:type="dxa"/>
            <w:vAlign w:val="bottom"/>
          </w:tcPr>
          <w:p>
            <w:pPr>
              <w:spacing w:after="0"/>
              <w:rPr>
                <w:sz w:val="1"/>
                <w:szCs w:val="1"/>
                <w:color w:val="auto"/>
              </w:rPr>
            </w:pPr>
          </w:p>
        </w:tc>
      </w:tr>
      <w:tr>
        <w:trPr>
          <w:trHeight w:val="165"/>
        </w:trPr>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Earnings before income taxes</w:t>
            </w: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27,193,756</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4,623,843</w:t>
            </w:r>
          </w:p>
        </w:tc>
        <w:tc>
          <w:tcPr>
            <w:tcW w:w="2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28,667,990</w:t>
            </w: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7,056,002</w:t>
            </w:r>
          </w:p>
        </w:tc>
        <w:tc>
          <w:tcPr>
            <w:tcW w:w="0" w:type="dxa"/>
            <w:vAlign w:val="bottom"/>
          </w:tcPr>
          <w:p>
            <w:pPr>
              <w:spacing w:after="0"/>
              <w:rPr>
                <w:sz w:val="1"/>
                <w:szCs w:val="1"/>
                <w:color w:val="auto"/>
              </w:rPr>
            </w:pPr>
          </w:p>
        </w:tc>
      </w:tr>
      <w:tr>
        <w:trPr>
          <w:trHeight w:val="238"/>
        </w:trPr>
        <w:tc>
          <w:tcPr>
            <w:tcW w:w="38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(6,636,709)</w:t>
            </w: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(1,143,789)</w:t>
            </w:r>
          </w:p>
        </w:tc>
        <w:tc>
          <w:tcPr>
            <w:tcW w:w="2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(6,686,494)</w:t>
            </w:r>
          </w:p>
        </w:tc>
        <w:tc>
          <w:tcPr>
            <w:tcW w:w="2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(1,645,630)</w:t>
            </w:r>
          </w:p>
        </w:tc>
        <w:tc>
          <w:tcPr>
            <w:tcW w:w="0" w:type="dxa"/>
            <w:vAlign w:val="bottom"/>
          </w:tcPr>
          <w:p>
            <w:pPr>
              <w:spacing w:after="0"/>
              <w:rPr>
                <w:sz w:val="1"/>
                <w:szCs w:val="1"/>
                <w:color w:val="auto"/>
              </w:rPr>
            </w:pPr>
          </w:p>
        </w:tc>
      </w:tr>
      <w:tr>
        <w:trPr>
          <w:trHeight w:val="165"/>
        </w:trPr>
        <w:tc>
          <w:tcPr>
            <w:tcW w:w="38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3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earnings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20,557,047</w:t>
            </w:r>
          </w:p>
        </w:tc>
        <w:tc>
          <w:tcPr>
            <w:tcW w:w="2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3,480,054</w:t>
            </w:r>
          </w:p>
        </w:tc>
        <w:tc>
          <w:tcPr>
            <w:tcW w:w="2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21,981,496</w:t>
            </w:r>
          </w:p>
        </w:tc>
        <w:tc>
          <w:tcPr>
            <w:tcW w:w="2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5,410,372</w:t>
            </w:r>
          </w:p>
        </w:tc>
        <w:tc>
          <w:tcPr>
            <w:tcW w:w="0" w:type="dxa"/>
            <w:vAlign w:val="bottom"/>
          </w:tcPr>
          <w:p>
            <w:pPr>
              <w:spacing w:after="0"/>
              <w:rPr>
                <w:sz w:val="1"/>
                <w:szCs w:val="1"/>
                <w:color w:val="auto"/>
              </w:rPr>
            </w:pPr>
          </w:p>
        </w:tc>
      </w:tr>
      <w:tr>
        <w:trPr>
          <w:trHeight w:val="151"/>
        </w:trPr>
        <w:tc>
          <w:tcPr>
            <w:tcW w:w="3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3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earnings per Class A Equivalent common share (1)</w:t>
            </w: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w:t>
            </w:r>
          </w:p>
        </w:tc>
        <w:tc>
          <w:tcPr>
            <w:tcW w:w="2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$0.19</w:t>
            </w:r>
          </w:p>
        </w:tc>
        <w:tc>
          <w:tcPr>
            <w:tcW w:w="2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2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51"/>
        </w:trPr>
        <w:tc>
          <w:tcPr>
            <w:tcW w:w="3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Net earnings per Class A Equivalent common share-assuming</w:t>
            </w:r>
          </w:p>
        </w:tc>
        <w:tc>
          <w:tcPr>
            <w:tcW w:w="4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$0.19</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$1.15</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08"/>
        </w:trPr>
        <w:tc>
          <w:tcPr>
            <w:tcW w:w="38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dilution (1)</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sectPr>
          <w:pgSz w:w="11900" w:h="16838" w:orient="portrait"/>
          <w:cols w:equalWidth="0" w:num="1">
            <w:col w:w="9304"/>
          </w:cols>
          <w:pgMar w:left="1276" w:top="122" w:right="1319" w:bottom="1440" w:gutter="0" w:footer="0" w:header="0"/>
        </w:sectPr>
      </w:pPr>
    </w:p>
    <w:p>
      <w:pPr>
        <w:ind w:left="4" w:right="100"/>
        <w:spacing w:after="0" w:line="243" w:lineRule="auto"/>
        <w:rPr>
          <w:sz w:val="20"/>
          <w:szCs w:val="20"/>
          <w:color w:val="auto"/>
        </w:rPr>
      </w:pPr>
      <w:r>
        <w:rPr>
          <w:rFonts w:ascii="Arial" w:cs="Arial" w:eastAsia="Arial" w:hAnsi="Arial"/>
          <w:sz w:val="14"/>
          <w:szCs w:val="14"/>
          <w:color w:val="auto"/>
        </w:rPr>
        <w:t>Weighted-average Class A equivalent common share outstanding (1)</w:t>
      </w:r>
    </w:p>
    <w:p>
      <w:pPr>
        <w:spacing w:after="0" w:line="255" w:lineRule="exact"/>
        <w:rPr>
          <w:sz w:val="20"/>
          <w:szCs w:val="20"/>
          <w:color w:val="auto"/>
        </w:rPr>
      </w:pPr>
    </w:p>
    <w:p>
      <w:pPr>
        <w:ind w:left="4"/>
        <w:spacing w:after="0" w:line="243" w:lineRule="auto"/>
        <w:rPr>
          <w:sz w:val="20"/>
          <w:szCs w:val="20"/>
          <w:color w:val="auto"/>
        </w:rPr>
      </w:pPr>
      <w:r>
        <w:rPr>
          <w:rFonts w:ascii="Arial" w:cs="Arial" w:eastAsia="Arial" w:hAnsi="Arial"/>
          <w:sz w:val="14"/>
          <w:szCs w:val="14"/>
          <w:color w:val="auto"/>
        </w:rPr>
        <w:t>Weighted-average Class A equivalent common shares outstanding-assuming dilution (1)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7"/>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18,764,831</w:t>
            </w:r>
          </w:p>
        </w:tc>
        <w:tc>
          <w:tcPr>
            <w:tcW w:w="20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18,576,031</w:t>
            </w:r>
          </w:p>
        </w:tc>
        <w:tc>
          <w:tcPr>
            <w:tcW w:w="200" w:type="dxa"/>
            <w:vAlign w:val="bottom"/>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18,703,390</w:t>
            </w:r>
          </w:p>
        </w:tc>
        <w:tc>
          <w:tcPr>
            <w:tcW w:w="200" w:type="dxa"/>
            <w:vAlign w:val="bottom"/>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18,567,907</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521"/>
        </w:trPr>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19,183,491</w:t>
            </w:r>
          </w:p>
        </w:tc>
        <w:tc>
          <w:tcPr>
            <w:tcW w:w="2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18,810,276</w:t>
            </w:r>
          </w:p>
        </w:tc>
        <w:tc>
          <w:tcPr>
            <w:tcW w:w="20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19,036,249</w:t>
            </w:r>
          </w:p>
        </w:tc>
        <w:tc>
          <w:tcPr>
            <w:tcW w:w="2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18,807,576</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-384810</wp:posOffset>
            </wp:positionV>
            <wp:extent cx="5911215" cy="125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11215" cy="1257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4" w:space="40"/>
            <w:col w:w="5480"/>
          </w:cols>
          <w:pgMar w:left="1276" w:top="122" w:right="1319" w:bottom="1440" w:gutter="0" w:footer="0" w:header="0"/>
          <w:type w:val="continuous"/>
        </w:sectPr>
      </w:pPr>
    </w:p>
    <w:p>
      <w:pPr>
        <w:spacing w:after="0" w:line="21" w:lineRule="exact"/>
        <w:rPr>
          <w:sz w:val="20"/>
          <w:szCs w:val="20"/>
          <w:color w:val="auto"/>
        </w:rPr>
      </w:pPr>
    </w:p>
    <w:p>
      <w:pPr>
        <w:ind w:left="4" w:right="940" w:hanging="4"/>
        <w:spacing w:after="0" w:line="407" w:lineRule="auto"/>
        <w:tabs>
          <w:tab w:leader="none" w:pos="264" w:val="left"/>
        </w:tabs>
        <w:numPr>
          <w:ilvl w:val="0"/>
          <w:numId w:val="3"/>
        </w:numPr>
        <w:rPr>
          <w:rFonts w:ascii="Arial" w:cs="Arial" w:eastAsia="Arial" w:hAnsi="Arial"/>
          <w:sz w:val="19"/>
          <w:szCs w:val="19"/>
          <w:color w:val="auto"/>
        </w:rPr>
      </w:pPr>
      <w:r>
        <w:rPr>
          <w:rFonts w:ascii="Arial" w:cs="Arial" w:eastAsia="Arial" w:hAnsi="Arial"/>
          <w:sz w:val="19"/>
          <w:szCs w:val="19"/>
          <w:color w:val="auto"/>
        </w:rPr>
        <w:t>Net earnings per share amounts have been adjusted retroactively for the effect of annual stock dividends. See accompanying notes to condensed consolidated financial statements (unaudited).</w:t>
      </w:r>
    </w:p>
    <w:p>
      <w:pPr>
        <w:spacing w:after="0" w:line="78" w:lineRule="exact"/>
        <w:rPr>
          <w:sz w:val="20"/>
          <w:szCs w:val="20"/>
          <w:color w:val="auto"/>
        </w:rPr>
      </w:pPr>
    </w:p>
    <w:p>
      <w:pPr>
        <w:jc w:val="center"/>
        <w:ind w:right="436"/>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563435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304"/>
          </w:cols>
          <w:pgMar w:left="1276" w:top="122" w:right="1319" w:bottom="1440" w:gutter="0" w:footer="0" w:header="0"/>
          <w:type w:val="continuous"/>
        </w:sectPr>
      </w:pPr>
    </w:p>
    <w:bookmarkStart w:id="5" w:name="page6"/>
    <w:bookmarkEnd w:id="5"/>
    <w:p>
      <w:pPr>
        <w:jc w:val="center"/>
        <w:ind w:right="360"/>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CONDENSED CONSOLIDATED STATEMENTS OF COMPREHENSIVE INCOME</w:t>
      </w:r>
    </w:p>
    <w:p>
      <w:pPr>
        <w:spacing w:after="0" w:line="6"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gridSpan w:val="5"/>
          </w:tcPr>
          <w:p>
            <w:pPr>
              <w:jc w:val="right"/>
              <w:ind w:right="640"/>
              <w:spacing w:after="0"/>
              <w:rPr>
                <w:sz w:val="20"/>
                <w:szCs w:val="20"/>
                <w:color w:val="auto"/>
              </w:rPr>
            </w:pPr>
            <w:r>
              <w:rPr>
                <w:rFonts w:ascii="Arial" w:cs="Arial" w:eastAsia="Arial" w:hAnsi="Arial"/>
                <w:sz w:val="14"/>
                <w:szCs w:val="14"/>
                <w:color w:val="auto"/>
                <w:w w:val="92"/>
              </w:rPr>
              <w:t>Three Months Ended June 30</w:t>
            </w:r>
          </w:p>
        </w:tc>
        <w:tc>
          <w:tcPr>
            <w:tcW w:w="360" w:type="dxa"/>
            <w:vAlign w:val="bottom"/>
          </w:tcPr>
          <w:p>
            <w:pPr>
              <w:spacing w:after="0"/>
              <w:rPr>
                <w:sz w:val="15"/>
                <w:szCs w:val="15"/>
                <w:color w:val="auto"/>
              </w:rPr>
            </w:pPr>
          </w:p>
        </w:tc>
        <w:tc>
          <w:tcPr>
            <w:tcW w:w="2140" w:type="dxa"/>
            <w:vAlign w:val="bottom"/>
            <w:gridSpan w:val="4"/>
          </w:tcPr>
          <w:p>
            <w:pPr>
              <w:jc w:val="right"/>
              <w:ind w:right="430"/>
              <w:spacing w:after="0"/>
              <w:rPr>
                <w:sz w:val="20"/>
                <w:szCs w:val="20"/>
                <w:color w:val="auto"/>
              </w:rPr>
            </w:pPr>
            <w:r>
              <w:rPr>
                <w:rFonts w:ascii="Arial" w:cs="Arial" w:eastAsia="Arial" w:hAnsi="Arial"/>
                <w:sz w:val="14"/>
                <w:szCs w:val="14"/>
                <w:color w:val="auto"/>
                <w:w w:val="96"/>
              </w:rPr>
              <w:t>Six Months Ended June 30</w:t>
            </w:r>
          </w:p>
        </w:tc>
      </w:tr>
      <w:tr>
        <w:trPr>
          <w:trHeight w:val="218"/>
        </w:trPr>
        <w:tc>
          <w:tcPr>
            <w:tcW w:w="39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color w:val="auto"/>
              </w:rPr>
              <w:t>2019</w:t>
            </w: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Net earnings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20,557,047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3,480,054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21,981,496</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5,410,372</w:t>
            </w:r>
          </w:p>
        </w:tc>
      </w:tr>
      <w:tr>
        <w:trPr>
          <w:trHeight w:val="218"/>
        </w:trPr>
        <w:tc>
          <w:tcPr>
            <w:tcW w:w="398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8"/>
        </w:trPr>
        <w:tc>
          <w:tcPr>
            <w:tcW w:w="39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9"/>
              </w:rPr>
              <w:t>Unrealized gains on fixed maturity securities available for sale</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15,180,782</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3,999,631</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38"/>
        </w:trPr>
        <w:tc>
          <w:tcPr>
            <w:tcW w:w="3980" w:type="dxa"/>
            <w:vAlign w:val="bottom"/>
          </w:tcPr>
          <w:p>
            <w:pPr>
              <w:ind w:left="160"/>
              <w:spacing w:after="0"/>
              <w:rPr>
                <w:sz w:val="20"/>
                <w:szCs w:val="20"/>
                <w:color w:val="auto"/>
              </w:rPr>
            </w:pPr>
            <w:r>
              <w:rPr>
                <w:rFonts w:ascii="Arial" w:cs="Arial" w:eastAsia="Arial" w:hAnsi="Arial"/>
                <w:sz w:val="14"/>
                <w:szCs w:val="14"/>
                <w:color w:val="auto"/>
              </w:rPr>
              <w:t>Unrealized gains on restricted assets</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18,072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4,987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8"/>
        </w:trPr>
        <w:tc>
          <w:tcPr>
            <w:tcW w:w="39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7"/>
              </w:rPr>
              <w:t>Unrealized gains on cemetery perpetual care trust investments</w:t>
            </w:r>
          </w:p>
        </w:tc>
        <w:tc>
          <w:tcPr>
            <w:tcW w:w="3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17,815</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5,769</w:t>
            </w: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38"/>
        </w:trPr>
        <w:tc>
          <w:tcPr>
            <w:tcW w:w="39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Foreign currency translation adjustments</w:t>
            </w: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w:t>
            </w:r>
          </w:p>
        </w:tc>
        <w:tc>
          <w:tcPr>
            <w:tcW w:w="2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2,046</w:t>
            </w:r>
          </w:p>
        </w:tc>
      </w:tr>
      <w:tr>
        <w:trPr>
          <w:trHeight w:val="218"/>
        </w:trPr>
        <w:tc>
          <w:tcPr>
            <w:tcW w:w="3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income, before income tax</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15,216,834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4,010,107</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2,046</w:t>
            </w:r>
          </w:p>
        </w:tc>
      </w:tr>
      <w:tr>
        <w:trPr>
          <w:trHeight w:val="218"/>
        </w:trPr>
        <w:tc>
          <w:tcPr>
            <w:tcW w:w="39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Income tax expense</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(3,196,946)</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(842,532)</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(510)</w:t>
            </w:r>
          </w:p>
        </w:tc>
      </w:tr>
      <w:tr>
        <w:trPr>
          <w:trHeight w:val="218"/>
        </w:trPr>
        <w:tc>
          <w:tcPr>
            <w:tcW w:w="3980" w:type="dxa"/>
            <w:vAlign w:val="bottom"/>
            <w:shd w:val="clear" w:color="auto" w:fill="CCEEFF"/>
          </w:tcPr>
          <w:p>
            <w:pPr>
              <w:spacing w:after="0"/>
              <w:rPr>
                <w:sz w:val="20"/>
                <w:szCs w:val="20"/>
                <w:color w:val="auto"/>
              </w:rPr>
            </w:pPr>
            <w:r>
              <w:rPr>
                <w:rFonts w:ascii="Arial" w:cs="Arial" w:eastAsia="Arial" w:hAnsi="Arial"/>
                <w:sz w:val="14"/>
                <w:szCs w:val="14"/>
                <w:color w:val="auto"/>
              </w:rPr>
              <w:t>Other comprehensive income, net of income tax</w:t>
            </w: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12,019,888</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3,167,575</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r>
      <w:tr>
        <w:trPr>
          <w:trHeight w:val="258"/>
        </w:trPr>
        <w:tc>
          <w:tcPr>
            <w:tcW w:w="39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Comprehensive income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32,576,935</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3,480,770</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25,149,071</w:t>
            </w:r>
          </w:p>
        </w:tc>
        <w:tc>
          <w:tcPr>
            <w:tcW w:w="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5,411,908</w:t>
            </w:r>
          </w:p>
        </w:tc>
      </w:tr>
      <w:tr>
        <w:trPr>
          <w:trHeight w:val="151"/>
        </w:trPr>
        <w:tc>
          <w:tcPr>
            <w:tcW w:w="3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consolidated financial statements (unaudited).</w:t>
      </w:r>
    </w:p>
    <w:p>
      <w:pPr>
        <w:spacing w:after="0" w:line="257" w:lineRule="exact"/>
        <w:rPr>
          <w:sz w:val="20"/>
          <w:szCs w:val="20"/>
          <w:color w:val="auto"/>
        </w:rPr>
      </w:pPr>
    </w:p>
    <w:p>
      <w:pPr>
        <w:jc w:val="center"/>
        <w:ind w:right="36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563435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20"/>
          </w:cols>
          <w:pgMar w:left="1280" w:top="121" w:right="1399" w:bottom="1440" w:gutter="0" w:footer="0" w:header="0"/>
        </w:sectPr>
      </w:pPr>
    </w:p>
    <w:bookmarkStart w:id="6" w:name="page7"/>
    <w:bookmarkEnd w:id="6"/>
    <w:p>
      <w:pPr>
        <w:jc w:val="center"/>
        <w:ind w:right="1460"/>
        <w:spacing w:after="0"/>
        <w:rPr>
          <w:sz w:val="20"/>
          <w:szCs w:val="20"/>
          <w:color w:val="auto"/>
        </w:rPr>
      </w:pPr>
      <w:r>
        <w:rPr>
          <w:rFonts w:ascii="Arial" w:cs="Arial" w:eastAsia="Arial" w:hAnsi="Arial"/>
          <w:sz w:val="19"/>
          <w:szCs w:val="19"/>
          <w:color w:val="auto"/>
        </w:rPr>
        <w:t>SECURITY NATIONAL FINANCIAL CORPORATION</w:t>
      </w:r>
    </w:p>
    <w:p>
      <w:pPr>
        <w:spacing w:after="0" w:line="23" w:lineRule="exact"/>
        <w:rPr>
          <w:sz w:val="20"/>
          <w:szCs w:val="20"/>
          <w:color w:val="auto"/>
        </w:rPr>
      </w:pPr>
    </w:p>
    <w:p>
      <w:pPr>
        <w:jc w:val="center"/>
        <w:ind w:right="1460"/>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1460"/>
        <w:spacing w:after="0"/>
        <w:rPr>
          <w:sz w:val="20"/>
          <w:szCs w:val="20"/>
          <w:color w:val="auto"/>
        </w:rPr>
      </w:pPr>
      <w:r>
        <w:rPr>
          <w:rFonts w:ascii="Arial" w:cs="Arial" w:eastAsia="Arial" w:hAnsi="Arial"/>
          <w:sz w:val="19"/>
          <w:szCs w:val="19"/>
          <w:color w:val="auto"/>
        </w:rPr>
        <w:t>CONDENSED CONSOLIDATED STATEMENTS OF STOCKHOLDERS’ EQUITY</w:t>
      </w:r>
    </w:p>
    <w:p>
      <w:pPr>
        <w:spacing w:after="0" w:line="6" w:lineRule="exact"/>
        <w:rPr>
          <w:sz w:val="20"/>
          <w:szCs w:val="20"/>
          <w:color w:val="auto"/>
        </w:rPr>
      </w:pPr>
    </w:p>
    <w:p>
      <w:pPr>
        <w:jc w:val="center"/>
        <w:ind w:right="1460"/>
        <w:spacing w:after="0"/>
        <w:rPr>
          <w:sz w:val="20"/>
          <w:szCs w:val="20"/>
          <w:color w:val="auto"/>
        </w:rPr>
      </w:pPr>
      <w:r>
        <w:rPr>
          <w:rFonts w:ascii="Arial" w:cs="Arial" w:eastAsia="Arial" w:hAnsi="Arial"/>
          <w:sz w:val="19"/>
          <w:szCs w:val="19"/>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10"/>
          </w:tcPr>
          <w:p>
            <w:pPr>
              <w:jc w:val="center"/>
              <w:ind w:left="370"/>
              <w:spacing w:after="0"/>
              <w:rPr>
                <w:sz w:val="20"/>
                <w:szCs w:val="20"/>
                <w:color w:val="auto"/>
              </w:rPr>
            </w:pPr>
            <w:r>
              <w:rPr>
                <w:rFonts w:ascii="Arial" w:cs="Arial" w:eastAsia="Arial" w:hAnsi="Arial"/>
                <w:sz w:val="14"/>
                <w:szCs w:val="14"/>
                <w:color w:val="auto"/>
                <w:w w:val="90"/>
              </w:rPr>
              <w:t>Six Months Ended June 30, 2020</w:t>
            </w:r>
          </w:p>
        </w:tc>
        <w:tc>
          <w:tcPr>
            <w:tcW w:w="7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33"/>
        </w:trPr>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4"/>
          </w:tcPr>
          <w:p>
            <w:pPr>
              <w:jc w:val="center"/>
              <w:ind w:right="240"/>
              <w:spacing w:after="0" w:line="133" w:lineRule="exact"/>
              <w:rPr>
                <w:sz w:val="20"/>
                <w:szCs w:val="20"/>
                <w:color w:val="auto"/>
              </w:rPr>
            </w:pPr>
            <w:r>
              <w:rPr>
                <w:rFonts w:ascii="Arial" w:cs="Arial" w:eastAsia="Arial" w:hAnsi="Arial"/>
                <w:sz w:val="14"/>
                <w:szCs w:val="14"/>
                <w:color w:val="auto"/>
                <w:w w:val="93"/>
              </w:rPr>
              <w:t>Accumulated Other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5"/>
        </w:trPr>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160"/>
              <w:spacing w:after="0" w:line="145" w:lineRule="exact"/>
              <w:rPr>
                <w:sz w:val="20"/>
                <w:szCs w:val="20"/>
                <w:color w:val="auto"/>
              </w:rPr>
            </w:pPr>
            <w:r>
              <w:rPr>
                <w:rFonts w:ascii="Arial" w:cs="Arial" w:eastAsia="Arial" w:hAnsi="Arial"/>
                <w:sz w:val="14"/>
                <w:szCs w:val="14"/>
                <w:color w:val="auto"/>
                <w:w w:val="91"/>
              </w:rPr>
              <w:t>Class A Common</w:t>
            </w:r>
          </w:p>
        </w:tc>
        <w:tc>
          <w:tcPr>
            <w:tcW w:w="1120" w:type="dxa"/>
            <w:vAlign w:val="bottom"/>
            <w:gridSpan w:val="4"/>
          </w:tcPr>
          <w:p>
            <w:pPr>
              <w:ind w:left="260"/>
              <w:spacing w:after="0" w:line="145" w:lineRule="exact"/>
              <w:rPr>
                <w:sz w:val="20"/>
                <w:szCs w:val="20"/>
                <w:color w:val="auto"/>
              </w:rPr>
            </w:pPr>
            <w:r>
              <w:rPr>
                <w:rFonts w:ascii="Arial" w:cs="Arial" w:eastAsia="Arial" w:hAnsi="Arial"/>
                <w:sz w:val="14"/>
                <w:szCs w:val="14"/>
                <w:color w:val="auto"/>
              </w:rPr>
              <w:t>Class C</w:t>
            </w:r>
          </w:p>
        </w:tc>
        <w:tc>
          <w:tcPr>
            <w:tcW w:w="1320" w:type="dxa"/>
            <w:vAlign w:val="bottom"/>
            <w:gridSpan w:val="5"/>
          </w:tcPr>
          <w:p>
            <w:pPr>
              <w:ind w:left="60"/>
              <w:spacing w:after="0" w:line="145" w:lineRule="exact"/>
              <w:rPr>
                <w:sz w:val="20"/>
                <w:szCs w:val="20"/>
                <w:color w:val="auto"/>
              </w:rPr>
            </w:pPr>
            <w:r>
              <w:rPr>
                <w:rFonts w:ascii="Arial" w:cs="Arial" w:eastAsia="Arial" w:hAnsi="Arial"/>
                <w:sz w:val="14"/>
                <w:szCs w:val="14"/>
                <w:color w:val="auto"/>
              </w:rPr>
              <w:t>Additional Paid-in</w:t>
            </w:r>
          </w:p>
        </w:tc>
        <w:tc>
          <w:tcPr>
            <w:tcW w:w="80" w:type="dxa"/>
            <w:vAlign w:val="bottom"/>
          </w:tcPr>
          <w:p>
            <w:pPr>
              <w:spacing w:after="0"/>
              <w:rPr>
                <w:sz w:val="12"/>
                <w:szCs w:val="12"/>
                <w:color w:val="auto"/>
              </w:rPr>
            </w:pPr>
          </w:p>
        </w:tc>
        <w:tc>
          <w:tcPr>
            <w:tcW w:w="1440" w:type="dxa"/>
            <w:vAlign w:val="bottom"/>
            <w:gridSpan w:val="4"/>
          </w:tcPr>
          <w:p>
            <w:pPr>
              <w:ind w:left="160"/>
              <w:spacing w:after="0" w:line="145" w:lineRule="exact"/>
              <w:rPr>
                <w:sz w:val="20"/>
                <w:szCs w:val="20"/>
                <w:color w:val="auto"/>
              </w:rPr>
            </w:pPr>
            <w:r>
              <w:rPr>
                <w:rFonts w:ascii="Arial" w:cs="Arial" w:eastAsia="Arial" w:hAnsi="Arial"/>
                <w:sz w:val="14"/>
                <w:szCs w:val="14"/>
                <w:color w:val="auto"/>
              </w:rPr>
              <w:t>Comprehensive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Stock</w:t>
            </w:r>
          </w:p>
        </w:tc>
        <w:tc>
          <w:tcPr>
            <w:tcW w:w="1120" w:type="dxa"/>
            <w:vAlign w:val="bottom"/>
            <w:gridSpan w:val="4"/>
          </w:tcPr>
          <w:p>
            <w:pPr>
              <w:ind w:left="4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5"/>
                <w:szCs w:val="15"/>
                <w:color w:val="auto"/>
              </w:rPr>
            </w:pPr>
          </w:p>
        </w:tc>
        <w:tc>
          <w:tcPr>
            <w:tcW w:w="1240" w:type="dxa"/>
            <w:vAlign w:val="bottom"/>
            <w:gridSpan w:val="4"/>
          </w:tcPr>
          <w:p>
            <w:pPr>
              <w:ind w:left="30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3"/>
          </w:tcPr>
          <w:p>
            <w:pPr>
              <w:jc w:val="center"/>
              <w:ind w:right="580"/>
              <w:spacing w:after="0"/>
              <w:rPr>
                <w:sz w:val="20"/>
                <w:szCs w:val="20"/>
                <w:color w:val="auto"/>
              </w:rPr>
            </w:pPr>
            <w:r>
              <w:rPr>
                <w:rFonts w:ascii="Arial" w:cs="Arial" w:eastAsia="Arial" w:hAnsi="Arial"/>
                <w:sz w:val="14"/>
                <w:szCs w:val="14"/>
                <w:color w:val="auto"/>
                <w:w w:val="95"/>
              </w:rPr>
              <w:t>Income</w:t>
            </w:r>
          </w:p>
        </w:tc>
        <w:tc>
          <w:tcPr>
            <w:tcW w:w="1280" w:type="dxa"/>
            <w:vAlign w:val="bottom"/>
            <w:gridSpan w:val="5"/>
          </w:tcPr>
          <w:p>
            <w:pPr>
              <w:ind w:left="40"/>
              <w:spacing w:after="0"/>
              <w:rPr>
                <w:sz w:val="20"/>
                <w:szCs w:val="20"/>
                <w:color w:val="auto"/>
              </w:rPr>
            </w:pPr>
            <w:r>
              <w:rPr>
                <w:rFonts w:ascii="Arial" w:cs="Arial" w:eastAsia="Arial" w:hAnsi="Arial"/>
                <w:sz w:val="14"/>
                <w:szCs w:val="14"/>
                <w:color w:val="auto"/>
              </w:rPr>
              <w:t>Retained Earnings</w:t>
            </w:r>
          </w:p>
        </w:tc>
        <w:tc>
          <w:tcPr>
            <w:tcW w:w="80" w:type="dxa"/>
            <w:vAlign w:val="bottom"/>
          </w:tcPr>
          <w:p>
            <w:pPr>
              <w:spacing w:after="0"/>
              <w:rPr>
                <w:sz w:val="15"/>
                <w:szCs w:val="15"/>
                <w:color w:val="auto"/>
              </w:rPr>
            </w:pPr>
          </w:p>
        </w:tc>
        <w:tc>
          <w:tcPr>
            <w:tcW w:w="1120" w:type="dxa"/>
            <w:vAlign w:val="bottom"/>
            <w:gridSpan w:val="4"/>
          </w:tcPr>
          <w:p>
            <w:pPr>
              <w:ind w:left="20"/>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color w:val="auto"/>
              </w:rPr>
              <w:t>Total</w:t>
            </w:r>
          </w:p>
        </w:tc>
      </w:tr>
      <w:tr>
        <w:trPr>
          <w:trHeight w:val="165"/>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January 1, 2020</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32,215,558</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$ 5,001,774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46,091,112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13,726,514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101,256,229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(1,580,582)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196,710,605</w:t>
            </w:r>
          </w:p>
        </w:tc>
        <w:tc>
          <w:tcPr>
            <w:tcW w:w="60" w:type="dxa"/>
            <w:vAlign w:val="bottom"/>
          </w:tcPr>
          <w:p>
            <w:pPr>
              <w:spacing w:after="0"/>
              <w:rPr>
                <w:sz w:val="19"/>
                <w:szCs w:val="19"/>
                <w:color w:val="auto"/>
              </w:rPr>
            </w:pPr>
          </w:p>
        </w:tc>
      </w:tr>
      <w:tr>
        <w:trPr>
          <w:trHeight w:val="172"/>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1,424,449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1,424,449</w:t>
            </w:r>
          </w:p>
        </w:tc>
        <w:tc>
          <w:tcPr>
            <w:tcW w:w="60" w:type="dxa"/>
            <w:vAlign w:val="bottom"/>
          </w:tcPr>
          <w:p>
            <w:pPr>
              <w:spacing w:after="0"/>
              <w:rPr>
                <w:sz w:val="19"/>
                <w:szCs w:val="19"/>
                <w:color w:val="auto"/>
              </w:rPr>
            </w:pP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Other comprehensive</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loss</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(8,852,313)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7"/>
              </w:rPr>
              <w:t>(8,852,313)</w:t>
            </w:r>
          </w:p>
        </w:tc>
        <w:tc>
          <w:tcPr>
            <w:tcW w:w="60" w:type="dxa"/>
            <w:vAlign w:val="bottom"/>
          </w:tcPr>
          <w:p>
            <w:pPr>
              <w:spacing w:after="0"/>
              <w:rPr>
                <w:sz w:val="15"/>
                <w:szCs w:val="15"/>
                <w:color w:val="auto"/>
              </w:rPr>
            </w:pP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Stock-based</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13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compensation</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65,877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65,877</w:t>
            </w:r>
          </w:p>
        </w:tc>
        <w:tc>
          <w:tcPr>
            <w:tcW w:w="60" w:type="dxa"/>
            <w:vAlign w:val="bottom"/>
          </w:tcPr>
          <w:p>
            <w:pPr>
              <w:spacing w:after="0"/>
              <w:rPr>
                <w:sz w:val="15"/>
                <w:szCs w:val="15"/>
                <w:color w:val="auto"/>
              </w:rPr>
            </w:pP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Exercise of stock</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44,822</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(33,930)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10,892</w:t>
            </w:r>
          </w:p>
        </w:tc>
        <w:tc>
          <w:tcPr>
            <w:tcW w:w="60" w:type="dxa"/>
            <w:vAlign w:val="bottom"/>
          </w:tcPr>
          <w:p>
            <w:pPr>
              <w:spacing w:after="0"/>
              <w:rPr>
                <w:sz w:val="15"/>
                <w:szCs w:val="15"/>
                <w:color w:val="auto"/>
              </w:rPr>
            </w:pP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Sale of treasury</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218,280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264,081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482,361</w:t>
            </w:r>
          </w:p>
        </w:tc>
        <w:tc>
          <w:tcPr>
            <w:tcW w:w="60" w:type="dxa"/>
            <w:vAlign w:val="bottom"/>
          </w:tcPr>
          <w:p>
            <w:pPr>
              <w:spacing w:after="0"/>
              <w:rPr>
                <w:sz w:val="15"/>
                <w:szCs w:val="15"/>
                <w:color w:val="auto"/>
              </w:rPr>
            </w:pP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Purchase of treasury</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stock</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(129,608)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(129,608)</w:t>
            </w:r>
          </w:p>
        </w:tc>
        <w:tc>
          <w:tcPr>
            <w:tcW w:w="60" w:type="dxa"/>
            <w:vAlign w:val="bottom"/>
          </w:tcPr>
          <w:p>
            <w:pPr>
              <w:spacing w:after="0"/>
              <w:rPr>
                <w:sz w:val="15"/>
                <w:szCs w:val="15"/>
                <w:color w:val="auto"/>
              </w:rPr>
            </w:pPr>
          </w:p>
        </w:tc>
      </w:tr>
      <w:tr>
        <w:trPr>
          <w:trHeight w:val="22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dividends</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Conversion Class C</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 Class A</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22,324</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(22,324)</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20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March 31, 2020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$ 32,285,026</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$4,978,430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46,343,631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4,874,201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$ 102,677,084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(1,446,109)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189,712,263</w:t>
            </w:r>
          </w:p>
        </w:tc>
        <w:tc>
          <w:tcPr>
            <w:tcW w:w="60" w:type="dxa"/>
            <w:vAlign w:val="bottom"/>
          </w:tcPr>
          <w:p>
            <w:pPr>
              <w:spacing w:after="0"/>
              <w:rPr>
                <w:sz w:val="17"/>
                <w:szCs w:val="17"/>
                <w:color w:val="auto"/>
              </w:rPr>
            </w:pPr>
          </w:p>
        </w:tc>
      </w:tr>
      <w:tr>
        <w:trPr>
          <w:trHeight w:val="172"/>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20,557,047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20,557,047</w:t>
            </w:r>
          </w:p>
        </w:tc>
        <w:tc>
          <w:tcPr>
            <w:tcW w:w="60" w:type="dxa"/>
            <w:vAlign w:val="bottom"/>
          </w:tcPr>
          <w:p>
            <w:pPr>
              <w:spacing w:after="0"/>
              <w:rPr>
                <w:sz w:val="19"/>
                <w:szCs w:val="19"/>
                <w:color w:val="auto"/>
              </w:rPr>
            </w:pP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Other comprehensive</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income</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12,019,888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12,019,888</w:t>
            </w:r>
          </w:p>
        </w:tc>
        <w:tc>
          <w:tcPr>
            <w:tcW w:w="60" w:type="dxa"/>
            <w:vAlign w:val="bottom"/>
          </w:tcPr>
          <w:p>
            <w:pPr>
              <w:spacing w:after="0"/>
              <w:rPr>
                <w:sz w:val="15"/>
                <w:szCs w:val="15"/>
                <w:color w:val="auto"/>
              </w:rPr>
            </w:pP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Stock-based</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13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compensation</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101,520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101,520</w:t>
            </w:r>
          </w:p>
        </w:tc>
        <w:tc>
          <w:tcPr>
            <w:tcW w:w="60" w:type="dxa"/>
            <w:vAlign w:val="bottom"/>
          </w:tcPr>
          <w:p>
            <w:pPr>
              <w:spacing w:after="0"/>
              <w:rPr>
                <w:sz w:val="15"/>
                <w:szCs w:val="15"/>
                <w:color w:val="auto"/>
              </w:rPr>
            </w:pP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Exercise of stock</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22,726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(22,726)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Sale of treasury</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319,676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664,546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984,222</w:t>
            </w:r>
          </w:p>
        </w:tc>
        <w:tc>
          <w:tcPr>
            <w:tcW w:w="60" w:type="dxa"/>
            <w:vAlign w:val="bottom"/>
          </w:tcPr>
          <w:p>
            <w:pPr>
              <w:spacing w:after="0"/>
              <w:rPr>
                <w:sz w:val="15"/>
                <w:szCs w:val="15"/>
                <w:color w:val="auto"/>
              </w:rPr>
            </w:pP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Purchase of treasury</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stock</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(760,713)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(760,713)</w:t>
            </w:r>
          </w:p>
        </w:tc>
        <w:tc>
          <w:tcPr>
            <w:tcW w:w="60" w:type="dxa"/>
            <w:vAlign w:val="bottom"/>
          </w:tcPr>
          <w:p>
            <w:pPr>
              <w:spacing w:after="0"/>
              <w:rPr>
                <w:sz w:val="15"/>
                <w:szCs w:val="15"/>
                <w:color w:val="auto"/>
              </w:rPr>
            </w:pPr>
          </w:p>
        </w:tc>
      </w:tr>
      <w:tr>
        <w:trPr>
          <w:trHeight w:val="22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dividends</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807,356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124,460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2,175,790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(3,107,607)</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9"/>
                <w:szCs w:val="19"/>
                <w:color w:val="auto"/>
              </w:rPr>
            </w:pP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Conversion Class C</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 Class A</w:t>
            </w: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204"/>
        </w:trPr>
        <w:tc>
          <w:tcPr>
            <w:tcW w:w="1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33,115,108</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$ 5,102,890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48,917,891</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16,894,089</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120,126,524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 (1,542,276)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222,614,226</w:t>
            </w:r>
          </w:p>
        </w:tc>
        <w:tc>
          <w:tcPr>
            <w:tcW w:w="6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9"/>
        </w:trPr>
        <w:tc>
          <w:tcPr>
            <w:tcW w:w="13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color w:val="auto"/>
                <w:w w:val="90"/>
              </w:rPr>
              <w:t>Six Months Ended June 30, 2019</w:t>
            </w: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33"/>
        </w:trPr>
        <w:tc>
          <w:tcPr>
            <w:tcW w:w="1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gridSpan w:val="4"/>
          </w:tcPr>
          <w:p>
            <w:pPr>
              <w:jc w:val="center"/>
              <w:ind w:right="80"/>
              <w:spacing w:after="0" w:line="133" w:lineRule="exact"/>
              <w:rPr>
                <w:sz w:val="20"/>
                <w:szCs w:val="20"/>
                <w:color w:val="auto"/>
              </w:rPr>
            </w:pPr>
            <w:r>
              <w:rPr>
                <w:rFonts w:ascii="Arial" w:cs="Arial" w:eastAsia="Arial" w:hAnsi="Arial"/>
                <w:sz w:val="14"/>
                <w:szCs w:val="14"/>
                <w:color w:val="auto"/>
                <w:w w:val="93"/>
              </w:rPr>
              <w:t>Accumulated Other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45"/>
        </w:trPr>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ind w:right="160"/>
              <w:spacing w:after="0" w:line="145" w:lineRule="exact"/>
              <w:rPr>
                <w:sz w:val="20"/>
                <w:szCs w:val="20"/>
                <w:color w:val="auto"/>
              </w:rPr>
            </w:pPr>
            <w:r>
              <w:rPr>
                <w:rFonts w:ascii="Arial" w:cs="Arial" w:eastAsia="Arial" w:hAnsi="Arial"/>
                <w:sz w:val="14"/>
                <w:szCs w:val="14"/>
                <w:color w:val="auto"/>
                <w:w w:val="91"/>
              </w:rPr>
              <w:t>Class A Common</w:t>
            </w:r>
          </w:p>
        </w:tc>
        <w:tc>
          <w:tcPr>
            <w:tcW w:w="1120" w:type="dxa"/>
            <w:vAlign w:val="bottom"/>
            <w:gridSpan w:val="4"/>
          </w:tcPr>
          <w:p>
            <w:pPr>
              <w:ind w:left="20"/>
              <w:spacing w:after="0" w:line="145" w:lineRule="exact"/>
              <w:rPr>
                <w:sz w:val="20"/>
                <w:szCs w:val="20"/>
                <w:color w:val="auto"/>
              </w:rPr>
            </w:pPr>
            <w:r>
              <w:rPr>
                <w:rFonts w:ascii="Arial" w:cs="Arial" w:eastAsia="Arial" w:hAnsi="Arial"/>
                <w:sz w:val="14"/>
                <w:szCs w:val="14"/>
                <w:color w:val="auto"/>
                <w:w w:val="98"/>
              </w:rPr>
              <w:t>Class C Common</w:t>
            </w:r>
          </w:p>
        </w:tc>
        <w:tc>
          <w:tcPr>
            <w:tcW w:w="80" w:type="dxa"/>
            <w:vAlign w:val="bottom"/>
          </w:tcPr>
          <w:p>
            <w:pPr>
              <w:spacing w:after="0"/>
              <w:rPr>
                <w:sz w:val="12"/>
                <w:szCs w:val="12"/>
                <w:color w:val="auto"/>
              </w:rPr>
            </w:pPr>
          </w:p>
        </w:tc>
        <w:tc>
          <w:tcPr>
            <w:tcW w:w="1240" w:type="dxa"/>
            <w:vAlign w:val="bottom"/>
            <w:gridSpan w:val="4"/>
          </w:tcPr>
          <w:p>
            <w:pPr>
              <w:jc w:val="center"/>
              <w:ind w:right="80"/>
              <w:spacing w:after="0" w:line="145" w:lineRule="exact"/>
              <w:rPr>
                <w:sz w:val="20"/>
                <w:szCs w:val="20"/>
                <w:color w:val="auto"/>
              </w:rPr>
            </w:pPr>
            <w:r>
              <w:rPr>
                <w:rFonts w:ascii="Arial" w:cs="Arial" w:eastAsia="Arial" w:hAnsi="Arial"/>
                <w:sz w:val="14"/>
                <w:szCs w:val="14"/>
                <w:color w:val="auto"/>
                <w:w w:val="95"/>
              </w:rPr>
              <w:t>Additional Paid-in</w:t>
            </w:r>
          </w:p>
        </w:tc>
        <w:tc>
          <w:tcPr>
            <w:tcW w:w="80" w:type="dxa"/>
            <w:vAlign w:val="bottom"/>
          </w:tcPr>
          <w:p>
            <w:pPr>
              <w:spacing w:after="0"/>
              <w:rPr>
                <w:sz w:val="12"/>
                <w:szCs w:val="12"/>
                <w:color w:val="auto"/>
              </w:rPr>
            </w:pPr>
          </w:p>
        </w:tc>
        <w:tc>
          <w:tcPr>
            <w:tcW w:w="1440" w:type="dxa"/>
            <w:vAlign w:val="bottom"/>
            <w:gridSpan w:val="4"/>
          </w:tcPr>
          <w:p>
            <w:pPr>
              <w:jc w:val="center"/>
              <w:ind w:right="80"/>
              <w:spacing w:after="0" w:line="145" w:lineRule="exact"/>
              <w:rPr>
                <w:sz w:val="20"/>
                <w:szCs w:val="20"/>
                <w:color w:val="auto"/>
              </w:rPr>
            </w:pPr>
            <w:r>
              <w:rPr>
                <w:rFonts w:ascii="Arial" w:cs="Arial" w:eastAsia="Arial" w:hAnsi="Arial"/>
                <w:sz w:val="14"/>
                <w:szCs w:val="14"/>
                <w:color w:val="auto"/>
                <w:w w:val="89"/>
              </w:rPr>
              <w:t>Comprehensive</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gridSpan w:val="2"/>
          </w:tcPr>
          <w:p>
            <w:pPr>
              <w:jc w:val="center"/>
              <w:ind w:right="520"/>
              <w:spacing w:after="0"/>
              <w:rPr>
                <w:sz w:val="20"/>
                <w:szCs w:val="20"/>
                <w:color w:val="auto"/>
              </w:rPr>
            </w:pPr>
            <w:r>
              <w:rPr>
                <w:rFonts w:ascii="Arial" w:cs="Arial" w:eastAsia="Arial" w:hAnsi="Arial"/>
                <w:sz w:val="14"/>
                <w:szCs w:val="14"/>
                <w:color w:val="auto"/>
                <w:w w:val="91"/>
              </w:rPr>
              <w:t>Stock</w:t>
            </w:r>
          </w:p>
        </w:tc>
        <w:tc>
          <w:tcPr>
            <w:tcW w:w="1120" w:type="dxa"/>
            <w:vAlign w:val="bottom"/>
            <w:gridSpan w:val="4"/>
          </w:tcPr>
          <w:p>
            <w:pPr>
              <w:ind w:left="360"/>
              <w:spacing w:after="0"/>
              <w:rPr>
                <w:sz w:val="20"/>
                <w:szCs w:val="20"/>
                <w:color w:val="auto"/>
              </w:rPr>
            </w:pPr>
            <w:r>
              <w:rPr>
                <w:rFonts w:ascii="Arial" w:cs="Arial" w:eastAsia="Arial" w:hAnsi="Arial"/>
                <w:sz w:val="14"/>
                <w:szCs w:val="14"/>
                <w:color w:val="auto"/>
              </w:rPr>
              <w:t>Stock</w:t>
            </w:r>
          </w:p>
        </w:tc>
        <w:tc>
          <w:tcPr>
            <w:tcW w:w="80" w:type="dxa"/>
            <w:vAlign w:val="bottom"/>
          </w:tcPr>
          <w:p>
            <w:pPr>
              <w:spacing w:after="0"/>
              <w:rPr>
                <w:sz w:val="15"/>
                <w:szCs w:val="15"/>
                <w:color w:val="auto"/>
              </w:rPr>
            </w:pPr>
          </w:p>
        </w:tc>
        <w:tc>
          <w:tcPr>
            <w:tcW w:w="1240" w:type="dxa"/>
            <w:vAlign w:val="bottom"/>
            <w:gridSpan w:val="4"/>
          </w:tcPr>
          <w:p>
            <w:pPr>
              <w:jc w:val="center"/>
              <w:ind w:right="80"/>
              <w:spacing w:after="0"/>
              <w:rPr>
                <w:sz w:val="20"/>
                <w:szCs w:val="20"/>
                <w:color w:val="auto"/>
              </w:rPr>
            </w:pPr>
            <w:r>
              <w:rPr>
                <w:rFonts w:ascii="Arial" w:cs="Arial" w:eastAsia="Arial" w:hAnsi="Arial"/>
                <w:sz w:val="14"/>
                <w:szCs w:val="14"/>
                <w:color w:val="auto"/>
                <w:w w:val="91"/>
              </w:rPr>
              <w:t>Capital</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color w:val="auto"/>
                <w:w w:val="95"/>
              </w:rPr>
              <w:t>Income</w:t>
            </w:r>
          </w:p>
        </w:tc>
        <w:tc>
          <w:tcPr>
            <w:tcW w:w="80" w:type="dxa"/>
            <w:vAlign w:val="bottom"/>
          </w:tcPr>
          <w:p>
            <w:pPr>
              <w:spacing w:after="0"/>
              <w:rPr>
                <w:sz w:val="15"/>
                <w:szCs w:val="15"/>
                <w:color w:val="auto"/>
              </w:rPr>
            </w:pPr>
          </w:p>
        </w:tc>
        <w:tc>
          <w:tcPr>
            <w:tcW w:w="1200" w:type="dxa"/>
            <w:vAlign w:val="bottom"/>
            <w:gridSpan w:val="4"/>
          </w:tcPr>
          <w:p>
            <w:pPr>
              <w:ind w:left="40"/>
              <w:spacing w:after="0"/>
              <w:rPr>
                <w:sz w:val="20"/>
                <w:szCs w:val="20"/>
                <w:color w:val="auto"/>
              </w:rPr>
            </w:pPr>
            <w:r>
              <w:rPr>
                <w:rFonts w:ascii="Arial" w:cs="Arial" w:eastAsia="Arial" w:hAnsi="Arial"/>
                <w:sz w:val="14"/>
                <w:szCs w:val="14"/>
                <w:color w:val="auto"/>
                <w:w w:val="98"/>
              </w:rPr>
              <w:t>Retained Earnings</w:t>
            </w:r>
          </w:p>
        </w:tc>
        <w:tc>
          <w:tcPr>
            <w:tcW w:w="80" w:type="dxa"/>
            <w:vAlign w:val="bottom"/>
          </w:tcPr>
          <w:p>
            <w:pPr>
              <w:spacing w:after="0"/>
              <w:rPr>
                <w:sz w:val="15"/>
                <w:szCs w:val="15"/>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color w:val="auto"/>
              </w:rPr>
              <w:t>Treasury Stock</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4"/>
                <w:szCs w:val="14"/>
                <w:color w:val="auto"/>
              </w:rPr>
              <w:t>Total</w:t>
            </w:r>
          </w:p>
        </w:tc>
      </w:tr>
      <w:tr>
        <w:trPr>
          <w:trHeight w:val="165"/>
        </w:trPr>
        <w:tc>
          <w:tcPr>
            <w:tcW w:w="13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r>
      <w:tr>
        <w:trPr>
          <w:trHeight w:val="22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January 1, 2019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$ 30,609,596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4,387,286</w:t>
            </w:r>
          </w:p>
        </w:tc>
        <w:tc>
          <w:tcPr>
            <w:tcW w:w="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41,821,778</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(2,823)</w:t>
            </w:r>
          </w:p>
        </w:tc>
        <w:tc>
          <w:tcPr>
            <w:tcW w:w="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  95,201,732</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(206,396)</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5"/>
              </w:rPr>
              <w:t>171,811,173</w:t>
            </w:r>
          </w:p>
        </w:tc>
      </w:tr>
      <w:tr>
        <w:trPr>
          <w:trHeight w:val="172"/>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r>
      <w:tr>
        <w:trPr>
          <w:trHeight w:val="22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1,930,318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1,930,318</w:t>
            </w: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Other</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5"/>
        </w:trPr>
        <w:tc>
          <w:tcPr>
            <w:tcW w:w="1380" w:type="dxa"/>
            <w:vAlign w:val="bottom"/>
            <w:gridSpan w:val="2"/>
          </w:tcPr>
          <w:p>
            <w:pPr>
              <w:spacing w:after="0" w:line="145" w:lineRule="exact"/>
              <w:rPr>
                <w:sz w:val="20"/>
                <w:szCs w:val="20"/>
                <w:color w:val="auto"/>
              </w:rPr>
            </w:pPr>
            <w:r>
              <w:rPr>
                <w:rFonts w:ascii="Arial" w:cs="Arial" w:eastAsia="Arial" w:hAnsi="Arial"/>
                <w:sz w:val="14"/>
                <w:szCs w:val="14"/>
                <w:color w:val="auto"/>
              </w:rPr>
              <w:t>comprehensive</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income</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820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820</w:t>
            </w: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Stock-based</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13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compensation</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64,704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64,704</w:t>
            </w: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Exercise of stock</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8,936</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8,444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17,380</w:t>
            </w: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Sale of treasury</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295,153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42,343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337,496</w:t>
            </w: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Purchase of treasury</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stock</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(112,404)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(112,404)</w:t>
            </w:r>
          </w:p>
        </w:tc>
      </w:tr>
      <w:tr>
        <w:trPr>
          <w:trHeight w:val="22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dividends</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w:t>
            </w: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Conversion Class C</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to Class A</w:t>
            </w: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6,560</w:t>
            </w:r>
          </w:p>
        </w:tc>
        <w:tc>
          <w:tcPr>
            <w:tcW w:w="1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(6,560)</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20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March 31, 2019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$ 30,625,374</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3"/>
              </w:rPr>
              <w:t>4,380,722</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42,190,568</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(2,003)</w:t>
            </w:r>
          </w:p>
        </w:tc>
        <w:tc>
          <w:tcPr>
            <w:tcW w:w="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97,131,281</w:t>
            </w:r>
          </w:p>
        </w:tc>
        <w:tc>
          <w:tcPr>
            <w:tcW w:w="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(276,457)</w:t>
            </w:r>
          </w:p>
        </w:tc>
        <w:tc>
          <w:tcPr>
            <w:tcW w:w="8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$ 174,049,485</w:t>
            </w:r>
          </w:p>
        </w:tc>
      </w:tr>
      <w:tr>
        <w:trPr>
          <w:trHeight w:val="172"/>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r>
      <w:tr>
        <w:trPr>
          <w:trHeight w:val="224"/>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earnings</w:t>
            </w:r>
          </w:p>
        </w:tc>
        <w:tc>
          <w:tcPr>
            <w:tcW w:w="3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3,480,054</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3,480,054</w:t>
            </w: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Other</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comprehensive loss</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716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716</w:t>
            </w: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Stock-based</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138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compensation</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expense</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65,037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65,037</w:t>
            </w: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Exercise of stock</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options</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20,274</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9,519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29,793</w:t>
            </w: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Sale of treasury</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7"/>
        </w:trPr>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w:t>
            </w:r>
          </w:p>
        </w:tc>
        <w:tc>
          <w:tcPr>
            <w:tcW w:w="3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92,605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25,190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117,795</w:t>
            </w:r>
          </w:p>
        </w:tc>
      </w:tr>
      <w:tr>
        <w:trPr>
          <w:trHeight w:val="140"/>
        </w:trPr>
        <w:tc>
          <w:tcPr>
            <w:tcW w:w="1380" w:type="dxa"/>
            <w:vAlign w:val="bottom"/>
            <w:gridSpan w:val="2"/>
          </w:tcPr>
          <w:p>
            <w:pPr>
              <w:spacing w:after="0" w:line="140" w:lineRule="exact"/>
              <w:rPr>
                <w:sz w:val="20"/>
                <w:szCs w:val="20"/>
                <w:color w:val="auto"/>
              </w:rPr>
            </w:pPr>
            <w:r>
              <w:rPr>
                <w:rFonts w:ascii="Arial" w:cs="Arial" w:eastAsia="Arial" w:hAnsi="Arial"/>
                <w:sz w:val="14"/>
                <w:szCs w:val="14"/>
                <w:color w:val="auto"/>
              </w:rPr>
              <w:t>Purchase of treasury</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1380" w:type="dxa"/>
            <w:vAlign w:val="bottom"/>
            <w:gridSpan w:val="2"/>
          </w:tcPr>
          <w:p>
            <w:pPr>
              <w:spacing w:after="0"/>
              <w:rPr>
                <w:sz w:val="20"/>
                <w:szCs w:val="20"/>
                <w:color w:val="auto"/>
              </w:rPr>
            </w:pPr>
            <w:r>
              <w:rPr>
                <w:rFonts w:ascii="Arial" w:cs="Arial" w:eastAsia="Arial" w:hAnsi="Arial"/>
                <w:sz w:val="14"/>
                <w:szCs w:val="14"/>
                <w:color w:val="auto"/>
              </w:rPr>
              <w:t>stock</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(174,704)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(174,704)</w:t>
            </w:r>
          </w:p>
        </w:tc>
      </w:tr>
      <w:tr>
        <w:trPr>
          <w:trHeight w:val="140"/>
        </w:trPr>
        <w:tc>
          <w:tcPr>
            <w:tcW w:w="138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Conversion Class C</w:t>
            </w:r>
          </w:p>
        </w:tc>
        <w:tc>
          <w:tcPr>
            <w:tcW w:w="3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77"/>
        </w:trPr>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to Class A</w:t>
            </w:r>
          </w:p>
        </w:tc>
        <w:tc>
          <w:tcPr>
            <w:tcW w:w="2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r>
      <w:tr>
        <w:trPr>
          <w:trHeight w:val="204"/>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June 30, 2019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$ 30,645,660</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4,380,708</w:t>
            </w:r>
          </w:p>
        </w:tc>
        <w:tc>
          <w:tcPr>
            <w:tcW w:w="80" w:type="dxa"/>
            <w:vAlign w:val="bottom"/>
          </w:tcPr>
          <w:p>
            <w:pPr>
              <w:spacing w:after="0"/>
              <w:rPr>
                <w:sz w:val="17"/>
                <w:szCs w:val="17"/>
                <w:color w:val="auto"/>
              </w:rPr>
            </w:pPr>
          </w:p>
        </w:tc>
        <w:tc>
          <w:tcPr>
            <w:tcW w:w="5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42,357,731</w:t>
            </w:r>
          </w:p>
        </w:tc>
        <w:tc>
          <w:tcPr>
            <w:tcW w:w="80" w:type="dxa"/>
            <w:vAlign w:val="bottom"/>
          </w:tcPr>
          <w:p>
            <w:pPr>
              <w:spacing w:after="0"/>
              <w:rPr>
                <w:sz w:val="17"/>
                <w:szCs w:val="17"/>
                <w:color w:val="auto"/>
              </w:rPr>
            </w:pPr>
          </w:p>
        </w:tc>
        <w:tc>
          <w:tcPr>
            <w:tcW w:w="42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(1,287)</w:t>
            </w:r>
          </w:p>
        </w:tc>
        <w:tc>
          <w:tcPr>
            <w:tcW w:w="8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100,611,335</w:t>
            </w:r>
          </w:p>
        </w:tc>
        <w:tc>
          <w:tcPr>
            <w:tcW w:w="80" w:type="dxa"/>
            <w:vAlign w:val="bottom"/>
          </w:tcPr>
          <w:p>
            <w:pPr>
              <w:spacing w:after="0"/>
              <w:rPr>
                <w:sz w:val="17"/>
                <w:szCs w:val="17"/>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(425,971)</w:t>
            </w:r>
          </w:p>
        </w:tc>
        <w:tc>
          <w:tcPr>
            <w:tcW w:w="80" w:type="dxa"/>
            <w:vAlign w:val="bottom"/>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177,568,176</w:t>
            </w:r>
          </w:p>
        </w:tc>
      </w:tr>
      <w:tr>
        <w:trPr>
          <w:trHeight w:val="20"/>
        </w:trPr>
        <w:tc>
          <w:tcPr>
            <w:tcW w:w="1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consolidated financial statements (unaudited).</w:t>
      </w:r>
    </w:p>
    <w:p>
      <w:pPr>
        <w:sectPr>
          <w:pgSz w:w="11900" w:h="16838" w:orient="portrait"/>
          <w:cols w:equalWidth="0" w:num="1">
            <w:col w:w="10320"/>
          </w:cols>
          <w:pgMar w:left="1280" w:top="121" w:right="299" w:bottom="361" w:gutter="0" w:footer="0" w:header="0"/>
        </w:sectPr>
      </w:pPr>
    </w:p>
    <w:p>
      <w:pPr>
        <w:spacing w:after="0" w:line="257"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5634355"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10320"/>
          </w:cols>
          <w:pgMar w:left="1280" w:top="121" w:right="299" w:bottom="361" w:gutter="0" w:footer="0" w:header="0"/>
          <w:type w:val="continuous"/>
        </w:sectPr>
      </w:pPr>
    </w:p>
    <w:bookmarkStart w:id="7" w:name="page8"/>
    <w:bookmarkEnd w:id="7"/>
    <w:p>
      <w:pPr>
        <w:jc w:val="center"/>
        <w:ind w:right="700"/>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700"/>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700"/>
        <w:spacing w:after="0"/>
        <w:rPr>
          <w:sz w:val="20"/>
          <w:szCs w:val="20"/>
          <w:color w:val="auto"/>
        </w:rPr>
      </w:pPr>
      <w:r>
        <w:rPr>
          <w:rFonts w:ascii="Arial" w:cs="Arial" w:eastAsia="Arial" w:hAnsi="Arial"/>
          <w:sz w:val="19"/>
          <w:szCs w:val="19"/>
          <w:color w:val="auto"/>
        </w:rPr>
        <w:t>CONDENSED CONSOLIDATED STATEMENTS OF CASH FLOWS</w:t>
      </w:r>
    </w:p>
    <w:p>
      <w:pPr>
        <w:spacing w:after="0" w:line="6" w:lineRule="exact"/>
        <w:rPr>
          <w:sz w:val="20"/>
          <w:szCs w:val="20"/>
          <w:color w:val="auto"/>
        </w:rPr>
      </w:pPr>
    </w:p>
    <w:p>
      <w:pPr>
        <w:jc w:val="center"/>
        <w:ind w:right="700"/>
        <w:spacing w:after="0"/>
        <w:rPr>
          <w:sz w:val="20"/>
          <w:szCs w:val="20"/>
          <w:color w:val="auto"/>
        </w:rPr>
      </w:pPr>
      <w:r>
        <w:rPr>
          <w:rFonts w:ascii="Arial" w:cs="Arial" w:eastAsia="Arial" w:hAnsi="Arial"/>
          <w:sz w:val="19"/>
          <w:szCs w:val="19"/>
          <w:color w:val="auto"/>
        </w:rPr>
        <w:t>(Unaudited)</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5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4"/>
              </w:rPr>
              <w:t>Six Months Ended June 30</w:t>
            </w: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18"/>
        </w:trPr>
        <w:tc>
          <w:tcPr>
            <w:tcW w:w="658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8"/>
                <w:szCs w:val="18"/>
                <w:color w:val="auto"/>
              </w:rPr>
            </w:pPr>
          </w:p>
        </w:tc>
        <w:tc>
          <w:tcPr>
            <w:tcW w:w="13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color w:val="auto"/>
              </w:rPr>
              <w:t>2019</w:t>
            </w:r>
          </w:p>
        </w:tc>
      </w:tr>
      <w:tr>
        <w:trPr>
          <w:trHeight w:val="218"/>
        </w:trPr>
        <w:tc>
          <w:tcPr>
            <w:tcW w:w="6580" w:type="dxa"/>
            <w:vAlign w:val="bottom"/>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8"/>
        </w:trPr>
        <w:tc>
          <w:tcPr>
            <w:tcW w:w="6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cash used in operating activities</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$(109,561,903)</w:t>
            </w:r>
          </w:p>
        </w:tc>
        <w:tc>
          <w:tcPr>
            <w:tcW w:w="200" w:type="dxa"/>
            <w:vAlign w:val="bottom"/>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0"/>
              </w:rPr>
              <w:t>(40,725,988)</w:t>
            </w:r>
          </w:p>
        </w:tc>
      </w:tr>
      <w:tr>
        <w:trPr>
          <w:trHeight w:val="165"/>
        </w:trPr>
        <w:tc>
          <w:tcPr>
            <w:tcW w:w="6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Purchases of fixed maturity securities</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(49,243,362)</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2"/>
              </w:rPr>
              <w:t>(4,570,527)</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Sales, calls and maturities of fixed maturity securities</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60,438,933</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13,688,850</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Purchases of equity securities</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(13,396,648)</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2"/>
              </w:rPr>
              <w:t>(2,046,346)</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Sales of equity securities</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7,841,952</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763,548</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Net changes in restricted assets</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(1,476,279)</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2"/>
              </w:rPr>
              <w:t>(1,380,216)</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Net changes in perpetual care trusts</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(120,904)</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757,527</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Mortgage loans held for investment, other investments and policy loans made</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(313,439,255)</w:t>
            </w:r>
          </w:p>
        </w:tc>
        <w:tc>
          <w:tcPr>
            <w:tcW w:w="20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(273,167,834)</w:t>
            </w:r>
          </w:p>
        </w:tc>
      </w:tr>
      <w:tr>
        <w:trPr>
          <w:trHeight w:val="251"/>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Payments received for mortgage loans held for investment, other investments and policy loans</w:t>
            </w:r>
          </w:p>
        </w:tc>
        <w:tc>
          <w:tcPr>
            <w:tcW w:w="6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291,577,885</w:t>
            </w: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2"/>
              </w:rPr>
              <w:t>269,379,815</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(910,429)</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(367,466)</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Sales of property and equipment</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51,102</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Purchases of real estate</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(12,217,051)</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2"/>
              </w:rPr>
              <w:t>(4,316,130)</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Sales of real estate</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6,584,359</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4,945,323</w:t>
            </w:r>
          </w:p>
        </w:tc>
      </w:tr>
      <w:tr>
        <w:trPr>
          <w:trHeight w:val="238"/>
        </w:trPr>
        <w:tc>
          <w:tcPr>
            <w:tcW w:w="6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paid for purchase of subsidiaries, net of cash acquired</w:t>
            </w: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(3,261,788)</w:t>
            </w:r>
          </w:p>
        </w:tc>
      </w:tr>
      <w:tr>
        <w:trPr>
          <w:trHeight w:val="218"/>
        </w:trPr>
        <w:tc>
          <w:tcPr>
            <w:tcW w:w="6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(used in) investing activities</w:t>
            </w:r>
          </w:p>
        </w:tc>
        <w:tc>
          <w:tcPr>
            <w:tcW w:w="6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(24,360,799)</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475,858</w:t>
            </w:r>
          </w:p>
        </w:tc>
      </w:tr>
      <w:tr>
        <w:trPr>
          <w:trHeight w:val="165"/>
        </w:trPr>
        <w:tc>
          <w:tcPr>
            <w:tcW w:w="6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Investment contract receipts</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5,180,530</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6,275,671</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Investment contract withdrawals</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(8,606,537)</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(8,729,845)</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Proceeds from stock options exercised</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10,892</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47,173</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Purchases of treasury stock</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(890,321)</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(287,108)</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Repayment of bank and other loans</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0"/>
              </w:rPr>
              <w:t>(48,739,820)</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0"/>
              </w:rPr>
              <w:t>(93,583,859)</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Proceeds from bank borrowings</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119,172,821</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92,967,146</w:t>
            </w:r>
          </w:p>
        </w:tc>
      </w:tr>
      <w:tr>
        <w:trPr>
          <w:trHeight w:val="238"/>
        </w:trPr>
        <w:tc>
          <w:tcPr>
            <w:tcW w:w="65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Net change in warehouse line borrowings for loans held for sale</w:t>
            </w: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59,048,513</w:t>
            </w:r>
          </w:p>
        </w:tc>
        <w:tc>
          <w:tcPr>
            <w:tcW w:w="2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29,203,601</w:t>
            </w:r>
          </w:p>
        </w:tc>
      </w:tr>
      <w:tr>
        <w:trPr>
          <w:trHeight w:val="218"/>
        </w:trPr>
        <w:tc>
          <w:tcPr>
            <w:tcW w:w="65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financing activities</w:t>
            </w:r>
          </w:p>
        </w:tc>
        <w:tc>
          <w:tcPr>
            <w:tcW w:w="6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125,176,078</w:t>
            </w: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25,892,779</w:t>
            </w:r>
          </w:p>
        </w:tc>
      </w:tr>
      <w:tr>
        <w:trPr>
          <w:trHeight w:val="165"/>
        </w:trPr>
        <w:tc>
          <w:tcPr>
            <w:tcW w:w="6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64"/>
        </w:trPr>
        <w:tc>
          <w:tcPr>
            <w:tcW w:w="6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change in cash, cash equivalents, restricted cash and restricted cash equivalents</w:t>
            </w:r>
          </w:p>
        </w:tc>
        <w:tc>
          <w:tcPr>
            <w:tcW w:w="6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(8,746,624)</w:t>
            </w:r>
          </w:p>
        </w:tc>
        <w:tc>
          <w:tcPr>
            <w:tcW w:w="200" w:type="dxa"/>
            <w:vAlign w:val="bottom"/>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0"/>
              </w:rPr>
              <w:t>(14,357,351)</w:t>
            </w:r>
          </w:p>
        </w:tc>
      </w:tr>
      <w:tr>
        <w:trPr>
          <w:trHeight w:val="165"/>
        </w:trPr>
        <w:tc>
          <w:tcPr>
            <w:tcW w:w="6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24"/>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Cash, cash equivalents, restricted cash and restricted cash equivalents at beginning of period</w:t>
            </w:r>
          </w:p>
        </w:tc>
        <w:tc>
          <w:tcPr>
            <w:tcW w:w="6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2"/>
              </w:rPr>
              <w:t>137,735,673</w:t>
            </w:r>
          </w:p>
        </w:tc>
        <w:tc>
          <w:tcPr>
            <w:tcW w:w="2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92"/>
              </w:rPr>
              <w:t>150,936,673</w:t>
            </w:r>
          </w:p>
        </w:tc>
      </w:tr>
      <w:tr>
        <w:trPr>
          <w:trHeight w:val="165"/>
        </w:trPr>
        <w:tc>
          <w:tcPr>
            <w:tcW w:w="6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1"/>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cash equivalents, restricted cash and restricted cash equivalents at end of period</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$ 128,989,049</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$ 136,579,322</w:t>
            </w:r>
          </w:p>
        </w:tc>
      </w:tr>
      <w:tr>
        <w:trPr>
          <w:trHeight w:val="20"/>
        </w:trPr>
        <w:tc>
          <w:tcPr>
            <w:tcW w:w="6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51"/>
        </w:trPr>
        <w:tc>
          <w:tcPr>
            <w:tcW w:w="6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Cash paid during the year for:</w:t>
            </w: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Interest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3,732,031</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3,219,201</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Income taxes (net of refunds)</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409,223</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960,408</w:t>
            </w:r>
          </w:p>
        </w:tc>
      </w:tr>
      <w:tr>
        <w:trPr>
          <w:trHeight w:val="172"/>
        </w:trPr>
        <w:tc>
          <w:tcPr>
            <w:tcW w:w="65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38"/>
        </w:trPr>
        <w:tc>
          <w:tcPr>
            <w:tcW w:w="6580" w:type="dxa"/>
            <w:vAlign w:val="bottom"/>
          </w:tcPr>
          <w:p>
            <w:pPr>
              <w:spacing w:after="0"/>
              <w:rPr>
                <w:sz w:val="20"/>
                <w:szCs w:val="20"/>
                <w:color w:val="auto"/>
              </w:rPr>
            </w:pPr>
            <w:r>
              <w:rPr>
                <w:rFonts w:ascii="Arial" w:cs="Arial" w:eastAsia="Arial" w:hAnsi="Arial"/>
                <w:sz w:val="14"/>
                <w:szCs w:val="14"/>
                <w:b w:val="1"/>
                <w:bCs w:val="1"/>
                <w:color w:val="auto"/>
              </w:rPr>
              <w:t>Non Cash Operating, Investing and Financing Activities:</w:t>
            </w: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Transfer of loans held for sale to mortgage loans held for investment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8,933,676</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4,641,238</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11,860,956</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Benefit plans funded with treasury stock</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1,466,583</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455,291</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Accrued real estate construction costs and retainage</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687,314</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823,545</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Mortgage loans held for investment foreclosed into real estate held for investment</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686,124</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755,000</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Right-of-use assets obtained in exchange for finance lease liabilities</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8,494</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244,855</w:t>
            </w:r>
          </w:p>
        </w:tc>
      </w:tr>
      <w:tr>
        <w:trPr>
          <w:trHeight w:val="238"/>
        </w:trPr>
        <w:tc>
          <w:tcPr>
            <w:tcW w:w="6580" w:type="dxa"/>
            <w:vAlign w:val="bottom"/>
            <w:shd w:val="clear" w:color="auto" w:fill="CCEEFF"/>
          </w:tcPr>
          <w:p>
            <w:pPr>
              <w:spacing w:after="0"/>
              <w:rPr>
                <w:sz w:val="20"/>
                <w:szCs w:val="20"/>
                <w:color w:val="auto"/>
              </w:rPr>
            </w:pPr>
            <w:r>
              <w:rPr>
                <w:rFonts w:ascii="Arial" w:cs="Arial" w:eastAsia="Arial" w:hAnsi="Arial"/>
                <w:sz w:val="14"/>
                <w:szCs w:val="14"/>
                <w:color w:val="auto"/>
              </w:rPr>
              <w:t>Receivable for maturities of fixed maturity securities</w:t>
            </w:r>
          </w:p>
        </w:tc>
        <w:tc>
          <w:tcPr>
            <w:tcW w:w="6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10,000,000</w:t>
            </w:r>
          </w:p>
        </w:tc>
      </w:tr>
      <w:tr>
        <w:trPr>
          <w:trHeight w:val="238"/>
        </w:trPr>
        <w:tc>
          <w:tcPr>
            <w:tcW w:w="6580" w:type="dxa"/>
            <w:vAlign w:val="bottom"/>
          </w:tcPr>
          <w:p>
            <w:pPr>
              <w:spacing w:after="0"/>
              <w:rPr>
                <w:sz w:val="20"/>
                <w:szCs w:val="20"/>
                <w:color w:val="auto"/>
              </w:rPr>
            </w:pPr>
            <w:r>
              <w:rPr>
                <w:rFonts w:ascii="Arial" w:cs="Arial" w:eastAsia="Arial" w:hAnsi="Arial"/>
                <w:sz w:val="14"/>
                <w:szCs w:val="14"/>
                <w:color w:val="auto"/>
              </w:rPr>
              <w:t>Mortgage loans held for investment foreclosed into receivables</w:t>
            </w:r>
          </w:p>
        </w:tc>
        <w:tc>
          <w:tcPr>
            <w:tcW w:w="6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155,347</w:t>
            </w:r>
          </w:p>
        </w:tc>
      </w:tr>
      <w:tr>
        <w:trPr>
          <w:trHeight w:val="172"/>
        </w:trPr>
        <w:tc>
          <w:tcPr>
            <w:tcW w:w="65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See Note 15 regarding non cash transactions included in the acquisition of Probst Family Funeral and Cremations and Heber Valley Funeral Home.</w:t>
      </w:r>
    </w:p>
    <w:p>
      <w:pPr>
        <w:spacing w:after="0" w:line="250"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5634355" cy="336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560"/>
          </w:cols>
          <w:pgMar w:left="1280" w:top="347" w:right="1059" w:bottom="1440" w:gutter="0" w:footer="0" w:header="0"/>
        </w:sectPr>
      </w:pPr>
    </w:p>
    <w:bookmarkStart w:id="8" w:name="page9"/>
    <w:bookmarkEnd w:id="8"/>
    <w:p>
      <w:pPr>
        <w:jc w:val="center"/>
        <w:ind w:right="640"/>
        <w:spacing w:after="0"/>
        <w:rPr>
          <w:sz w:val="20"/>
          <w:szCs w:val="20"/>
          <w:color w:val="auto"/>
        </w:rPr>
      </w:pPr>
      <w:r>
        <w:rPr>
          <w:rFonts w:ascii="Arial" w:cs="Arial" w:eastAsia="Arial" w:hAnsi="Arial"/>
          <w:sz w:val="19"/>
          <w:szCs w:val="19"/>
          <w:color w:val="auto"/>
        </w:rPr>
        <w:t>SECURITY NATIONAL FINANCIAL CORPORATION</w:t>
      </w:r>
    </w:p>
    <w:p>
      <w:pPr>
        <w:spacing w:after="0" w:line="22" w:lineRule="exact"/>
        <w:rPr>
          <w:sz w:val="20"/>
          <w:szCs w:val="20"/>
          <w:color w:val="auto"/>
        </w:rPr>
      </w:pPr>
    </w:p>
    <w:p>
      <w:pPr>
        <w:jc w:val="center"/>
        <w:ind w:right="640"/>
        <w:spacing w:after="0"/>
        <w:rPr>
          <w:sz w:val="20"/>
          <w:szCs w:val="20"/>
          <w:color w:val="auto"/>
        </w:rPr>
      </w:pPr>
      <w:r>
        <w:rPr>
          <w:rFonts w:ascii="Arial" w:cs="Arial" w:eastAsia="Arial" w:hAnsi="Arial"/>
          <w:sz w:val="19"/>
          <w:szCs w:val="19"/>
          <w:color w:val="auto"/>
        </w:rPr>
        <w:t>AND SUBSIDIARIES</w:t>
      </w:r>
    </w:p>
    <w:p>
      <w:pPr>
        <w:spacing w:after="0" w:line="6" w:lineRule="exact"/>
        <w:rPr>
          <w:sz w:val="20"/>
          <w:szCs w:val="20"/>
          <w:color w:val="auto"/>
        </w:rPr>
      </w:pPr>
    </w:p>
    <w:p>
      <w:pPr>
        <w:jc w:val="center"/>
        <w:ind w:right="640"/>
        <w:spacing w:after="0"/>
        <w:rPr>
          <w:sz w:val="20"/>
          <w:szCs w:val="20"/>
          <w:color w:val="auto"/>
        </w:rPr>
      </w:pPr>
      <w:r>
        <w:rPr>
          <w:rFonts w:ascii="Arial" w:cs="Arial" w:eastAsia="Arial" w:hAnsi="Arial"/>
          <w:sz w:val="19"/>
          <w:szCs w:val="19"/>
          <w:color w:val="auto"/>
        </w:rPr>
        <w:t>CONDENSED CONSOLIDATED STATEMENTS OF CASH FLOWS (Continued)</w:t>
      </w:r>
    </w:p>
    <w:p>
      <w:pPr>
        <w:spacing w:after="0" w:line="6" w:lineRule="exact"/>
        <w:rPr>
          <w:sz w:val="20"/>
          <w:szCs w:val="20"/>
          <w:color w:val="auto"/>
        </w:rPr>
      </w:pPr>
    </w:p>
    <w:p>
      <w:pPr>
        <w:jc w:val="center"/>
        <w:ind w:right="640"/>
        <w:spacing w:after="0"/>
        <w:rPr>
          <w:sz w:val="20"/>
          <w:szCs w:val="20"/>
          <w:color w:val="auto"/>
        </w:rPr>
      </w:pPr>
      <w:r>
        <w:rPr>
          <w:rFonts w:ascii="Arial" w:cs="Arial" w:eastAsia="Arial" w:hAnsi="Arial"/>
          <w:sz w:val="19"/>
          <w:szCs w:val="19"/>
          <w:color w:val="auto"/>
        </w:rPr>
        <w:t>(Unaudited)</w:t>
      </w:r>
    </w:p>
    <w:p>
      <w:pPr>
        <w:spacing w:after="0" w:line="109" w:lineRule="exact"/>
        <w:rPr>
          <w:sz w:val="20"/>
          <w:szCs w:val="20"/>
          <w:color w:val="auto"/>
        </w:rPr>
      </w:pPr>
    </w:p>
    <w:p>
      <w:pPr>
        <w:ind w:right="640"/>
        <w:spacing w:after="0" w:line="277" w:lineRule="auto"/>
        <w:rPr>
          <w:sz w:val="20"/>
          <w:szCs w:val="20"/>
          <w:color w:val="auto"/>
        </w:rPr>
      </w:pPr>
      <w:r>
        <w:rPr>
          <w:rFonts w:ascii="Arial" w:cs="Arial" w:eastAsia="Arial" w:hAnsi="Arial"/>
          <w:sz w:val="19"/>
          <w:szCs w:val="19"/>
          <w:color w:val="auto"/>
        </w:rPr>
        <w:t>Reconciliation of cash, cash equivalents, restricted cash and restricted cash equivalents as shown in the condensed consolidated statements of cash flows is presented in the table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0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color w:val="auto"/>
                <w:w w:val="99"/>
              </w:rPr>
              <w:t>Six Months Ended June 30</w:t>
            </w:r>
          </w:p>
        </w:tc>
        <w:tc>
          <w:tcPr>
            <w:tcW w:w="820" w:type="dxa"/>
            <w:vAlign w:val="bottom"/>
            <w:tcBorders>
              <w:bottom w:val="single" w:sz="8" w:color="auto"/>
            </w:tcBorders>
          </w:tcPr>
          <w:p>
            <w:pPr>
              <w:spacing w:after="0"/>
              <w:rPr>
                <w:sz w:val="15"/>
                <w:szCs w:val="15"/>
                <w:color w:val="auto"/>
              </w:rPr>
            </w:pPr>
          </w:p>
        </w:tc>
      </w:tr>
      <w:tr>
        <w:trPr>
          <w:trHeight w:val="244"/>
        </w:trPr>
        <w:tc>
          <w:tcPr>
            <w:tcW w:w="608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4"/>
                <w:szCs w:val="14"/>
                <w:color w:val="auto"/>
              </w:rPr>
              <w:t>2020</w:t>
            </w:r>
          </w:p>
        </w:tc>
        <w:tc>
          <w:tcPr>
            <w:tcW w:w="20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4"/>
                <w:szCs w:val="14"/>
                <w:color w:val="auto"/>
              </w:rPr>
              <w:t>2019</w:t>
            </w:r>
          </w:p>
        </w:tc>
      </w:tr>
      <w:tr>
        <w:trPr>
          <w:trHeight w:val="204"/>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116,961,182</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127,828,356</w:t>
            </w:r>
          </w:p>
        </w:tc>
      </w:tr>
      <w:tr>
        <w:trPr>
          <w:trHeight w:val="211"/>
        </w:trPr>
        <w:tc>
          <w:tcPr>
            <w:tcW w:w="6080" w:type="dxa"/>
            <w:vAlign w:val="bottom"/>
          </w:tcPr>
          <w:p>
            <w:pPr>
              <w:spacing w:after="0"/>
              <w:rPr>
                <w:sz w:val="20"/>
                <w:szCs w:val="20"/>
                <w:color w:val="auto"/>
              </w:rPr>
            </w:pPr>
            <w:r>
              <w:rPr>
                <w:rFonts w:ascii="Arial" w:cs="Arial" w:eastAsia="Arial" w:hAnsi="Arial"/>
                <w:sz w:val="14"/>
                <w:szCs w:val="14"/>
                <w:color w:val="auto"/>
              </w:rPr>
              <w:t>Restricted assets</w:t>
            </w:r>
          </w:p>
        </w:tc>
        <w:tc>
          <w:tcPr>
            <w:tcW w:w="7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9,992,953</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7,076,341</w:t>
            </w:r>
          </w:p>
        </w:tc>
      </w:tr>
      <w:tr>
        <w:trPr>
          <w:trHeight w:val="185"/>
        </w:trPr>
        <w:tc>
          <w:tcPr>
            <w:tcW w:w="6080" w:type="dxa"/>
            <w:vAlign w:val="bottom"/>
            <w:shd w:val="clear" w:color="auto" w:fill="CCEEFF"/>
          </w:tcPr>
          <w:p>
            <w:pPr>
              <w:spacing w:after="0"/>
              <w:rPr>
                <w:sz w:val="20"/>
                <w:szCs w:val="20"/>
                <w:color w:val="auto"/>
              </w:rPr>
            </w:pPr>
            <w:r>
              <w:rPr>
                <w:rFonts w:ascii="Arial" w:cs="Arial" w:eastAsia="Arial" w:hAnsi="Arial"/>
                <w:sz w:val="14"/>
                <w:szCs w:val="14"/>
                <w:color w:val="auto"/>
              </w:rPr>
              <w:t>Cemetery perpetual care trust investments</w:t>
            </w: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2,034,914</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1,674,625</w:t>
            </w:r>
          </w:p>
        </w:tc>
      </w:tr>
      <w:tr>
        <w:trPr>
          <w:trHeight w:val="172"/>
        </w:trPr>
        <w:tc>
          <w:tcPr>
            <w:tcW w:w="60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91"/>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cash, cash equivalents, restricted cash and restricted cash equivalents</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128,989,049</w:t>
            </w:r>
          </w:p>
        </w:tc>
        <w:tc>
          <w:tcPr>
            <w:tcW w:w="2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136,579,322</w:t>
            </w:r>
          </w:p>
        </w:tc>
      </w:tr>
      <w:tr>
        <w:trPr>
          <w:trHeight w:val="20"/>
        </w:trPr>
        <w:tc>
          <w:tcPr>
            <w:tcW w:w="6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See accompanying notes to condensed consolidated financial statements (unaudited).</w:t>
      </w:r>
    </w:p>
    <w:p>
      <w:pPr>
        <w:spacing w:after="0" w:line="257"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98425</wp:posOffset>
            </wp:positionV>
            <wp:extent cx="5634355" cy="336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500"/>
          </w:cols>
          <w:pgMar w:left="1280" w:top="585" w:right="1119" w:bottom="1440" w:gutter="0" w:footer="0" w:header="0"/>
        </w:sectPr>
      </w:pPr>
    </w:p>
    <w:bookmarkStart w:id="9" w:name="page10"/>
    <w:bookmarkEnd w:id="9"/>
    <w:p>
      <w:pPr>
        <w:ind w:left="1284"/>
        <w:spacing w:after="0"/>
        <w:rPr>
          <w:sz w:val="20"/>
          <w:szCs w:val="20"/>
          <w:color w:val="auto"/>
        </w:rPr>
      </w:pPr>
      <w:r>
        <w:rPr>
          <w:rFonts w:ascii="Arial" w:cs="Arial" w:eastAsia="Arial" w:hAnsi="Arial"/>
          <w:sz w:val="19"/>
          <w:szCs w:val="19"/>
          <w:color w:val="auto"/>
        </w:rPr>
        <w:t>SECURITY NATIONAL FINANCIAL CORPORATION AND SUBSIDIARIES</w:t>
      </w:r>
    </w:p>
    <w:p>
      <w:pPr>
        <w:spacing w:after="0" w:line="22" w:lineRule="exact"/>
        <w:rPr>
          <w:sz w:val="20"/>
          <w:szCs w:val="20"/>
          <w:color w:val="auto"/>
        </w:rPr>
      </w:pPr>
    </w:p>
    <w:p>
      <w:pPr>
        <w:ind w:left="2284"/>
        <w:spacing w:after="0"/>
        <w:rPr>
          <w:sz w:val="20"/>
          <w:szCs w:val="20"/>
          <w:color w:val="auto"/>
        </w:rPr>
      </w:pPr>
      <w:r>
        <w:rPr>
          <w:rFonts w:ascii="Arial" w:cs="Arial" w:eastAsia="Arial" w:hAnsi="Arial"/>
          <w:sz w:val="19"/>
          <w:szCs w:val="19"/>
          <w:color w:val="auto"/>
        </w:rPr>
        <w:t>Notes to Condensed Consolidated Financial Statements</w:t>
      </w:r>
    </w:p>
    <w:p>
      <w:pPr>
        <w:spacing w:after="0" w:line="6" w:lineRule="exact"/>
        <w:rPr>
          <w:sz w:val="20"/>
          <w:szCs w:val="20"/>
          <w:color w:val="auto"/>
        </w:rPr>
      </w:pPr>
    </w:p>
    <w:p>
      <w:pPr>
        <w:ind w:left="3724"/>
        <w:spacing w:after="0"/>
        <w:rPr>
          <w:sz w:val="20"/>
          <w:szCs w:val="20"/>
          <w:color w:val="auto"/>
        </w:rPr>
      </w:pPr>
      <w:r>
        <w:rPr>
          <w:rFonts w:ascii="Arial" w:cs="Arial" w:eastAsia="Arial" w:hAnsi="Arial"/>
          <w:sz w:val="19"/>
          <w:szCs w:val="19"/>
          <w:color w:val="auto"/>
        </w:rPr>
        <w:t>June 30, 2020 (Unaudited)</w:t>
      </w:r>
    </w:p>
    <w:p>
      <w:pPr>
        <w:spacing w:after="0" w:line="241" w:lineRule="exact"/>
        <w:rPr>
          <w:sz w:val="20"/>
          <w:szCs w:val="20"/>
          <w:color w:val="auto"/>
        </w:rPr>
      </w:pPr>
    </w:p>
    <w:p>
      <w:pPr>
        <w:ind w:left="484" w:hanging="484"/>
        <w:spacing w:after="0"/>
        <w:tabs>
          <w:tab w:leader="none" w:pos="484"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Basis of Presentation</w:t>
      </w:r>
    </w:p>
    <w:p>
      <w:pPr>
        <w:spacing w:after="0" w:line="230" w:lineRule="exact"/>
        <w:rPr>
          <w:sz w:val="20"/>
          <w:szCs w:val="20"/>
          <w:color w:val="auto"/>
        </w:rPr>
      </w:pPr>
    </w:p>
    <w:p>
      <w:pPr>
        <w:jc w:val="both"/>
        <w:ind w:left="4" w:right="319"/>
        <w:spacing w:after="0" w:line="26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Articles 8 and 10 of Regulation S-X.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2019, included in the Company’s Annual Report on Form 10-K (File Number 000-09341). In the opinion of management, all adjustments (consisting of normal recurring accruals) considered necessary for a fair presentation have been included. Operating results for the six months ended June 30, 2020 are not necessarily indicative of the results that may be expected for the year ending December 31, 2020.</w:t>
      </w:r>
    </w:p>
    <w:p>
      <w:pPr>
        <w:spacing w:after="0" w:line="184" w:lineRule="exact"/>
        <w:rPr>
          <w:sz w:val="20"/>
          <w:szCs w:val="20"/>
          <w:color w:val="auto"/>
        </w:rPr>
      </w:pPr>
    </w:p>
    <w:p>
      <w:pPr>
        <w:jc w:val="both"/>
        <w:ind w:left="4" w:right="319"/>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adopt policies and make estimates and assumptions that affect the amounts reported in the financial statements and accompanying notes. In applying these policies and estimates, the Company makes judgments that frequently require assumptions about matters that are inherently uncertain. The novel coronavirus (“COVID-19”) spread rapidly across the world in the first and second quarters of 2020 and was declared a pandemic (the “COVID-19 Pandemic”) by the World Health Organization. The government and private sector responses to contain its spread began to affect the Company’s operations in March, has continued to affect the Company’s operations and will likely continue to affect nearly all of the Company’s operations in the third quarter, although such effects may vary significantly. The duration and extent of the effects over longer terms cannot be reasonably estimated at this time. The risks and uncertainties resulting from the pandemic that may affect the Company’s future earnings, cash flows, and financial condition include the nature and duration of the curtailment or closure of the Company’s various facilities and the long-term effect on the demand for the Company’s products and services. Accordingly, significant estimates used in the preparation of the Company’s financial statements may be subject to significant adjustments in future periods. Actual results could differ from those estimates.</w:t>
      </w:r>
    </w:p>
    <w:p>
      <w:pPr>
        <w:spacing w:after="0" w:line="189" w:lineRule="exact"/>
        <w:rPr>
          <w:sz w:val="20"/>
          <w:szCs w:val="20"/>
          <w:color w:val="auto"/>
        </w:rPr>
      </w:pPr>
    </w:p>
    <w:p>
      <w:pPr>
        <w:jc w:val="both"/>
        <w:ind w:left="4" w:right="319"/>
        <w:spacing w:after="0" w:line="250" w:lineRule="auto"/>
        <w:rPr>
          <w:sz w:val="20"/>
          <w:szCs w:val="20"/>
          <w:color w:val="auto"/>
        </w:rPr>
      </w:pPr>
      <w:r>
        <w:rPr>
          <w:rFonts w:ascii="Arial" w:cs="Arial" w:eastAsia="Arial" w:hAnsi="Arial"/>
          <w:sz w:val="19"/>
          <w:szCs w:val="19"/>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estimating other than temporary impairments on available for sale securities;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196" w:lineRule="exact"/>
        <w:rPr>
          <w:sz w:val="20"/>
          <w:szCs w:val="20"/>
          <w:color w:val="auto"/>
        </w:rPr>
      </w:pPr>
    </w:p>
    <w:p>
      <w:pPr>
        <w:ind w:left="484" w:hanging="484"/>
        <w:spacing w:after="0"/>
        <w:tabs>
          <w:tab w:leader="none" w:pos="484"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Recent Accounting Pronouncements</w:t>
      </w:r>
    </w:p>
    <w:p>
      <w:pPr>
        <w:spacing w:after="0" w:line="224"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Accounting Standards Adopted in 2020</w:t>
      </w:r>
    </w:p>
    <w:p>
      <w:pPr>
        <w:spacing w:after="0" w:line="236" w:lineRule="exact"/>
        <w:rPr>
          <w:sz w:val="20"/>
          <w:szCs w:val="20"/>
          <w:color w:val="auto"/>
        </w:rPr>
      </w:pPr>
    </w:p>
    <w:p>
      <w:pPr>
        <w:jc w:val="both"/>
        <w:ind w:left="4" w:right="319"/>
        <w:spacing w:after="0" w:line="265" w:lineRule="auto"/>
        <w:rPr>
          <w:sz w:val="20"/>
          <w:szCs w:val="20"/>
          <w:color w:val="auto"/>
        </w:rPr>
      </w:pPr>
      <w:r>
        <w:rPr>
          <w:rFonts w:ascii="Arial" w:cs="Arial" w:eastAsia="Arial" w:hAnsi="Arial"/>
          <w:sz w:val="18"/>
          <w:szCs w:val="18"/>
          <w:u w:val="single" w:color="auto"/>
          <w:color w:val="auto"/>
        </w:rPr>
        <w:t>ASU No. 2018-13: “Fair Value Measurement (Topic 820): Disclosure Framework-Changes to the Disclosure Requirements for Fair Value Measurement”</w:t>
      </w:r>
      <w:r>
        <w:rPr>
          <w:rFonts w:ascii="Arial" w:cs="Arial" w:eastAsia="Arial" w:hAnsi="Arial"/>
          <w:sz w:val="18"/>
          <w:szCs w:val="18"/>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The Company adopted this standard on January 1, 2020. The adoption of this standard did not materially impact the Company’s financial statements. See Note 8 for the Company’s fair value disclosures.</w:t>
      </w:r>
    </w:p>
    <w:p>
      <w:pPr>
        <w:spacing w:after="0" w:line="201"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413" w:right="1440" w:bottom="1440" w:gutter="0" w:footer="0" w:header="0"/>
        </w:sectPr>
      </w:pPr>
    </w:p>
    <w:bookmarkStart w:id="10" w:name="page11"/>
    <w:bookmarkEnd w:id="10"/>
    <w:p>
      <w:pPr>
        <w:ind w:left="1284"/>
        <w:spacing w:after="0"/>
        <w:rPr>
          <w:sz w:val="20"/>
          <w:szCs w:val="20"/>
          <w:color w:val="auto"/>
        </w:rPr>
      </w:pPr>
      <w:r>
        <w:rPr>
          <w:rFonts w:ascii="Arial" w:cs="Arial" w:eastAsia="Arial" w:hAnsi="Arial"/>
          <w:sz w:val="19"/>
          <w:szCs w:val="19"/>
          <w:color w:val="auto"/>
        </w:rPr>
        <w:t>SECURITY NATIONAL FINANCIAL CORPORATION AND SUBSIDIARIES</w:t>
      </w:r>
    </w:p>
    <w:p>
      <w:pPr>
        <w:spacing w:after="0" w:line="22" w:lineRule="exact"/>
        <w:rPr>
          <w:sz w:val="20"/>
          <w:szCs w:val="20"/>
          <w:color w:val="auto"/>
        </w:rPr>
      </w:pPr>
    </w:p>
    <w:p>
      <w:pPr>
        <w:ind w:left="2284"/>
        <w:spacing w:after="0"/>
        <w:rPr>
          <w:sz w:val="20"/>
          <w:szCs w:val="20"/>
          <w:color w:val="auto"/>
        </w:rPr>
      </w:pPr>
      <w:r>
        <w:rPr>
          <w:rFonts w:ascii="Arial" w:cs="Arial" w:eastAsia="Arial" w:hAnsi="Arial"/>
          <w:sz w:val="19"/>
          <w:szCs w:val="19"/>
          <w:color w:val="auto"/>
        </w:rPr>
        <w:t>Notes to Condensed Consolidated Financial Statements</w:t>
      </w:r>
    </w:p>
    <w:p>
      <w:pPr>
        <w:spacing w:after="0" w:line="6" w:lineRule="exact"/>
        <w:rPr>
          <w:sz w:val="20"/>
          <w:szCs w:val="20"/>
          <w:color w:val="auto"/>
        </w:rPr>
      </w:pPr>
    </w:p>
    <w:p>
      <w:pPr>
        <w:ind w:left="3724"/>
        <w:spacing w:after="0"/>
        <w:rPr>
          <w:sz w:val="20"/>
          <w:szCs w:val="20"/>
          <w:color w:val="auto"/>
        </w:rPr>
      </w:pPr>
      <w:r>
        <w:rPr>
          <w:rFonts w:ascii="Arial" w:cs="Arial" w:eastAsia="Arial" w:hAnsi="Arial"/>
          <w:sz w:val="19"/>
          <w:szCs w:val="19"/>
          <w:color w:val="auto"/>
        </w:rPr>
        <w:t>June 30, 2020 (Unaudited)</w:t>
      </w:r>
    </w:p>
    <w:p>
      <w:pPr>
        <w:spacing w:after="0" w:line="214" w:lineRule="exact"/>
        <w:rPr>
          <w:sz w:val="20"/>
          <w:szCs w:val="20"/>
          <w:color w:val="auto"/>
        </w:rPr>
      </w:pPr>
    </w:p>
    <w:p>
      <w:pPr>
        <w:ind w:left="484" w:hanging="484"/>
        <w:spacing w:after="0"/>
        <w:tabs>
          <w:tab w:leader="none" w:pos="484"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Recent Accounting Pronouncements</w:t>
      </w:r>
      <w:r>
        <w:rPr>
          <w:rFonts w:ascii="Arial" w:cs="Arial" w:eastAsia="Arial" w:hAnsi="Arial"/>
          <w:sz w:val="19"/>
          <w:szCs w:val="19"/>
          <w:color w:val="auto"/>
        </w:rPr>
        <w:t xml:space="preserve"> (Continued)</w:t>
      </w:r>
    </w:p>
    <w:p>
      <w:pPr>
        <w:spacing w:after="0" w:line="251"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Accounting Standards Adopted in 2019</w:t>
      </w:r>
    </w:p>
    <w:p>
      <w:pPr>
        <w:spacing w:after="0" w:line="236" w:lineRule="exact"/>
        <w:rPr>
          <w:sz w:val="20"/>
          <w:szCs w:val="20"/>
          <w:color w:val="auto"/>
        </w:rPr>
      </w:pPr>
    </w:p>
    <w:p>
      <w:pPr>
        <w:jc w:val="both"/>
        <w:ind w:left="4" w:right="319"/>
        <w:spacing w:after="0" w:line="265" w:lineRule="auto"/>
        <w:rPr>
          <w:sz w:val="20"/>
          <w:szCs w:val="20"/>
          <w:color w:val="auto"/>
        </w:rPr>
      </w:pPr>
      <w:r>
        <w:rPr>
          <w:rFonts w:ascii="Arial" w:cs="Arial" w:eastAsia="Arial" w:hAnsi="Arial"/>
          <w:sz w:val="18"/>
          <w:szCs w:val="18"/>
          <w:u w:val="single" w:color="auto"/>
          <w:color w:val="auto"/>
        </w:rPr>
        <w:t>ASU No. 2016-02: “Leases (Topic 842)”</w:t>
      </w:r>
      <w:r>
        <w:rPr>
          <w:rFonts w:ascii="Arial" w:cs="Arial" w:eastAsia="Arial" w:hAnsi="Arial"/>
          <w:sz w:val="18"/>
          <w:szCs w:val="18"/>
          <w:color w:val="auto"/>
        </w:rPr>
        <w:t xml:space="preserve"> - Issued in February 2016, ASU 2016-02 supersedes the requirements in Accounting Standards Codification (“ASC”) Topic 840, “Leases”, and was issued to increase transparency and comparability among organizations. The new standard sets forth the principles for the recognition, measurement, presentation, and disclosure of leases for both lessees and lessors. ASU 2016-02 requires lessees to classify leases as either finance or operating leases and to record on the balance sheet right-of-use assets and lease liabilities, equal to the present value of the remaining lease payments. The lease classification will determine whether the lease expense is recognized based on an effective interest rate met hod or a straight-line basis over the term of the leases. The FASB further clarified ASU 2016-02 and provided targeted improvements by issuing ASU 2018-01, ASU 2018-10, ASU 2018-11 and ASU 2018-20.</w:t>
      </w:r>
    </w:p>
    <w:p>
      <w:pPr>
        <w:spacing w:after="0" w:line="188" w:lineRule="exact"/>
        <w:rPr>
          <w:sz w:val="20"/>
          <w:szCs w:val="20"/>
          <w:color w:val="auto"/>
        </w:rPr>
      </w:pPr>
    </w:p>
    <w:p>
      <w:pPr>
        <w:jc w:val="both"/>
        <w:ind w:left="4" w:right="319"/>
        <w:spacing w:after="0" w:line="281" w:lineRule="auto"/>
        <w:rPr>
          <w:sz w:val="20"/>
          <w:szCs w:val="20"/>
          <w:color w:val="auto"/>
        </w:rPr>
      </w:pPr>
      <w:r>
        <w:rPr>
          <w:rFonts w:ascii="Arial" w:cs="Arial" w:eastAsia="Arial" w:hAnsi="Arial"/>
          <w:sz w:val="17"/>
          <w:szCs w:val="17"/>
          <w:color w:val="auto"/>
        </w:rPr>
        <w:t>The Company adopted this standard on January 1, 2019 using the modified retrospective transition method with no cumulative-effect adjustment to the opening balance of retained earnings. Under this transition method, the application date was the beginning of the reporting period, January 1, 2019, in which the Company first applied the standard. Under this transition option, the Company will apply the legacy guidance in ASC 840, “Leases”, including its disclosure requirements, in the comparative periods presented in the year of adoption. The Company has made an accounting policy election not to apply the recognition requirements to short-term leases, which are leases that, at the commencement date, have a lease term of 12 months or less and do not include an option to purchase the underlying assets that the lessee is reasonably certain to exercise. The new authoritative guidance allows for certain practical expedients to be utilized to assist with the implementation of the new standard. The Company has elected the transition package of practical expedients which allows the Company to not reassess whether any expired or existing contracts are or contain leases, to not reassess the lease classification for any expired or existing leases and to not reassess initial direct costs for any existing leases.</w:t>
      </w:r>
    </w:p>
    <w:p>
      <w:pPr>
        <w:spacing w:after="0" w:line="172" w:lineRule="exact"/>
        <w:rPr>
          <w:sz w:val="20"/>
          <w:szCs w:val="20"/>
          <w:color w:val="auto"/>
        </w:rPr>
      </w:pPr>
    </w:p>
    <w:p>
      <w:pPr>
        <w:jc w:val="both"/>
        <w:ind w:left="4" w:right="319"/>
        <w:spacing w:after="0" w:line="288" w:lineRule="auto"/>
        <w:rPr>
          <w:sz w:val="20"/>
          <w:szCs w:val="20"/>
          <w:color w:val="auto"/>
        </w:rPr>
      </w:pPr>
      <w:r>
        <w:rPr>
          <w:rFonts w:ascii="Arial" w:cs="Arial" w:eastAsia="Arial" w:hAnsi="Arial"/>
          <w:sz w:val="17"/>
          <w:szCs w:val="17"/>
          <w:color w:val="auto"/>
        </w:rPr>
        <w:t>The Company implemented a third-party lease accounting system to assist with the measurement of the lease liabilities and the related right-of-use assets. The Company compiled an inventory of its leases, determined the appropriate discount rates and has determined the impact of this standard which is not material to the Company’s results of operations, but has an effect on the balance sheet presentation for leased assets and obligations. The Company recognized a right-of-use asset and related lease liability for approximately $12,076,000 on January 1, 2019. This standard did not impact the Company’s accounting for leases where the Company is the lessor.</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Accounting Standards Issued But Not Yet Adopted</w:t>
      </w:r>
    </w:p>
    <w:p>
      <w:pPr>
        <w:spacing w:after="0" w:line="236" w:lineRule="exact"/>
        <w:rPr>
          <w:sz w:val="20"/>
          <w:szCs w:val="20"/>
          <w:color w:val="auto"/>
        </w:rPr>
      </w:pPr>
    </w:p>
    <w:p>
      <w:pPr>
        <w:jc w:val="both"/>
        <w:ind w:left="4" w:right="319"/>
        <w:spacing w:after="0" w:line="264" w:lineRule="auto"/>
        <w:rPr>
          <w:sz w:val="20"/>
          <w:szCs w:val="20"/>
          <w:color w:val="auto"/>
        </w:rPr>
      </w:pPr>
      <w:r>
        <w:rPr>
          <w:rFonts w:ascii="Arial" w:cs="Arial" w:eastAsia="Arial" w:hAnsi="Arial"/>
          <w:sz w:val="18"/>
          <w:szCs w:val="18"/>
          <w:u w:val="single" w:color="auto"/>
          <w:color w:val="auto"/>
        </w:rPr>
        <w:t>ASU No. 2016-13: “Financial Instruments – Credit Losses (Topic 326)”</w:t>
      </w:r>
      <w:r>
        <w:rPr>
          <w:rFonts w:ascii="Arial" w:cs="Arial" w:eastAsia="Arial" w:hAnsi="Arial"/>
          <w:sz w:val="18"/>
          <w:szCs w:val="18"/>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In October 2019, the FASB proposed an update to ASU No. 2016-13 that would make the ASU effective for the Company on January 1, 2023. The Company is in the process of evaluating the potential impact of this standard, especially as it relates to mortgage loans held for investment.</w:t>
      </w:r>
    </w:p>
    <w:p>
      <w:pPr>
        <w:spacing w:after="0" w:line="202"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413" w:right="1440" w:bottom="1440" w:gutter="0" w:footer="0" w:header="0"/>
        </w:sectPr>
      </w:pPr>
    </w:p>
    <w:bookmarkStart w:id="11" w:name="page12"/>
    <w:bookmarkEnd w:id="11"/>
    <w:p>
      <w:pPr>
        <w:ind w:left="1284"/>
        <w:spacing w:after="0"/>
        <w:rPr>
          <w:sz w:val="20"/>
          <w:szCs w:val="20"/>
          <w:color w:val="auto"/>
        </w:rPr>
      </w:pPr>
      <w:r>
        <w:rPr>
          <w:rFonts w:ascii="Arial" w:cs="Arial" w:eastAsia="Arial" w:hAnsi="Arial"/>
          <w:sz w:val="19"/>
          <w:szCs w:val="19"/>
          <w:color w:val="auto"/>
        </w:rPr>
        <w:t>SECURITY NATIONAL FINANCIAL CORPORATION AND SUBSIDIARIES</w:t>
      </w:r>
    </w:p>
    <w:p>
      <w:pPr>
        <w:spacing w:after="0" w:line="22" w:lineRule="exact"/>
        <w:rPr>
          <w:sz w:val="20"/>
          <w:szCs w:val="20"/>
          <w:color w:val="auto"/>
        </w:rPr>
      </w:pPr>
    </w:p>
    <w:p>
      <w:pPr>
        <w:ind w:left="2284"/>
        <w:spacing w:after="0"/>
        <w:rPr>
          <w:sz w:val="20"/>
          <w:szCs w:val="20"/>
          <w:color w:val="auto"/>
        </w:rPr>
      </w:pPr>
      <w:r>
        <w:rPr>
          <w:rFonts w:ascii="Arial" w:cs="Arial" w:eastAsia="Arial" w:hAnsi="Arial"/>
          <w:sz w:val="19"/>
          <w:szCs w:val="19"/>
          <w:color w:val="auto"/>
        </w:rPr>
        <w:t>Notes to Condensed Consolidated Financial Statements</w:t>
      </w:r>
    </w:p>
    <w:p>
      <w:pPr>
        <w:spacing w:after="0" w:line="6" w:lineRule="exact"/>
        <w:rPr>
          <w:sz w:val="20"/>
          <w:szCs w:val="20"/>
          <w:color w:val="auto"/>
        </w:rPr>
      </w:pPr>
    </w:p>
    <w:p>
      <w:pPr>
        <w:ind w:left="3724"/>
        <w:spacing w:after="0"/>
        <w:rPr>
          <w:sz w:val="20"/>
          <w:szCs w:val="20"/>
          <w:color w:val="auto"/>
        </w:rPr>
      </w:pPr>
      <w:r>
        <w:rPr>
          <w:rFonts w:ascii="Arial" w:cs="Arial" w:eastAsia="Arial" w:hAnsi="Arial"/>
          <w:sz w:val="19"/>
          <w:szCs w:val="19"/>
          <w:color w:val="auto"/>
        </w:rPr>
        <w:t>June 30, 2020 (Unaudited)</w:t>
      </w:r>
    </w:p>
    <w:p>
      <w:pPr>
        <w:spacing w:after="0" w:line="214" w:lineRule="exact"/>
        <w:rPr>
          <w:sz w:val="20"/>
          <w:szCs w:val="20"/>
          <w:color w:val="auto"/>
        </w:rPr>
      </w:pPr>
    </w:p>
    <w:p>
      <w:pPr>
        <w:ind w:left="484" w:hanging="484"/>
        <w:spacing w:after="0"/>
        <w:tabs>
          <w:tab w:leader="none" w:pos="484"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Recent Accounting Pronouncements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4" w:right="319"/>
        <w:spacing w:after="0" w:line="250" w:lineRule="auto"/>
        <w:rPr>
          <w:sz w:val="20"/>
          <w:szCs w:val="20"/>
          <w:color w:val="auto"/>
        </w:rPr>
      </w:pPr>
      <w:r>
        <w:rPr>
          <w:rFonts w:ascii="Arial" w:cs="Arial" w:eastAsia="Arial" w:hAnsi="Arial"/>
          <w:sz w:val="19"/>
          <w:szCs w:val="19"/>
          <w:u w:val="single" w:color="auto"/>
          <w:color w:val="auto"/>
        </w:rPr>
        <w:t>ASU No. 2018-12: “Financial Services – Insurance (Topic 944): Targeted Improvements to the Accounting for Long-Duration Contracts”</w:t>
      </w:r>
      <w:r>
        <w:rPr>
          <w:rFonts w:ascii="Arial" w:cs="Arial" w:eastAsia="Arial" w:hAnsi="Arial"/>
          <w:sz w:val="19"/>
          <w:szCs w:val="19"/>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In October 2019, the FASB proposed an update to ASU No. 2018-12 that would make the ASU effective for the Company on January 1, 2024. The Company is in the process of evaluating the potential impact of this standard.</w:t>
      </w:r>
    </w:p>
    <w:p>
      <w:pPr>
        <w:spacing w:after="0" w:line="196" w:lineRule="exact"/>
        <w:rPr>
          <w:sz w:val="20"/>
          <w:szCs w:val="20"/>
          <w:color w:val="auto"/>
        </w:rPr>
      </w:pPr>
    </w:p>
    <w:p>
      <w:pPr>
        <w:ind w:left="4" w:right="899"/>
        <w:spacing w:after="0" w:line="277" w:lineRule="auto"/>
        <w:rPr>
          <w:sz w:val="20"/>
          <w:szCs w:val="20"/>
          <w:color w:val="auto"/>
        </w:rPr>
      </w:pPr>
      <w:r>
        <w:rPr>
          <w:rFonts w:ascii="Arial" w:cs="Arial" w:eastAsia="Arial" w:hAnsi="Arial"/>
          <w:sz w:val="19"/>
          <w:szCs w:val="19"/>
          <w:color w:val="auto"/>
        </w:rPr>
        <w:t>The Company has reviewed other recent accounting pronouncements and has determined that they will not significantly impact the Company’s results of operations or financial position.</w:t>
      </w:r>
    </w:p>
    <w:p>
      <w:pPr>
        <w:spacing w:after="0" w:line="182"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413" w:right="1440" w:bottom="1440" w:gutter="0" w:footer="0" w:header="0"/>
        </w:sectPr>
      </w:pPr>
    </w:p>
    <w:bookmarkStart w:id="12" w:name="page13"/>
    <w:bookmarkEnd w:id="12"/>
    <w:p>
      <w:pPr>
        <w:ind w:left="1284"/>
        <w:spacing w:after="0"/>
        <w:rPr>
          <w:sz w:val="20"/>
          <w:szCs w:val="20"/>
          <w:color w:val="auto"/>
        </w:rPr>
      </w:pPr>
      <w:r>
        <w:rPr>
          <w:rFonts w:ascii="Arial" w:cs="Arial" w:eastAsia="Arial" w:hAnsi="Arial"/>
          <w:sz w:val="19"/>
          <w:szCs w:val="19"/>
          <w:color w:val="auto"/>
        </w:rPr>
        <w:t>SECURITY NATIONAL FINANCIAL CORPORATION AND SUBSIDIARIES</w:t>
      </w:r>
    </w:p>
    <w:p>
      <w:pPr>
        <w:spacing w:after="0" w:line="22" w:lineRule="exact"/>
        <w:rPr>
          <w:sz w:val="20"/>
          <w:szCs w:val="20"/>
          <w:color w:val="auto"/>
        </w:rPr>
      </w:pPr>
    </w:p>
    <w:p>
      <w:pPr>
        <w:ind w:left="2284"/>
        <w:spacing w:after="0"/>
        <w:rPr>
          <w:sz w:val="20"/>
          <w:szCs w:val="20"/>
          <w:color w:val="auto"/>
        </w:rPr>
      </w:pPr>
      <w:r>
        <w:rPr>
          <w:rFonts w:ascii="Arial" w:cs="Arial" w:eastAsia="Arial" w:hAnsi="Arial"/>
          <w:sz w:val="19"/>
          <w:szCs w:val="19"/>
          <w:color w:val="auto"/>
        </w:rPr>
        <w:t>Notes to Condensed Consolidated Financial Statements</w:t>
      </w:r>
    </w:p>
    <w:p>
      <w:pPr>
        <w:spacing w:after="0" w:line="6" w:lineRule="exact"/>
        <w:rPr>
          <w:sz w:val="20"/>
          <w:szCs w:val="20"/>
          <w:color w:val="auto"/>
        </w:rPr>
      </w:pPr>
    </w:p>
    <w:p>
      <w:pPr>
        <w:ind w:left="3724"/>
        <w:spacing w:after="0"/>
        <w:rPr>
          <w:sz w:val="20"/>
          <w:szCs w:val="20"/>
          <w:color w:val="auto"/>
        </w:rPr>
      </w:pPr>
      <w:r>
        <w:rPr>
          <w:rFonts w:ascii="Arial" w:cs="Arial" w:eastAsia="Arial" w:hAnsi="Arial"/>
          <w:sz w:val="19"/>
          <w:szCs w:val="19"/>
          <w:color w:val="auto"/>
        </w:rPr>
        <w:t>June 30, 2020 (Unaudited)</w:t>
      </w:r>
    </w:p>
    <w:p>
      <w:pPr>
        <w:spacing w:after="0" w:line="241" w:lineRule="exact"/>
        <w:rPr>
          <w:sz w:val="20"/>
          <w:szCs w:val="20"/>
          <w:color w:val="auto"/>
        </w:rPr>
      </w:pPr>
    </w:p>
    <w:p>
      <w:pPr>
        <w:ind w:left="484" w:hanging="484"/>
        <w:spacing w:after="0"/>
        <w:tabs>
          <w:tab w:leader="none" w:pos="484"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Investments</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 Company’s investments as of June 30, 2020 are summarized as follows:</w:t>
      </w:r>
    </w:p>
    <w:p>
      <w:pPr>
        <w:spacing w:after="0" w:line="18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Gross Unrealized</w:t>
            </w: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Gross Unrealized</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40" w:type="dxa"/>
            <w:vAlign w:val="bottom"/>
            <w:gridSpan w:val="3"/>
            <w:vMerge w:val="restart"/>
          </w:tcPr>
          <w:p>
            <w:pPr>
              <w:spacing w:after="0"/>
              <w:rPr>
                <w:sz w:val="20"/>
                <w:szCs w:val="20"/>
                <w:color w:val="auto"/>
              </w:rPr>
            </w:pPr>
            <w:r>
              <w:rPr>
                <w:rFonts w:ascii="Arial" w:cs="Arial" w:eastAsia="Arial" w:hAnsi="Arial"/>
                <w:sz w:val="14"/>
                <w:szCs w:val="14"/>
                <w:color w:val="auto"/>
              </w:rPr>
              <w:t>June 30, 2020:</w:t>
            </w:r>
          </w:p>
        </w:tc>
        <w:tc>
          <w:tcPr>
            <w:tcW w:w="1220" w:type="dxa"/>
            <w:vAlign w:val="bottom"/>
            <w:gridSpan w:val="2"/>
          </w:tcPr>
          <w:p>
            <w:pPr>
              <w:jc w:val="right"/>
              <w:ind w:right="90"/>
              <w:spacing w:after="0"/>
              <w:rPr>
                <w:sz w:val="20"/>
                <w:szCs w:val="20"/>
                <w:color w:val="auto"/>
              </w:rPr>
            </w:pPr>
            <w:r>
              <w:rPr>
                <w:rFonts w:ascii="Arial" w:cs="Arial" w:eastAsia="Arial" w:hAnsi="Arial"/>
                <w:sz w:val="14"/>
                <w:szCs w:val="14"/>
                <w:color w:val="auto"/>
              </w:rPr>
              <w:t>Amortized Cost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color w:val="auto"/>
                <w:w w:val="92"/>
              </w:rPr>
              <w:t>Gains</w:t>
            </w:r>
          </w:p>
        </w:tc>
        <w:tc>
          <w:tcPr>
            <w:tcW w:w="400" w:type="dxa"/>
            <w:vAlign w:val="bottom"/>
          </w:tcPr>
          <w:p>
            <w:pPr>
              <w:spacing w:after="0"/>
              <w:rPr>
                <w:sz w:val="15"/>
                <w:szCs w:val="15"/>
                <w:color w:val="auto"/>
              </w:rPr>
            </w:pPr>
          </w:p>
        </w:tc>
        <w:tc>
          <w:tcPr>
            <w:tcW w:w="1020" w:type="dxa"/>
            <w:vAlign w:val="bottom"/>
            <w:gridSpan w:val="2"/>
          </w:tcPr>
          <w:p>
            <w:pPr>
              <w:jc w:val="center"/>
              <w:ind w:right="600"/>
              <w:spacing w:after="0"/>
              <w:rPr>
                <w:sz w:val="20"/>
                <w:szCs w:val="20"/>
                <w:color w:val="auto"/>
              </w:rPr>
            </w:pPr>
            <w:r>
              <w:rPr>
                <w:rFonts w:ascii="Arial" w:cs="Arial" w:eastAsia="Arial" w:hAnsi="Arial"/>
                <w:sz w:val="14"/>
                <w:szCs w:val="14"/>
                <w:color w:val="auto"/>
                <w:w w:val="85"/>
              </w:rPr>
              <w:t>Losses</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w w:val="92"/>
              </w:rPr>
              <w:t>Estimated Fair Value</w:t>
            </w:r>
          </w:p>
        </w:tc>
        <w:tc>
          <w:tcPr>
            <w:tcW w:w="0" w:type="dxa"/>
            <w:vAlign w:val="bottom"/>
          </w:tcPr>
          <w:p>
            <w:pPr>
              <w:spacing w:after="0"/>
              <w:rPr>
                <w:sz w:val="1"/>
                <w:szCs w:val="1"/>
                <w:color w:val="auto"/>
              </w:rPr>
            </w:pPr>
          </w:p>
        </w:tc>
      </w:tr>
      <w:tr>
        <w:trPr>
          <w:trHeight w:val="138"/>
        </w:trPr>
        <w:tc>
          <w:tcPr>
            <w:tcW w:w="4340" w:type="dxa"/>
            <w:vAlign w:val="bottom"/>
            <w:gridSpan w:val="3"/>
            <w:vMerge w:val="continue"/>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780" w:type="dxa"/>
            <w:vAlign w:val="bottom"/>
            <w:tcBorders>
              <w:top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Fixed maturity securities, available for sale, at estimated fair value:</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4340" w:type="dxa"/>
            <w:vAlign w:val="bottom"/>
            <w:gridSpan w:val="3"/>
          </w:tcPr>
          <w:p>
            <w:pPr>
              <w:ind w:left="160"/>
              <w:spacing w:after="0"/>
              <w:rPr>
                <w:sz w:val="20"/>
                <w:szCs w:val="20"/>
                <w:color w:val="auto"/>
              </w:rPr>
            </w:pPr>
            <w:r>
              <w:rPr>
                <w:rFonts w:ascii="Arial" w:cs="Arial" w:eastAsia="Arial" w:hAnsi="Arial"/>
                <w:sz w:val="14"/>
                <w:szCs w:val="14"/>
                <w:color w:val="auto"/>
              </w:rPr>
              <w:t>U.S. Treasury securities and obligations of U.S. Government</w:t>
            </w: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40" w:type="dxa"/>
            <w:vAlign w:val="bottom"/>
            <w:gridSpan w:val="3"/>
          </w:tcPr>
          <w:p>
            <w:pPr>
              <w:spacing w:after="0"/>
              <w:rPr>
                <w:sz w:val="20"/>
                <w:szCs w:val="20"/>
                <w:color w:val="auto"/>
              </w:rPr>
            </w:pPr>
            <w:r>
              <w:rPr>
                <w:rFonts w:ascii="Arial" w:cs="Arial" w:eastAsia="Arial" w:hAnsi="Arial"/>
                <w:sz w:val="14"/>
                <w:szCs w:val="14"/>
                <w:color w:val="auto"/>
              </w:rPr>
              <w:t>agencies</w:t>
            </w:r>
          </w:p>
        </w:tc>
        <w:tc>
          <w:tcPr>
            <w:tcW w:w="4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102,442,154</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2,147,334</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104,589,488</w:t>
            </w:r>
          </w:p>
        </w:tc>
        <w:tc>
          <w:tcPr>
            <w:tcW w:w="0" w:type="dxa"/>
            <w:vAlign w:val="bottom"/>
          </w:tcPr>
          <w:p>
            <w:pPr>
              <w:spacing w:after="0"/>
              <w:rPr>
                <w:sz w:val="1"/>
                <w:szCs w:val="1"/>
                <w:color w:val="auto"/>
              </w:rPr>
            </w:pPr>
          </w:p>
        </w:tc>
      </w:tr>
      <w:tr>
        <w:trPr>
          <w:trHeight w:val="172"/>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ind w:left="160"/>
              <w:spacing w:after="0"/>
              <w:rPr>
                <w:sz w:val="20"/>
                <w:szCs w:val="20"/>
                <w:color w:val="auto"/>
              </w:rPr>
            </w:pPr>
            <w:r>
              <w:rPr>
                <w:rFonts w:ascii="Arial" w:cs="Arial" w:eastAsia="Arial" w:hAnsi="Arial"/>
                <w:sz w:val="14"/>
                <w:szCs w:val="14"/>
                <w:color w:val="auto"/>
              </w:rPr>
              <w:t>Obligations of states and political subdivisions</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5,878,900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269,394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(2,661)</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6,145,633</w:t>
            </w:r>
          </w:p>
        </w:tc>
        <w:tc>
          <w:tcPr>
            <w:tcW w:w="0" w:type="dxa"/>
            <w:vAlign w:val="bottom"/>
          </w:tcPr>
          <w:p>
            <w:pPr>
              <w:spacing w:after="0"/>
              <w:rPr>
                <w:sz w:val="1"/>
                <w:szCs w:val="1"/>
                <w:color w:val="auto"/>
              </w:rPr>
            </w:pPr>
          </w:p>
        </w:tc>
      </w:tr>
      <w:tr>
        <w:trPr>
          <w:trHeight w:val="172"/>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ind w:left="160"/>
              <w:spacing w:after="0"/>
              <w:rPr>
                <w:sz w:val="20"/>
                <w:szCs w:val="20"/>
                <w:color w:val="auto"/>
              </w:rPr>
            </w:pPr>
            <w:r>
              <w:rPr>
                <w:rFonts w:ascii="Arial" w:cs="Arial" w:eastAsia="Arial" w:hAnsi="Arial"/>
                <w:sz w:val="14"/>
                <w:szCs w:val="14"/>
                <w:color w:val="auto"/>
              </w:rPr>
              <w:t>Corporate securities including public utilities</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182,731,042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21,371,660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(2,841,768)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201,260,934</w:t>
            </w:r>
          </w:p>
        </w:tc>
        <w:tc>
          <w:tcPr>
            <w:tcW w:w="0" w:type="dxa"/>
            <w:vAlign w:val="bottom"/>
          </w:tcPr>
          <w:p>
            <w:pPr>
              <w:spacing w:after="0"/>
              <w:rPr>
                <w:sz w:val="1"/>
                <w:szCs w:val="1"/>
                <w:color w:val="auto"/>
              </w:rPr>
            </w:pPr>
          </w:p>
        </w:tc>
      </w:tr>
      <w:tr>
        <w:trPr>
          <w:trHeight w:val="172"/>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ind w:left="160"/>
              <w:spacing w:after="0"/>
              <w:rPr>
                <w:sz w:val="20"/>
                <w:szCs w:val="20"/>
                <w:color w:val="auto"/>
              </w:rPr>
            </w:pPr>
            <w:r>
              <w:rPr>
                <w:rFonts w:ascii="Arial" w:cs="Arial" w:eastAsia="Arial" w:hAnsi="Arial"/>
                <w:sz w:val="14"/>
                <w:szCs w:val="14"/>
                <w:color w:val="auto"/>
              </w:rPr>
              <w:t>Mortgage-backed securities</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35,789,063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1,209,447</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(734,173)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36,264,337</w:t>
            </w:r>
          </w:p>
        </w:tc>
        <w:tc>
          <w:tcPr>
            <w:tcW w:w="0" w:type="dxa"/>
            <w:vAlign w:val="bottom"/>
          </w:tcPr>
          <w:p>
            <w:pPr>
              <w:spacing w:after="0"/>
              <w:rPr>
                <w:sz w:val="1"/>
                <w:szCs w:val="1"/>
                <w:color w:val="auto"/>
              </w:rPr>
            </w:pPr>
          </w:p>
        </w:tc>
      </w:tr>
      <w:tr>
        <w:trPr>
          <w:trHeight w:val="172"/>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ind w:left="160"/>
              <w:spacing w:after="0"/>
              <w:rPr>
                <w:sz w:val="20"/>
                <w:szCs w:val="20"/>
                <w:color w:val="auto"/>
              </w:rPr>
            </w:pPr>
            <w:r>
              <w:rPr>
                <w:rFonts w:ascii="Arial" w:cs="Arial" w:eastAsia="Arial" w:hAnsi="Arial"/>
                <w:sz w:val="14"/>
                <w:szCs w:val="14"/>
                <w:color w:val="auto"/>
              </w:rPr>
              <w:t>Redeemable preferred stock</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364,339</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21,561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(17,500)</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368,400</w:t>
            </w:r>
          </w:p>
        </w:tc>
        <w:tc>
          <w:tcPr>
            <w:tcW w:w="0" w:type="dxa"/>
            <w:vAlign w:val="bottom"/>
          </w:tcPr>
          <w:p>
            <w:pPr>
              <w:spacing w:after="0"/>
              <w:rPr>
                <w:sz w:val="1"/>
                <w:szCs w:val="1"/>
                <w:color w:val="auto"/>
              </w:rPr>
            </w:pPr>
          </w:p>
        </w:tc>
      </w:tr>
      <w:tr>
        <w:trPr>
          <w:trHeight w:val="172"/>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340" w:type="dxa"/>
            <w:vAlign w:val="bottom"/>
            <w:gridSpan w:val="3"/>
          </w:tcPr>
          <w:p>
            <w:pPr>
              <w:ind w:left="300"/>
              <w:spacing w:after="0"/>
              <w:rPr>
                <w:sz w:val="20"/>
                <w:szCs w:val="20"/>
                <w:color w:val="auto"/>
              </w:rPr>
            </w:pPr>
            <w:r>
              <w:rPr>
                <w:rFonts w:ascii="Arial" w:cs="Arial" w:eastAsia="Arial" w:hAnsi="Arial"/>
                <w:sz w:val="14"/>
                <w:szCs w:val="14"/>
                <w:color w:val="auto"/>
              </w:rPr>
              <w:t>Total fixed maturity securities available for sale</w:t>
            </w:r>
          </w:p>
        </w:tc>
        <w:tc>
          <w:tcPr>
            <w:tcW w:w="4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327,205,498</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25,019,396</w:t>
            </w:r>
          </w:p>
        </w:tc>
        <w:tc>
          <w:tcPr>
            <w:tcW w:w="2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(3,596,102)</w:t>
            </w:r>
          </w:p>
        </w:tc>
        <w:tc>
          <w:tcPr>
            <w:tcW w:w="200" w:type="dxa"/>
            <w:vAlign w:val="bottom"/>
          </w:tcPr>
          <w:p>
            <w:pPr>
              <w:spacing w:after="0"/>
              <w:rPr>
                <w:sz w:val="20"/>
                <w:szCs w:val="20"/>
                <w:color w:val="auto"/>
              </w:rPr>
            </w:pPr>
          </w:p>
        </w:tc>
        <w:tc>
          <w:tcPr>
            <w:tcW w:w="4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348,628,792</w:t>
            </w:r>
          </w:p>
        </w:tc>
        <w:tc>
          <w:tcPr>
            <w:tcW w:w="0" w:type="dxa"/>
            <w:vAlign w:val="bottom"/>
          </w:tcPr>
          <w:p>
            <w:pPr>
              <w:spacing w:after="0"/>
              <w:rPr>
                <w:sz w:val="1"/>
                <w:szCs w:val="1"/>
                <w:color w:val="auto"/>
              </w:rPr>
            </w:pPr>
          </w:p>
        </w:tc>
      </w:tr>
      <w:tr>
        <w:trPr>
          <w:trHeight w:val="151"/>
        </w:trPr>
        <w:tc>
          <w:tcPr>
            <w:tcW w:w="7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9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spacing w:after="0"/>
              <w:rPr>
                <w:sz w:val="20"/>
                <w:szCs w:val="20"/>
                <w:color w:val="auto"/>
              </w:rPr>
            </w:pPr>
            <w:r>
              <w:rPr>
                <w:rFonts w:ascii="Arial" w:cs="Arial" w:eastAsia="Arial" w:hAnsi="Arial"/>
                <w:sz w:val="14"/>
                <w:szCs w:val="14"/>
                <w:color w:val="auto"/>
              </w:rPr>
              <w:t>Equity securities at estimated fair value:</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spacing w:after="0"/>
              <w:rPr>
                <w:sz w:val="20"/>
                <w:szCs w:val="20"/>
                <w:color w:val="auto"/>
              </w:rPr>
            </w:pPr>
            <w:r>
              <w:rPr>
                <w:rFonts w:ascii="Arial" w:cs="Arial" w:eastAsia="Arial" w:hAnsi="Arial"/>
                <w:sz w:val="14"/>
                <w:szCs w:val="14"/>
                <w:color w:val="auto"/>
              </w:rPr>
              <w:t>Common stock:</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spacing w:after="0"/>
              <w:rPr>
                <w:sz w:val="20"/>
                <w:szCs w:val="20"/>
                <w:color w:val="auto"/>
              </w:rPr>
            </w:pPr>
            <w:r>
              <w:rPr>
                <w:rFonts w:ascii="Arial" w:cs="Arial" w:eastAsia="Arial" w:hAnsi="Arial"/>
                <w:sz w:val="14"/>
                <w:szCs w:val="14"/>
                <w:color w:val="auto"/>
              </w:rPr>
              <w:t>Industrial, miscellaneous and all other</w:t>
            </w:r>
          </w:p>
        </w:tc>
        <w:tc>
          <w:tcPr>
            <w:tcW w:w="4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12,380,259</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1,525,151</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(2,113,899)</w:t>
            </w:r>
          </w:p>
        </w:tc>
        <w:tc>
          <w:tcPr>
            <w:tcW w:w="200" w:type="dxa"/>
            <w:vAlign w:val="bottom"/>
          </w:tcPr>
          <w:p>
            <w:pPr>
              <w:spacing w:after="0"/>
              <w:rPr>
                <w:sz w:val="18"/>
                <w:szCs w:val="18"/>
                <w:color w:val="auto"/>
              </w:rPr>
            </w:pPr>
          </w:p>
        </w:tc>
        <w:tc>
          <w:tcPr>
            <w:tcW w:w="4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11,791,511</w:t>
            </w:r>
          </w:p>
        </w:tc>
        <w:tc>
          <w:tcPr>
            <w:tcW w:w="0" w:type="dxa"/>
            <w:vAlign w:val="bottom"/>
          </w:tcPr>
          <w:p>
            <w:pPr>
              <w:spacing w:after="0"/>
              <w:rPr>
                <w:sz w:val="1"/>
                <w:szCs w:val="1"/>
                <w:color w:val="auto"/>
              </w:rPr>
            </w:pPr>
          </w:p>
        </w:tc>
      </w:tr>
      <w:tr>
        <w:trPr>
          <w:trHeight w:val="165"/>
        </w:trPr>
        <w:tc>
          <w:tcPr>
            <w:tcW w:w="78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CCEEFF"/>
            </w:tcBorders>
            <w:shd w:val="clear" w:color="auto" w:fill="CCEEFF"/>
          </w:tcPr>
          <w:p>
            <w:pPr>
              <w:spacing w:after="0"/>
              <w:rPr>
                <w:sz w:val="14"/>
                <w:szCs w:val="14"/>
                <w:color w:val="auto"/>
              </w:rPr>
            </w:pPr>
          </w:p>
        </w:tc>
        <w:tc>
          <w:tcPr>
            <w:tcW w:w="29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340" w:type="dxa"/>
            <w:vAlign w:val="bottom"/>
            <w:gridSpan w:val="3"/>
          </w:tcPr>
          <w:p>
            <w:pPr>
              <w:ind w:left="160"/>
              <w:spacing w:after="0"/>
              <w:rPr>
                <w:sz w:val="20"/>
                <w:szCs w:val="20"/>
                <w:color w:val="auto"/>
              </w:rPr>
            </w:pPr>
            <w:r>
              <w:rPr>
                <w:rFonts w:ascii="Arial" w:cs="Arial" w:eastAsia="Arial" w:hAnsi="Arial"/>
                <w:sz w:val="14"/>
                <w:szCs w:val="14"/>
                <w:color w:val="auto"/>
              </w:rPr>
              <w:t>Total equity securities at estimated fair value</w:t>
            </w:r>
          </w:p>
        </w:tc>
        <w:tc>
          <w:tcPr>
            <w:tcW w:w="4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12,380,259</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1,525,151</w:t>
            </w:r>
          </w:p>
        </w:tc>
        <w:tc>
          <w:tcPr>
            <w:tcW w:w="2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(2,113,899)</w:t>
            </w:r>
          </w:p>
        </w:tc>
        <w:tc>
          <w:tcPr>
            <w:tcW w:w="2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11,791,511</w:t>
            </w:r>
          </w:p>
        </w:tc>
        <w:tc>
          <w:tcPr>
            <w:tcW w:w="0" w:type="dxa"/>
            <w:vAlign w:val="bottom"/>
          </w:tcPr>
          <w:p>
            <w:pPr>
              <w:spacing w:after="0"/>
              <w:rPr>
                <w:sz w:val="1"/>
                <w:szCs w:val="1"/>
                <w:color w:val="auto"/>
              </w:rPr>
            </w:pPr>
          </w:p>
        </w:tc>
      </w:tr>
      <w:tr>
        <w:trPr>
          <w:trHeight w:val="151"/>
        </w:trPr>
        <w:tc>
          <w:tcPr>
            <w:tcW w:w="7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tcBorders>
            <w:shd w:val="clear" w:color="auto" w:fill="CCEEFF"/>
          </w:tcPr>
          <w:p>
            <w:pPr>
              <w:spacing w:after="0"/>
              <w:rPr>
                <w:sz w:val="13"/>
                <w:szCs w:val="13"/>
                <w:color w:val="auto"/>
              </w:rPr>
            </w:pPr>
          </w:p>
        </w:tc>
        <w:tc>
          <w:tcPr>
            <w:tcW w:w="29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spacing w:after="0"/>
              <w:rPr>
                <w:sz w:val="20"/>
                <w:szCs w:val="20"/>
                <w:color w:val="auto"/>
              </w:rPr>
            </w:pPr>
            <w:r>
              <w:rPr>
                <w:rFonts w:ascii="Arial" w:cs="Arial" w:eastAsia="Arial" w:hAnsi="Arial"/>
                <w:sz w:val="14"/>
                <w:szCs w:val="14"/>
                <w:color w:val="auto"/>
              </w:rPr>
              <w:t>Mortgage loans held for investment at amortized cost:</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109,304,960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ind w:left="300"/>
              <w:spacing w:after="0"/>
              <w:rPr>
                <w:sz w:val="20"/>
                <w:szCs w:val="20"/>
                <w:color w:val="auto"/>
              </w:rPr>
            </w:pPr>
            <w:r>
              <w:rPr>
                <w:rFonts w:ascii="Arial" w:cs="Arial" w:eastAsia="Arial" w:hAnsi="Arial"/>
                <w:sz w:val="14"/>
                <w:szCs w:val="14"/>
                <w:color w:val="auto"/>
              </w:rPr>
              <w:t>Residential construction</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106,890,366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Commercial</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49,613,367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ind w:left="300"/>
              <w:spacing w:after="0"/>
              <w:rPr>
                <w:sz w:val="20"/>
                <w:szCs w:val="20"/>
                <w:color w:val="auto"/>
              </w:rPr>
            </w:pPr>
            <w:r>
              <w:rPr>
                <w:rFonts w:ascii="Arial" w:cs="Arial" w:eastAsia="Arial" w:hAnsi="Arial"/>
                <w:sz w:val="14"/>
                <w:szCs w:val="14"/>
                <w:color w:val="auto"/>
              </w:rPr>
              <w:t>Less: Unamortized deferred loan fees, net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(1,730,243)</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Less: Allowance for loan losses</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(2,443,557)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Less: Net discounts</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(1,216,889)</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3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Total mortgage loans held for investment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260,418,004</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340" w:type="dxa"/>
            <w:vAlign w:val="bottom"/>
            <w:gridSpan w:val="3"/>
          </w:tcPr>
          <w:p>
            <w:pPr>
              <w:spacing w:after="0"/>
              <w:rPr>
                <w:sz w:val="20"/>
                <w:szCs w:val="20"/>
                <w:color w:val="auto"/>
              </w:rPr>
            </w:pPr>
            <w:r>
              <w:rPr>
                <w:rFonts w:ascii="Arial" w:cs="Arial" w:eastAsia="Arial" w:hAnsi="Arial"/>
                <w:sz w:val="14"/>
                <w:szCs w:val="14"/>
                <w:color w:val="auto"/>
              </w:rPr>
              <w:t>Real estate held for investment - net of accumulated depreciation:</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19,973,537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Commercial</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93,218,885</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3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Total real estate held for investment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5"/>
              </w:rPr>
              <w:t>113,192,422</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340" w:type="dxa"/>
            <w:vAlign w:val="bottom"/>
            <w:gridSpan w:val="3"/>
          </w:tcPr>
          <w:p>
            <w:pPr>
              <w:spacing w:after="0"/>
              <w:rPr>
                <w:sz w:val="20"/>
                <w:szCs w:val="20"/>
                <w:color w:val="auto"/>
              </w:rPr>
            </w:pPr>
            <w:r>
              <w:rPr>
                <w:rFonts w:ascii="Arial" w:cs="Arial" w:eastAsia="Arial" w:hAnsi="Arial"/>
                <w:sz w:val="14"/>
                <w:szCs w:val="14"/>
                <w:color w:val="auto"/>
              </w:rPr>
              <w:t>Real estate held for sale:</w:t>
            </w: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4,522,020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Commercial</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6,076,321</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7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43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Total real estate held for sale</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10,598,341</w:t>
            </w:r>
          </w:p>
        </w:tc>
        <w:tc>
          <w:tcPr>
            <w:tcW w:w="2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7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spacing w:after="0"/>
              <w:rPr>
                <w:sz w:val="20"/>
                <w:szCs w:val="20"/>
                <w:color w:val="auto"/>
              </w:rPr>
            </w:pPr>
            <w:r>
              <w:rPr>
                <w:rFonts w:ascii="Arial" w:cs="Arial" w:eastAsia="Arial" w:hAnsi="Arial"/>
                <w:sz w:val="14"/>
                <w:szCs w:val="14"/>
                <w:color w:val="auto"/>
              </w:rPr>
              <w:t>Other investments and policy loans at amortized cost:</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Policy loans</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14,450,587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gridSpan w:val="3"/>
          </w:tcPr>
          <w:p>
            <w:pPr>
              <w:ind w:left="300"/>
              <w:spacing w:after="0"/>
              <w:rPr>
                <w:sz w:val="20"/>
                <w:szCs w:val="20"/>
                <w:color w:val="auto"/>
              </w:rPr>
            </w:pPr>
            <w:r>
              <w:rPr>
                <w:rFonts w:ascii="Arial" w:cs="Arial" w:eastAsia="Arial" w:hAnsi="Arial"/>
                <w:sz w:val="14"/>
                <w:szCs w:val="14"/>
                <w:color w:val="auto"/>
              </w:rPr>
              <w:t>Insurance assignments</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43,276,682</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Federal Home Loan Bank stock (1)</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4,056,600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340" w:type="dxa"/>
            <w:vAlign w:val="bottom"/>
            <w:gridSpan w:val="3"/>
          </w:tcPr>
          <w:p>
            <w:pPr>
              <w:ind w:left="300"/>
              <w:spacing w:after="0"/>
              <w:rPr>
                <w:sz w:val="20"/>
                <w:szCs w:val="20"/>
                <w:color w:val="auto"/>
              </w:rPr>
            </w:pPr>
            <w:r>
              <w:rPr>
                <w:rFonts w:ascii="Arial" w:cs="Arial" w:eastAsia="Arial" w:hAnsi="Arial"/>
                <w:sz w:val="14"/>
                <w:szCs w:val="14"/>
                <w:color w:val="auto"/>
              </w:rPr>
              <w:t>Other investments</w:t>
            </w: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5,450,438</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Less: Allowance for doubtful accounts</w:t>
            </w:r>
          </w:p>
        </w:tc>
        <w:tc>
          <w:tcPr>
            <w:tcW w:w="4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(1,533,696)</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policy loans and other investments</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65,700,611</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Accrued investment income</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5,008,772</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815,338,453</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9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ind w:left="4"/>
        <w:spacing w:after="0"/>
        <w:rPr>
          <w:sz w:val="20"/>
          <w:szCs w:val="20"/>
          <w:color w:val="auto"/>
        </w:rPr>
      </w:pPr>
      <w:r>
        <w:rPr>
          <w:rFonts w:ascii="Arial" w:cs="Arial" w:eastAsia="Arial" w:hAnsi="Arial"/>
          <w:sz w:val="14"/>
          <w:szCs w:val="14"/>
          <w:color w:val="auto"/>
        </w:rPr>
        <w:t>(1) Includes $874,400 of Membership stock and $3,182,200 of Activity stock due to short-term borrowings.</w:t>
      </w:r>
    </w:p>
    <w:p>
      <w:pPr>
        <w:spacing w:after="0" w:line="245" w:lineRule="exact"/>
        <w:rPr>
          <w:sz w:val="20"/>
          <w:szCs w:val="20"/>
          <w:color w:val="auto"/>
        </w:rPr>
      </w:pPr>
    </w:p>
    <w:p>
      <w:pPr>
        <w:ind w:left="4344"/>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844"/>
          </w:cols>
          <w:pgMar w:left="1276" w:top="413" w:right="779" w:bottom="1440" w:gutter="0" w:footer="0" w:header="0"/>
        </w:sectPr>
      </w:pPr>
    </w:p>
    <w:bookmarkStart w:id="13" w:name="page14"/>
    <w:bookmarkEnd w:id="13"/>
    <w:p>
      <w:pPr>
        <w:jc w:val="center"/>
        <w:ind w:right="976"/>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 Company’s investments as of December 31, 2019 are summarized as follows:</w:t>
      </w:r>
    </w:p>
    <w:p>
      <w:pPr>
        <w:spacing w:after="0" w:line="29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Gross Unrealized</w:t>
            </w: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Gross Unrealized</w:t>
            </w:r>
          </w:p>
        </w:tc>
        <w:tc>
          <w:tcPr>
            <w:tcW w:w="1160" w:type="dxa"/>
            <w:vAlign w:val="bottom"/>
            <w:gridSpan w:val="2"/>
          </w:tcPr>
          <w:p>
            <w:pPr>
              <w:ind w:left="160"/>
              <w:spacing w:after="0"/>
              <w:rPr>
                <w:sz w:val="20"/>
                <w:szCs w:val="20"/>
                <w:color w:val="auto"/>
              </w:rPr>
            </w:pPr>
            <w:r>
              <w:rPr>
                <w:rFonts w:ascii="Arial" w:cs="Arial" w:eastAsia="Arial" w:hAnsi="Arial"/>
                <w:sz w:val="14"/>
                <w:szCs w:val="14"/>
                <w:color w:val="auto"/>
              </w:rPr>
              <w:t>Estimated Fair</w:t>
            </w:r>
          </w:p>
        </w:tc>
        <w:tc>
          <w:tcPr>
            <w:tcW w:w="0" w:type="dxa"/>
            <w:vAlign w:val="bottom"/>
          </w:tcPr>
          <w:p>
            <w:pPr>
              <w:spacing w:after="0"/>
              <w:rPr>
                <w:sz w:val="1"/>
                <w:szCs w:val="1"/>
                <w:color w:val="auto"/>
              </w:rPr>
            </w:pPr>
          </w:p>
        </w:tc>
      </w:tr>
      <w:tr>
        <w:trPr>
          <w:trHeight w:val="177"/>
        </w:trPr>
        <w:tc>
          <w:tcPr>
            <w:tcW w:w="4780" w:type="dxa"/>
            <w:vAlign w:val="bottom"/>
            <w:gridSpan w:val="2"/>
            <w:vMerge w:val="restart"/>
          </w:tcPr>
          <w:p>
            <w:pPr>
              <w:spacing w:after="0"/>
              <w:rPr>
                <w:sz w:val="20"/>
                <w:szCs w:val="20"/>
                <w:color w:val="auto"/>
              </w:rPr>
            </w:pPr>
            <w:r>
              <w:rPr>
                <w:rFonts w:ascii="Arial" w:cs="Arial" w:eastAsia="Arial" w:hAnsi="Arial"/>
                <w:sz w:val="14"/>
                <w:szCs w:val="14"/>
                <w:color w:val="auto"/>
              </w:rPr>
              <w:t>December 31, 2019:</w:t>
            </w:r>
          </w:p>
        </w:tc>
        <w:tc>
          <w:tcPr>
            <w:tcW w:w="1100" w:type="dxa"/>
            <w:vAlign w:val="bottom"/>
            <w:gridSpan w:val="2"/>
          </w:tcPr>
          <w:p>
            <w:pPr>
              <w:jc w:val="right"/>
              <w:ind w:right="30"/>
              <w:spacing w:after="0"/>
              <w:rPr>
                <w:sz w:val="20"/>
                <w:szCs w:val="20"/>
                <w:color w:val="auto"/>
              </w:rPr>
            </w:pPr>
            <w:r>
              <w:rPr>
                <w:rFonts w:ascii="Arial" w:cs="Arial" w:eastAsia="Arial" w:hAnsi="Arial"/>
                <w:sz w:val="14"/>
                <w:szCs w:val="14"/>
                <w:color w:val="auto"/>
              </w:rPr>
              <w:t>Amortized Cost</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center"/>
              <w:ind w:right="520"/>
              <w:spacing w:after="0"/>
              <w:rPr>
                <w:sz w:val="20"/>
                <w:szCs w:val="20"/>
                <w:color w:val="auto"/>
              </w:rPr>
            </w:pPr>
            <w:r>
              <w:rPr>
                <w:rFonts w:ascii="Arial" w:cs="Arial" w:eastAsia="Arial" w:hAnsi="Arial"/>
                <w:sz w:val="14"/>
                <w:szCs w:val="14"/>
                <w:color w:val="auto"/>
                <w:w w:val="87"/>
              </w:rPr>
              <w:t>Gains</w:t>
            </w:r>
          </w:p>
        </w:tc>
        <w:tc>
          <w:tcPr>
            <w:tcW w:w="300" w:type="dxa"/>
            <w:vAlign w:val="bottom"/>
          </w:tcPr>
          <w:p>
            <w:pPr>
              <w:spacing w:after="0"/>
              <w:rPr>
                <w:sz w:val="15"/>
                <w:szCs w:val="15"/>
                <w:color w:val="auto"/>
              </w:rPr>
            </w:pPr>
          </w:p>
        </w:tc>
        <w:tc>
          <w:tcPr>
            <w:tcW w:w="1020" w:type="dxa"/>
            <w:vAlign w:val="bottom"/>
            <w:gridSpan w:val="2"/>
          </w:tcPr>
          <w:p>
            <w:pPr>
              <w:jc w:val="center"/>
              <w:ind w:right="500"/>
              <w:spacing w:after="0"/>
              <w:rPr>
                <w:sz w:val="20"/>
                <w:szCs w:val="20"/>
                <w:color w:val="auto"/>
              </w:rPr>
            </w:pPr>
            <w:r>
              <w:rPr>
                <w:rFonts w:ascii="Arial" w:cs="Arial" w:eastAsia="Arial" w:hAnsi="Arial"/>
                <w:sz w:val="14"/>
                <w:szCs w:val="14"/>
                <w:color w:val="auto"/>
                <w:w w:val="90"/>
              </w:rPr>
              <w:t>Losses</w:t>
            </w:r>
          </w:p>
        </w:tc>
        <w:tc>
          <w:tcPr>
            <w:tcW w:w="320" w:type="dxa"/>
            <w:vAlign w:val="bottom"/>
          </w:tcPr>
          <w:p>
            <w:pPr>
              <w:spacing w:after="0"/>
              <w:rPr>
                <w:sz w:val="15"/>
                <w:szCs w:val="15"/>
                <w:color w:val="auto"/>
              </w:rPr>
            </w:pPr>
          </w:p>
        </w:tc>
        <w:tc>
          <w:tcPr>
            <w:tcW w:w="840" w:type="dxa"/>
            <w:vAlign w:val="bottom"/>
          </w:tcPr>
          <w:p>
            <w:pPr>
              <w:jc w:val="right"/>
              <w:ind w:right="35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38"/>
        </w:trPr>
        <w:tc>
          <w:tcPr>
            <w:tcW w:w="4780" w:type="dxa"/>
            <w:vAlign w:val="bottom"/>
            <w:gridSpan w:val="2"/>
            <w:vMerge w:val="continue"/>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20" w:type="dxa"/>
            <w:vAlign w:val="bottom"/>
            <w:shd w:val="clear" w:color="auto" w:fill="000000"/>
          </w:tcPr>
          <w:p>
            <w:pPr>
              <w:spacing w:after="0"/>
              <w:rPr>
                <w:sz w:val="2"/>
                <w:szCs w:val="2"/>
                <w:color w:val="auto"/>
              </w:rPr>
            </w:pPr>
          </w:p>
        </w:tc>
        <w:tc>
          <w:tcPr>
            <w:tcW w:w="3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4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maturity securities, available for sale, at estimated fair value:</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780" w:type="dxa"/>
            <w:vAlign w:val="bottom"/>
            <w:gridSpan w:val="2"/>
          </w:tcPr>
          <w:p>
            <w:pPr>
              <w:ind w:left="160"/>
              <w:spacing w:after="0"/>
              <w:rPr>
                <w:sz w:val="20"/>
                <w:szCs w:val="20"/>
                <w:color w:val="auto"/>
              </w:rPr>
            </w:pPr>
            <w:r>
              <w:rPr>
                <w:rFonts w:ascii="Arial" w:cs="Arial" w:eastAsia="Arial" w:hAnsi="Arial"/>
                <w:sz w:val="14"/>
                <w:szCs w:val="14"/>
                <w:color w:val="auto"/>
              </w:rPr>
              <w:t>U.S. Treasury securities and obligations of U.S. Government agencies</w:t>
            </w:r>
          </w:p>
        </w:tc>
        <w:tc>
          <w:tcPr>
            <w:tcW w:w="32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7"/>
              </w:rPr>
              <w:t>142,740,641</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632,185</w:t>
            </w:r>
          </w:p>
        </w:tc>
        <w:tc>
          <w:tcPr>
            <w:tcW w:w="200" w:type="dxa"/>
            <w:vAlign w:val="bottom"/>
          </w:tcPr>
          <w:p>
            <w:pPr>
              <w:spacing w:after="0"/>
              <w:rPr>
                <w:sz w:val="15"/>
                <w:szCs w:val="15"/>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(25,215)</w:t>
            </w:r>
          </w:p>
        </w:tc>
        <w:tc>
          <w:tcPr>
            <w:tcW w:w="200" w:type="dxa"/>
            <w:vAlign w:val="bottom"/>
          </w:tcPr>
          <w:p>
            <w:pPr>
              <w:spacing w:after="0"/>
              <w:rPr>
                <w:sz w:val="15"/>
                <w:szCs w:val="15"/>
                <w:color w:val="auto"/>
              </w:rPr>
            </w:pPr>
          </w:p>
        </w:tc>
        <w:tc>
          <w:tcPr>
            <w:tcW w:w="32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143,347,611</w:t>
            </w:r>
          </w:p>
        </w:tc>
        <w:tc>
          <w:tcPr>
            <w:tcW w:w="0" w:type="dxa"/>
            <w:vAlign w:val="bottom"/>
          </w:tcPr>
          <w:p>
            <w:pPr>
              <w:spacing w:after="0"/>
              <w:rPr>
                <w:sz w:val="1"/>
                <w:szCs w:val="1"/>
                <w:color w:val="auto"/>
              </w:rPr>
            </w:pPr>
          </w:p>
        </w:tc>
      </w:tr>
      <w:tr>
        <w:trPr>
          <w:trHeight w:val="137"/>
        </w:trPr>
        <w:tc>
          <w:tcPr>
            <w:tcW w:w="11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80" w:type="dxa"/>
            <w:vAlign w:val="bottom"/>
            <w:gridSpan w:val="2"/>
          </w:tcPr>
          <w:p>
            <w:pPr>
              <w:ind w:left="160"/>
              <w:spacing w:after="0"/>
              <w:rPr>
                <w:sz w:val="20"/>
                <w:szCs w:val="20"/>
                <w:color w:val="auto"/>
              </w:rPr>
            </w:pPr>
            <w:r>
              <w:rPr>
                <w:rFonts w:ascii="Arial" w:cs="Arial" w:eastAsia="Arial" w:hAnsi="Arial"/>
                <w:sz w:val="14"/>
                <w:szCs w:val="14"/>
                <w:color w:val="auto"/>
              </w:rPr>
              <w:t>Obligations of states and political subdivisions</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7,450,366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87,812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(9,026)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7,529,152</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80" w:type="dxa"/>
            <w:vAlign w:val="bottom"/>
            <w:gridSpan w:val="2"/>
          </w:tcPr>
          <w:p>
            <w:pPr>
              <w:ind w:left="160"/>
              <w:spacing w:after="0"/>
              <w:rPr>
                <w:sz w:val="20"/>
                <w:szCs w:val="20"/>
                <w:color w:val="auto"/>
              </w:rPr>
            </w:pPr>
            <w:r>
              <w:rPr>
                <w:rFonts w:ascii="Arial" w:cs="Arial" w:eastAsia="Arial" w:hAnsi="Arial"/>
                <w:sz w:val="14"/>
                <w:szCs w:val="14"/>
                <w:color w:val="auto"/>
              </w:rPr>
              <w:t>Corporate securities including public utilities</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w w:val="97"/>
              </w:rPr>
              <w:t>156,599,184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16,768,449</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(463,413)</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172,904,220</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80" w:type="dxa"/>
            <w:vAlign w:val="bottom"/>
            <w:gridSpan w:val="2"/>
          </w:tcPr>
          <w:p>
            <w:pPr>
              <w:ind w:left="160"/>
              <w:spacing w:after="0"/>
              <w:rPr>
                <w:sz w:val="20"/>
                <w:szCs w:val="20"/>
                <w:color w:val="auto"/>
              </w:rPr>
            </w:pPr>
            <w:r>
              <w:rPr>
                <w:rFonts w:ascii="Arial" w:cs="Arial" w:eastAsia="Arial" w:hAnsi="Arial"/>
                <w:sz w:val="14"/>
                <w:szCs w:val="14"/>
                <w:color w:val="auto"/>
              </w:rPr>
              <w:t>Mortgage-backed securities</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31,475,280</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597,395</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(240,177)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31,832,498</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780" w:type="dxa"/>
            <w:vAlign w:val="bottom"/>
            <w:gridSpan w:val="2"/>
          </w:tcPr>
          <w:p>
            <w:pPr>
              <w:ind w:left="160"/>
              <w:spacing w:after="0"/>
              <w:rPr>
                <w:sz w:val="20"/>
                <w:szCs w:val="20"/>
                <w:color w:val="auto"/>
              </w:rPr>
            </w:pPr>
            <w:r>
              <w:rPr>
                <w:rFonts w:ascii="Arial" w:cs="Arial" w:eastAsia="Arial" w:hAnsi="Arial"/>
                <w:sz w:val="14"/>
                <w:szCs w:val="14"/>
                <w:color w:val="auto"/>
              </w:rPr>
              <w:t>Redeemable preferred stock</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364,339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364,339</w:t>
            </w: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780" w:type="dxa"/>
            <w:vAlign w:val="bottom"/>
            <w:tcBorders>
              <w:bottom w:val="single" w:sz="8" w:color="CCEEFF"/>
            </w:tcBorders>
            <w:gridSpan w:val="2"/>
          </w:tcPr>
          <w:p>
            <w:pPr>
              <w:ind w:left="300"/>
              <w:spacing w:after="0" w:line="159" w:lineRule="exact"/>
              <w:rPr>
                <w:sz w:val="20"/>
                <w:szCs w:val="20"/>
                <w:color w:val="auto"/>
              </w:rPr>
            </w:pPr>
            <w:r>
              <w:rPr>
                <w:rFonts w:ascii="Arial" w:cs="Arial" w:eastAsia="Arial" w:hAnsi="Arial"/>
                <w:sz w:val="14"/>
                <w:szCs w:val="14"/>
                <w:color w:val="auto"/>
              </w:rPr>
              <w:t>Total fixed maturity securities available for sale</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338,629,810</w:t>
            </w:r>
          </w:p>
        </w:tc>
        <w:tc>
          <w:tcPr>
            <w:tcW w:w="2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18,085,841</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(737,831)</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355,977,820</w:t>
            </w: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3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780" w:type="dxa"/>
            <w:vAlign w:val="bottom"/>
            <w:gridSpan w:val="2"/>
          </w:tcPr>
          <w:p>
            <w:pPr>
              <w:spacing w:after="0"/>
              <w:rPr>
                <w:sz w:val="20"/>
                <w:szCs w:val="20"/>
                <w:color w:val="auto"/>
              </w:rPr>
            </w:pPr>
            <w:r>
              <w:rPr>
                <w:rFonts w:ascii="Arial" w:cs="Arial" w:eastAsia="Arial" w:hAnsi="Arial"/>
                <w:sz w:val="14"/>
                <w:szCs w:val="14"/>
                <w:color w:val="auto"/>
              </w:rPr>
              <w:t>Equity securities at estimated fair value:</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1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80" w:type="dxa"/>
            <w:vAlign w:val="bottom"/>
            <w:gridSpan w:val="2"/>
          </w:tcPr>
          <w:p>
            <w:pPr>
              <w:spacing w:after="0"/>
              <w:rPr>
                <w:sz w:val="20"/>
                <w:szCs w:val="20"/>
                <w:color w:val="auto"/>
              </w:rPr>
            </w:pPr>
            <w:r>
              <w:rPr>
                <w:rFonts w:ascii="Arial" w:cs="Arial" w:eastAsia="Arial" w:hAnsi="Arial"/>
                <w:sz w:val="14"/>
                <w:szCs w:val="14"/>
                <w:color w:val="auto"/>
              </w:rPr>
              <w:t>Common stock:</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120" w:type="dxa"/>
            <w:vAlign w:val="bottom"/>
            <w:shd w:val="clear" w:color="auto" w:fill="CCEEFF"/>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780" w:type="dxa"/>
            <w:vAlign w:val="bottom"/>
            <w:gridSpan w:val="2"/>
          </w:tcPr>
          <w:p>
            <w:pPr>
              <w:spacing w:after="0"/>
              <w:rPr>
                <w:sz w:val="20"/>
                <w:szCs w:val="20"/>
                <w:color w:val="auto"/>
              </w:rPr>
            </w:pPr>
            <w:r>
              <w:rPr>
                <w:rFonts w:ascii="Arial" w:cs="Arial" w:eastAsia="Arial" w:hAnsi="Arial"/>
                <w:sz w:val="14"/>
                <w:szCs w:val="14"/>
                <w:color w:val="auto"/>
              </w:rPr>
              <w:t>Industrial, miscellaneous and all other</w:t>
            </w:r>
          </w:p>
        </w:tc>
        <w:tc>
          <w:tcPr>
            <w:tcW w:w="3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6,900,537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1,139,799</w:t>
            </w:r>
          </w:p>
        </w:tc>
        <w:tc>
          <w:tcPr>
            <w:tcW w:w="20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(769,171)</w:t>
            </w:r>
          </w:p>
        </w:tc>
        <w:tc>
          <w:tcPr>
            <w:tcW w:w="200" w:type="dxa"/>
            <w:vAlign w:val="bottom"/>
          </w:tcPr>
          <w:p>
            <w:pPr>
              <w:spacing w:after="0"/>
              <w:rPr>
                <w:sz w:val="16"/>
                <w:szCs w:val="16"/>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7,271,165</w:t>
            </w:r>
          </w:p>
        </w:tc>
        <w:tc>
          <w:tcPr>
            <w:tcW w:w="0" w:type="dxa"/>
            <w:vAlign w:val="bottom"/>
          </w:tcPr>
          <w:p>
            <w:pPr>
              <w:spacing w:after="0"/>
              <w:rPr>
                <w:sz w:val="1"/>
                <w:szCs w:val="1"/>
                <w:color w:val="auto"/>
              </w:rPr>
            </w:pPr>
          </w:p>
        </w:tc>
      </w:tr>
      <w:tr>
        <w:trPr>
          <w:trHeight w:val="165"/>
        </w:trPr>
        <w:tc>
          <w:tcPr>
            <w:tcW w:w="1120" w:type="dxa"/>
            <w:vAlign w:val="bottom"/>
            <w:tcBorders>
              <w:top w:val="single" w:sz="8" w:color="CCEEFF"/>
            </w:tcBorders>
            <w:shd w:val="clear" w:color="auto" w:fill="CCEEFF"/>
          </w:tcPr>
          <w:p>
            <w:pPr>
              <w:spacing w:after="0"/>
              <w:rPr>
                <w:sz w:val="14"/>
                <w:szCs w:val="14"/>
                <w:color w:val="auto"/>
              </w:rPr>
            </w:pPr>
          </w:p>
        </w:tc>
        <w:tc>
          <w:tcPr>
            <w:tcW w:w="36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780" w:type="dxa"/>
            <w:vAlign w:val="bottom"/>
            <w:gridSpan w:val="2"/>
          </w:tcPr>
          <w:p>
            <w:pPr>
              <w:ind w:left="160"/>
              <w:spacing w:after="0"/>
              <w:rPr>
                <w:sz w:val="20"/>
                <w:szCs w:val="20"/>
                <w:color w:val="auto"/>
              </w:rPr>
            </w:pPr>
            <w:r>
              <w:rPr>
                <w:rFonts w:ascii="Arial" w:cs="Arial" w:eastAsia="Arial" w:hAnsi="Arial"/>
                <w:sz w:val="14"/>
                <w:szCs w:val="14"/>
                <w:color w:val="auto"/>
              </w:rPr>
              <w:t>Total equity securities at estimated fair value</w:t>
            </w:r>
          </w:p>
        </w:tc>
        <w:tc>
          <w:tcPr>
            <w:tcW w:w="3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6,900,537</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1,139,799</w:t>
            </w: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(769,171)</w:t>
            </w:r>
          </w:p>
        </w:tc>
        <w:tc>
          <w:tcPr>
            <w:tcW w:w="200" w:type="dxa"/>
            <w:vAlign w:val="bottom"/>
          </w:tcPr>
          <w:p>
            <w:pPr>
              <w:spacing w:after="0"/>
              <w:rPr>
                <w:sz w:val="19"/>
                <w:szCs w:val="19"/>
                <w:color w:val="auto"/>
              </w:rPr>
            </w:pP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7,271,165</w:t>
            </w:r>
          </w:p>
        </w:tc>
        <w:tc>
          <w:tcPr>
            <w:tcW w:w="0" w:type="dxa"/>
            <w:vAlign w:val="bottom"/>
          </w:tcPr>
          <w:p>
            <w:pPr>
              <w:spacing w:after="0"/>
              <w:rPr>
                <w:sz w:val="1"/>
                <w:szCs w:val="1"/>
                <w:color w:val="auto"/>
              </w:rPr>
            </w:pPr>
          </w:p>
        </w:tc>
      </w:tr>
      <w:tr>
        <w:trPr>
          <w:trHeight w:val="151"/>
        </w:trPr>
        <w:tc>
          <w:tcPr>
            <w:tcW w:w="1120" w:type="dxa"/>
            <w:vAlign w:val="bottom"/>
            <w:tcBorders>
              <w:top w:val="single" w:sz="8" w:color="CCEEFF"/>
            </w:tcBorders>
            <w:shd w:val="clear" w:color="auto" w:fill="CCEEFF"/>
          </w:tcPr>
          <w:p>
            <w:pPr>
              <w:spacing w:after="0"/>
              <w:rPr>
                <w:sz w:val="13"/>
                <w:szCs w:val="13"/>
                <w:color w:val="auto"/>
              </w:rPr>
            </w:pPr>
          </w:p>
        </w:tc>
        <w:tc>
          <w:tcPr>
            <w:tcW w:w="36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780" w:type="dxa"/>
            <w:vAlign w:val="bottom"/>
            <w:gridSpan w:val="2"/>
          </w:tcPr>
          <w:p>
            <w:pPr>
              <w:spacing w:after="0"/>
              <w:rPr>
                <w:sz w:val="20"/>
                <w:szCs w:val="20"/>
                <w:color w:val="auto"/>
              </w:rPr>
            </w:pPr>
            <w:r>
              <w:rPr>
                <w:rFonts w:ascii="Arial" w:cs="Arial" w:eastAsia="Arial" w:hAnsi="Arial"/>
                <w:sz w:val="14"/>
                <w:szCs w:val="14"/>
                <w:color w:val="auto"/>
              </w:rPr>
              <w:t>Mortgage loans held for investment at amortized cost:</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7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113,043,965</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gridSpan w:val="2"/>
          </w:tcPr>
          <w:p>
            <w:pPr>
              <w:ind w:left="300"/>
              <w:spacing w:after="0"/>
              <w:rPr>
                <w:sz w:val="20"/>
                <w:szCs w:val="20"/>
                <w:color w:val="auto"/>
              </w:rPr>
            </w:pPr>
            <w:r>
              <w:rPr>
                <w:rFonts w:ascii="Arial" w:cs="Arial" w:eastAsia="Arial" w:hAnsi="Arial"/>
                <w:sz w:val="14"/>
                <w:szCs w:val="14"/>
                <w:color w:val="auto"/>
              </w:rPr>
              <w:t>Residential construction</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89,430,237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Commercial</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38,718,220</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gridSpan w:val="2"/>
          </w:tcPr>
          <w:p>
            <w:pPr>
              <w:ind w:left="300"/>
              <w:spacing w:after="0"/>
              <w:rPr>
                <w:sz w:val="20"/>
                <w:szCs w:val="20"/>
                <w:color w:val="auto"/>
              </w:rPr>
            </w:pPr>
            <w:r>
              <w:rPr>
                <w:rFonts w:ascii="Arial" w:cs="Arial" w:eastAsia="Arial" w:hAnsi="Arial"/>
                <w:sz w:val="14"/>
                <w:szCs w:val="14"/>
                <w:color w:val="auto"/>
              </w:rPr>
              <w:t>Less: Unamortized deferred loan fees, net</w:t>
            </w:r>
          </w:p>
        </w:tc>
        <w:tc>
          <w:tcPr>
            <w:tcW w:w="3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(2,391,567)</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Less: Allowance for loan losses</w:t>
            </w: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(1,453,037)</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Less: Net discounts</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(653,272)</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mortgage loans held for investment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236,694,546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3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80" w:type="dxa"/>
            <w:vAlign w:val="bottom"/>
            <w:gridSpan w:val="2"/>
          </w:tcPr>
          <w:p>
            <w:pPr>
              <w:spacing w:after="0"/>
              <w:rPr>
                <w:sz w:val="20"/>
                <w:szCs w:val="20"/>
                <w:color w:val="auto"/>
              </w:rPr>
            </w:pPr>
            <w:r>
              <w:rPr>
                <w:rFonts w:ascii="Arial" w:cs="Arial" w:eastAsia="Arial" w:hAnsi="Arial"/>
                <w:sz w:val="14"/>
                <w:szCs w:val="14"/>
                <w:color w:val="auto"/>
              </w:rPr>
              <w:t>Real estate held for investment - net of accumulated depreciation:</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7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12,530,306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Commercial</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90,226,640</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real estate held for investment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102,756,946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3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780" w:type="dxa"/>
            <w:vAlign w:val="bottom"/>
            <w:gridSpan w:val="2"/>
          </w:tcPr>
          <w:p>
            <w:pPr>
              <w:spacing w:after="0"/>
              <w:rPr>
                <w:sz w:val="20"/>
                <w:szCs w:val="20"/>
                <w:color w:val="auto"/>
              </w:rPr>
            </w:pPr>
            <w:r>
              <w:rPr>
                <w:rFonts w:ascii="Arial" w:cs="Arial" w:eastAsia="Arial" w:hAnsi="Arial"/>
                <w:sz w:val="14"/>
                <w:szCs w:val="14"/>
                <w:color w:val="auto"/>
              </w:rPr>
              <w:t>Real estate held for sale:</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11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7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Residential</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8,021,306</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Commercial</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6,076,321</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CEEFF"/>
          </w:tcPr>
          <w:p>
            <w:pPr>
              <w:spacing w:after="0"/>
              <w:rPr>
                <w:sz w:val="14"/>
                <w:szCs w:val="14"/>
                <w:color w:val="auto"/>
              </w:rPr>
            </w:pPr>
          </w:p>
        </w:tc>
        <w:tc>
          <w:tcPr>
            <w:tcW w:w="3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real estate held for sale</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14,097,627</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120" w:type="dxa"/>
            <w:vAlign w:val="bottom"/>
            <w:shd w:val="clear" w:color="auto" w:fill="CCEEFF"/>
          </w:tcPr>
          <w:p>
            <w:pPr>
              <w:spacing w:after="0"/>
              <w:rPr>
                <w:sz w:val="13"/>
                <w:szCs w:val="13"/>
                <w:color w:val="auto"/>
              </w:rPr>
            </w:pPr>
          </w:p>
        </w:tc>
        <w:tc>
          <w:tcPr>
            <w:tcW w:w="36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44"/>
          </w:cols>
          <w:pgMar w:left="1276" w:top="347" w:right="779" w:bottom="1440" w:gutter="0" w:footer="0" w:header="0"/>
        </w:sectPr>
      </w:pPr>
    </w:p>
    <w:p>
      <w:pPr>
        <w:ind w:left="4"/>
        <w:spacing w:after="0"/>
        <w:rPr>
          <w:sz w:val="20"/>
          <w:szCs w:val="20"/>
          <w:color w:val="auto"/>
        </w:rPr>
      </w:pPr>
      <w:r>
        <w:rPr>
          <w:rFonts w:ascii="Arial" w:cs="Arial" w:eastAsia="Arial" w:hAnsi="Arial"/>
          <w:sz w:val="12"/>
          <w:szCs w:val="12"/>
          <w:color w:val="auto"/>
        </w:rPr>
        <w:t>Other investments and policy loans at amortized cost:</w:t>
      </w:r>
    </w:p>
    <w:p>
      <w:pPr>
        <w:spacing w:after="0" w:line="41" w:lineRule="exact"/>
        <w:rPr>
          <w:sz w:val="20"/>
          <w:szCs w:val="20"/>
          <w:color w:val="auto"/>
        </w:rPr>
      </w:pPr>
    </w:p>
    <w:p>
      <w:pPr>
        <w:ind w:left="304"/>
        <w:spacing w:after="0"/>
        <w:rPr>
          <w:sz w:val="20"/>
          <w:szCs w:val="20"/>
          <w:color w:val="auto"/>
        </w:rPr>
      </w:pPr>
      <w:r>
        <w:rPr>
          <w:rFonts w:ascii="Arial" w:cs="Arial" w:eastAsia="Arial" w:hAnsi="Arial"/>
          <w:sz w:val="14"/>
          <w:szCs w:val="14"/>
          <w:color w:val="auto"/>
        </w:rPr>
        <w:t>Policy loans</w:t>
      </w:r>
    </w:p>
    <w:p>
      <w:pPr>
        <w:spacing w:after="0" w:line="24" w:lineRule="exact"/>
        <w:rPr>
          <w:sz w:val="20"/>
          <w:szCs w:val="20"/>
          <w:color w:val="auto"/>
        </w:rPr>
      </w:pPr>
    </w:p>
    <w:p>
      <w:pPr>
        <w:ind w:left="304"/>
        <w:spacing w:after="0"/>
        <w:rPr>
          <w:sz w:val="20"/>
          <w:szCs w:val="20"/>
          <w:color w:val="auto"/>
        </w:rPr>
      </w:pPr>
      <w:r>
        <w:rPr>
          <w:rFonts w:ascii="Arial" w:cs="Arial" w:eastAsia="Arial" w:hAnsi="Arial"/>
          <w:sz w:val="14"/>
          <w:szCs w:val="14"/>
          <w:color w:val="auto"/>
        </w:rPr>
        <w:t>Insurance assignments</w:t>
      </w:r>
    </w:p>
    <w:p>
      <w:pPr>
        <w:spacing w:after="0" w:line="24" w:lineRule="exact"/>
        <w:rPr>
          <w:sz w:val="20"/>
          <w:szCs w:val="20"/>
          <w:color w:val="auto"/>
        </w:rPr>
      </w:pPr>
    </w:p>
    <w:p>
      <w:pPr>
        <w:ind w:left="304"/>
        <w:spacing w:after="0"/>
        <w:rPr>
          <w:sz w:val="20"/>
          <w:szCs w:val="20"/>
          <w:color w:val="auto"/>
        </w:rPr>
      </w:pPr>
      <w:r>
        <w:rPr>
          <w:rFonts w:ascii="Arial" w:cs="Arial" w:eastAsia="Arial" w:hAnsi="Arial"/>
          <w:sz w:val="14"/>
          <w:szCs w:val="14"/>
          <w:color w:val="auto"/>
        </w:rPr>
        <w:t>Federal Home Loan Bank stock (1)</w:t>
      </w:r>
    </w:p>
    <w:p>
      <w:pPr>
        <w:spacing w:after="0" w:line="24" w:lineRule="exact"/>
        <w:rPr>
          <w:sz w:val="20"/>
          <w:szCs w:val="20"/>
          <w:color w:val="auto"/>
        </w:rPr>
      </w:pPr>
    </w:p>
    <w:p>
      <w:pPr>
        <w:ind w:left="304"/>
        <w:spacing w:after="0"/>
        <w:rPr>
          <w:sz w:val="20"/>
          <w:szCs w:val="20"/>
          <w:color w:val="auto"/>
        </w:rPr>
      </w:pPr>
      <w:r>
        <w:rPr>
          <w:rFonts w:ascii="Arial" w:cs="Arial" w:eastAsia="Arial" w:hAnsi="Arial"/>
          <w:sz w:val="14"/>
          <w:szCs w:val="14"/>
          <w:color w:val="auto"/>
        </w:rPr>
        <w:t>Other investments</w:t>
      </w:r>
    </w:p>
    <w:p>
      <w:pPr>
        <w:spacing w:after="0" w:line="18" w:lineRule="exact"/>
        <w:rPr>
          <w:sz w:val="20"/>
          <w:szCs w:val="20"/>
          <w:color w:val="auto"/>
        </w:rPr>
      </w:pPr>
    </w:p>
    <w:p>
      <w:pPr>
        <w:ind w:left="304"/>
        <w:spacing w:after="0"/>
        <w:rPr>
          <w:sz w:val="20"/>
          <w:szCs w:val="20"/>
          <w:color w:val="auto"/>
        </w:rPr>
      </w:pPr>
      <w:r>
        <w:rPr>
          <w:rFonts w:ascii="Arial" w:cs="Arial" w:eastAsia="Arial" w:hAnsi="Arial"/>
          <w:sz w:val="14"/>
          <w:szCs w:val="14"/>
          <w:color w:val="auto"/>
        </w:rPr>
        <w:t>Less: Allowance for doubtful accounts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4"/>
          <w:szCs w:val="14"/>
          <w:color w:val="auto"/>
        </w:rPr>
        <w:t>Total policy loans and other investments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282" w:hanging="282"/>
        <w:spacing w:after="0"/>
        <w:tabs>
          <w:tab w:leader="none" w:pos="282" w:val="left"/>
        </w:tabs>
        <w:numPr>
          <w:ilvl w:val="0"/>
          <w:numId w:val="10"/>
        </w:numPr>
        <w:rPr>
          <w:rFonts w:ascii="Arial" w:cs="Arial" w:eastAsia="Arial" w:hAnsi="Arial"/>
          <w:sz w:val="12"/>
          <w:szCs w:val="12"/>
          <w:color w:val="auto"/>
        </w:rPr>
      </w:pPr>
      <w:r>
        <w:rPr>
          <w:rFonts w:ascii="Arial" w:cs="Arial" w:eastAsia="Arial" w:hAnsi="Arial"/>
          <w:sz w:val="12"/>
          <w:szCs w:val="12"/>
          <w:color w:val="auto"/>
        </w:rPr>
        <w:t>14,762,805</w:t>
      </w:r>
    </w:p>
    <w:p>
      <w:pPr>
        <w:spacing w:after="0" w:line="46" w:lineRule="exact"/>
        <w:rPr>
          <w:rFonts w:ascii="Arial" w:cs="Arial" w:eastAsia="Arial" w:hAnsi="Arial"/>
          <w:sz w:val="12"/>
          <w:szCs w:val="12"/>
          <w:color w:val="auto"/>
        </w:rPr>
      </w:pPr>
    </w:p>
    <w:p>
      <w:pPr>
        <w:ind w:left="282"/>
        <w:spacing w:after="0"/>
        <w:rPr>
          <w:rFonts w:ascii="Arial" w:cs="Arial" w:eastAsia="Arial" w:hAnsi="Arial"/>
          <w:sz w:val="12"/>
          <w:szCs w:val="12"/>
          <w:color w:val="auto"/>
        </w:rPr>
      </w:pPr>
      <w:r>
        <w:rPr>
          <w:rFonts w:ascii="Arial" w:cs="Arial" w:eastAsia="Arial" w:hAnsi="Arial"/>
          <w:sz w:val="12"/>
          <w:szCs w:val="12"/>
          <w:color w:val="auto"/>
        </w:rPr>
        <w:t>41,062,965</w:t>
      </w:r>
    </w:p>
    <w:p>
      <w:pPr>
        <w:spacing w:after="0" w:line="46" w:lineRule="exact"/>
        <w:rPr>
          <w:rFonts w:ascii="Arial" w:cs="Arial" w:eastAsia="Arial" w:hAnsi="Arial"/>
          <w:sz w:val="12"/>
          <w:szCs w:val="12"/>
          <w:color w:val="auto"/>
        </w:rPr>
      </w:pPr>
    </w:p>
    <w:p>
      <w:pPr>
        <w:ind w:left="462"/>
        <w:spacing w:after="0"/>
        <w:rPr>
          <w:rFonts w:ascii="Arial" w:cs="Arial" w:eastAsia="Arial" w:hAnsi="Arial"/>
          <w:sz w:val="12"/>
          <w:szCs w:val="12"/>
          <w:color w:val="auto"/>
        </w:rPr>
      </w:pPr>
      <w:r>
        <w:rPr>
          <w:rFonts w:ascii="Arial" w:cs="Arial" w:eastAsia="Arial" w:hAnsi="Arial"/>
          <w:sz w:val="12"/>
          <w:szCs w:val="12"/>
          <w:color w:val="auto"/>
        </w:rPr>
        <w:t>894,300</w:t>
      </w:r>
    </w:p>
    <w:p>
      <w:pPr>
        <w:spacing w:after="0" w:line="41" w:lineRule="exact"/>
        <w:rPr>
          <w:rFonts w:ascii="Arial" w:cs="Arial" w:eastAsia="Arial" w:hAnsi="Arial"/>
          <w:sz w:val="12"/>
          <w:szCs w:val="12"/>
          <w:color w:val="auto"/>
        </w:rPr>
      </w:pPr>
    </w:p>
    <w:p>
      <w:pPr>
        <w:ind w:left="342"/>
        <w:spacing w:after="0"/>
        <w:rPr>
          <w:rFonts w:ascii="Arial" w:cs="Arial" w:eastAsia="Arial" w:hAnsi="Arial"/>
          <w:sz w:val="12"/>
          <w:szCs w:val="12"/>
          <w:color w:val="auto"/>
        </w:rPr>
      </w:pPr>
      <w:r>
        <w:rPr>
          <w:rFonts w:ascii="Arial" w:cs="Arial" w:eastAsia="Arial" w:hAnsi="Arial"/>
          <w:sz w:val="13"/>
          <w:szCs w:val="13"/>
          <w:color w:val="auto"/>
        </w:rPr>
        <w:t>4,973,225</w:t>
      </w:r>
    </w:p>
    <w:p>
      <w:pPr>
        <w:spacing w:after="0" w:line="22" w:lineRule="exact"/>
        <w:rPr>
          <w:rFonts w:ascii="Arial" w:cs="Arial" w:eastAsia="Arial" w:hAnsi="Arial"/>
          <w:sz w:val="12"/>
          <w:szCs w:val="12"/>
          <w:color w:val="auto"/>
        </w:rPr>
      </w:pPr>
    </w:p>
    <w:p>
      <w:pPr>
        <w:ind w:left="262"/>
        <w:spacing w:after="0"/>
        <w:rPr>
          <w:rFonts w:ascii="Arial" w:cs="Arial" w:eastAsia="Arial" w:hAnsi="Arial"/>
          <w:sz w:val="12"/>
          <w:szCs w:val="12"/>
          <w:color w:val="auto"/>
        </w:rPr>
      </w:pPr>
      <w:r>
        <w:rPr>
          <w:rFonts w:ascii="Arial" w:cs="Arial" w:eastAsia="Arial" w:hAnsi="Arial"/>
          <w:sz w:val="12"/>
          <w:szCs w:val="12"/>
          <w:color w:val="auto"/>
        </w:rPr>
        <w:t>(1,448,026)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-549910</wp:posOffset>
            </wp:positionV>
            <wp:extent cx="6246495" cy="117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46495" cy="11747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-314960</wp:posOffset>
            </wp:positionV>
            <wp:extent cx="6246495" cy="1174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46495" cy="117475"/>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-88265</wp:posOffset>
            </wp:positionV>
            <wp:extent cx="6246495" cy="1174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46495" cy="117475"/>
                    </a:xfrm>
                    <a:prstGeom prst="rect">
                      <a:avLst/>
                    </a:prstGeom>
                    <a:noFill/>
                  </pic:spPr>
                </pic:pic>
              </a:graphicData>
            </a:graphic>
          </wp:anchor>
        </w:drawing>
      </w:r>
    </w:p>
    <w:p>
      <w:pPr>
        <w:spacing w:after="0" w:line="191" w:lineRule="exact"/>
        <w:rPr>
          <w:sz w:val="20"/>
          <w:szCs w:val="20"/>
          <w:color w:val="auto"/>
        </w:rPr>
      </w:pPr>
    </w:p>
    <w:p>
      <w:pPr>
        <w:ind w:left="282" w:hanging="282"/>
        <w:spacing w:after="0"/>
        <w:tabs>
          <w:tab w:leader="none" w:pos="282" w:val="left"/>
        </w:tabs>
        <w:numPr>
          <w:ilvl w:val="0"/>
          <w:numId w:val="11"/>
        </w:numPr>
        <w:rPr>
          <w:rFonts w:ascii="Arial" w:cs="Arial" w:eastAsia="Arial" w:hAnsi="Arial"/>
          <w:sz w:val="12"/>
          <w:szCs w:val="12"/>
          <w:color w:val="auto"/>
        </w:rPr>
      </w:pPr>
      <w:r>
        <w:rPr>
          <w:rFonts w:ascii="Arial" w:cs="Arial" w:eastAsia="Arial" w:hAnsi="Arial"/>
          <w:sz w:val="12"/>
          <w:szCs w:val="12"/>
          <w:color w:val="auto"/>
        </w:rPr>
        <w:t>60,245,269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-83820</wp:posOffset>
            </wp:positionV>
            <wp:extent cx="6246495" cy="133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46495" cy="133985"/>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4241" w:space="720"/>
            <w:col w:w="4882"/>
          </w:cols>
          <w:pgMar w:left="1276" w:top="347" w:right="779" w:bottom="1440" w:gutter="0" w:footer="0" w:header="0"/>
          <w:type w:val="continuous"/>
        </w:sectPr>
      </w:pPr>
    </w:p>
    <w:p>
      <w:pPr>
        <w:spacing w:after="0" w:line="27"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Accrued investment income</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4,833,232</w:t>
            </w:r>
          </w:p>
        </w:tc>
        <w:tc>
          <w:tcPr>
            <w:tcW w:w="3960" w:type="dxa"/>
            <w:vAlign w:val="bottom"/>
            <w:tcBorders>
              <w:bottom w:val="single" w:sz="8" w:color="CCEEFF"/>
            </w:tcBorders>
            <w:shd w:val="clear" w:color="auto" w:fill="CCEEFF"/>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151"/>
        </w:trPr>
        <w:tc>
          <w:tcPr>
            <w:tcW w:w="14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172"/>
        </w:trPr>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781,876,605</w:t>
            </w:r>
          </w:p>
        </w:tc>
        <w:tc>
          <w:tcPr>
            <w:tcW w:w="3960" w:type="dxa"/>
            <w:vAlign w:val="bottom"/>
            <w:tcBorders>
              <w:bottom w:val="single" w:sz="8" w:color="CCEEFF"/>
            </w:tcBorders>
            <w:shd w:val="clear" w:color="auto" w:fill="CCEEFF"/>
          </w:tcPr>
          <w:p>
            <w:pPr>
              <w:spacing w:after="0"/>
              <w:rPr>
                <w:sz w:val="14"/>
                <w:szCs w:val="14"/>
                <w:color w:val="auto"/>
              </w:rPr>
            </w:pPr>
          </w:p>
        </w:tc>
      </w:tr>
      <w:tr>
        <w:trPr>
          <w:trHeight w:val="20"/>
        </w:trPr>
        <w:tc>
          <w:tcPr>
            <w:tcW w:w="14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151"/>
        </w:trPr>
        <w:tc>
          <w:tcPr>
            <w:tcW w:w="144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158"/>
        </w:trPr>
        <w:tc>
          <w:tcPr>
            <w:tcW w:w="1440" w:type="dxa"/>
            <w:vAlign w:val="bottom"/>
            <w:tcBorders>
              <w:bottom w:val="single" w:sz="8" w:color="auto"/>
            </w:tcBorders>
            <w:shd w:val="clear" w:color="auto" w:fill="CCEEFF"/>
          </w:tcPr>
          <w:p>
            <w:pPr>
              <w:spacing w:after="0"/>
              <w:rPr>
                <w:sz w:val="13"/>
                <w:szCs w:val="13"/>
                <w:color w:val="auto"/>
              </w:rPr>
            </w:pPr>
          </w:p>
        </w:tc>
        <w:tc>
          <w:tcPr>
            <w:tcW w:w="334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3960" w:type="dxa"/>
            <w:vAlign w:val="bottom"/>
            <w:tcBorders>
              <w:bottom w:val="single" w:sz="8" w:color="CCEEFF"/>
            </w:tcBorders>
            <w:shd w:val="clear" w:color="auto" w:fill="CCEEFF"/>
          </w:tcPr>
          <w:p>
            <w:pPr>
              <w:spacing w:after="0"/>
              <w:rPr>
                <w:sz w:val="13"/>
                <w:szCs w:val="13"/>
                <w:color w:val="auto"/>
              </w:rPr>
            </w:pPr>
          </w:p>
        </w:tc>
      </w:tr>
    </w:tbl>
    <w:p>
      <w:pPr>
        <w:ind w:left="4"/>
        <w:spacing w:after="0"/>
        <w:rPr>
          <w:sz w:val="20"/>
          <w:szCs w:val="20"/>
          <w:color w:val="auto"/>
        </w:rPr>
      </w:pPr>
      <w:r>
        <w:rPr>
          <w:rFonts w:ascii="Arial" w:cs="Arial" w:eastAsia="Arial" w:hAnsi="Arial"/>
          <w:sz w:val="14"/>
          <w:szCs w:val="14"/>
          <w:color w:val="auto"/>
        </w:rPr>
        <w:t>(1) Includes $894,300 of Membership stock and $-0- of Activity stock due to short-term borrowings.</w:t>
      </w:r>
    </w:p>
    <w:p>
      <w:pPr>
        <w:spacing w:after="0" w:line="232" w:lineRule="exact"/>
        <w:rPr>
          <w:sz w:val="20"/>
          <w:szCs w:val="20"/>
          <w:color w:val="auto"/>
        </w:rPr>
      </w:pPr>
    </w:p>
    <w:p>
      <w:pPr>
        <w:ind w:left="4344"/>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844"/>
          </w:cols>
          <w:pgMar w:left="1276" w:top="347" w:right="779" w:bottom="1440" w:gutter="0" w:footer="0" w:header="0"/>
          <w:type w:val="continuous"/>
        </w:sectPr>
      </w:pPr>
    </w:p>
    <w:bookmarkStart w:id="14" w:name="page15"/>
    <w:bookmarkEnd w:id="14"/>
    <w:p>
      <w:pPr>
        <w:jc w:val="center"/>
        <w:ind w:left="4"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1"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Fixed Maturity Securities</w:t>
      </w:r>
    </w:p>
    <w:p>
      <w:pPr>
        <w:spacing w:after="0" w:line="236" w:lineRule="exact"/>
        <w:rPr>
          <w:sz w:val="20"/>
          <w:szCs w:val="20"/>
          <w:color w:val="auto"/>
        </w:rPr>
      </w:pPr>
    </w:p>
    <w:p>
      <w:pPr>
        <w:jc w:val="both"/>
        <w:ind w:left="4"/>
        <w:spacing w:after="0" w:line="256" w:lineRule="auto"/>
        <w:rPr>
          <w:sz w:val="20"/>
          <w:szCs w:val="20"/>
          <w:color w:val="auto"/>
        </w:rPr>
      </w:pPr>
      <w:r>
        <w:rPr>
          <w:rFonts w:ascii="Arial" w:cs="Arial" w:eastAsia="Arial" w:hAnsi="Arial"/>
          <w:sz w:val="19"/>
          <w:szCs w:val="19"/>
          <w:color w:val="auto"/>
        </w:rPr>
        <w:t>The following tables summarize unrealized losses on fixed maturity securities available for sale, which were carried at estimated fair value, at June 30, 2020 and December 31, 2019. The unrealized losses were primarily related to interest rate fluctuations and uncertainties relating to COVID-19. The tables set forth unrealized losses by duration with the fair value of the related fixed maturity securities:</w:t>
      </w:r>
    </w:p>
    <w:p>
      <w:pPr>
        <w:spacing w:after="0" w:line="282" w:lineRule="exact"/>
        <w:rPr>
          <w:sz w:val="20"/>
          <w:szCs w:val="20"/>
          <w:color w:val="auto"/>
        </w:rPr>
      </w:pPr>
    </w:p>
    <w:tbl>
      <w:tblPr>
        <w:tblLayout w:type="fixed"/>
        <w:tblInd w:w="4" w:type="dxa"/>
        <w:tblCellMar>
          <w:top w:w="0" w:type="dxa"/>
          <w:left w:w="0" w:type="dxa"/>
          <w:bottom w:w="0" w:type="dxa"/>
          <w:right w:w="0" w:type="dxa"/>
        </w:tblCellMar>
      </w:tblPr>
      <w:tr>
        <w:trPr>
          <w:trHeight w:val="126"/>
        </w:trPr>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1"/>
                <w:szCs w:val="11"/>
                <w:color w:val="auto"/>
                <w:w w:val="86"/>
              </w:rPr>
              <w:t>Unrealized Losses</w:t>
            </w: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1"/>
                <w:szCs w:val="11"/>
                <w:color w:val="auto"/>
                <w:w w:val="86"/>
              </w:rPr>
              <w:t>Unrealized Losses</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80" w:type="dxa"/>
            <w:vAlign w:val="bottom"/>
            <w:gridSpan w:val="3"/>
          </w:tcPr>
          <w:p>
            <w:pPr>
              <w:jc w:val="center"/>
              <w:ind w:right="220"/>
              <w:spacing w:after="0" w:line="119" w:lineRule="exact"/>
              <w:rPr>
                <w:sz w:val="20"/>
                <w:szCs w:val="20"/>
                <w:color w:val="auto"/>
              </w:rPr>
            </w:pPr>
            <w:r>
              <w:rPr>
                <w:rFonts w:ascii="Arial" w:cs="Arial" w:eastAsia="Arial" w:hAnsi="Arial"/>
                <w:sz w:val="11"/>
                <w:szCs w:val="11"/>
                <w:color w:val="auto"/>
                <w:w w:val="84"/>
              </w:rPr>
              <w:t>for Less than</w:t>
            </w:r>
          </w:p>
        </w:tc>
        <w:tc>
          <w:tcPr>
            <w:tcW w:w="4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tcPr>
          <w:p>
            <w:pPr>
              <w:jc w:val="center"/>
              <w:ind w:right="200"/>
              <w:spacing w:after="0" w:line="119" w:lineRule="exact"/>
              <w:rPr>
                <w:sz w:val="20"/>
                <w:szCs w:val="20"/>
                <w:color w:val="auto"/>
              </w:rPr>
            </w:pPr>
            <w:r>
              <w:rPr>
                <w:rFonts w:ascii="Arial" w:cs="Arial" w:eastAsia="Arial" w:hAnsi="Arial"/>
                <w:sz w:val="11"/>
                <w:szCs w:val="11"/>
                <w:color w:val="auto"/>
                <w:w w:val="88"/>
              </w:rPr>
              <w:t>for More than</w:t>
            </w:r>
          </w:p>
        </w:tc>
        <w:tc>
          <w:tcPr>
            <w:tcW w:w="3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right"/>
              <w:ind w:right="47"/>
              <w:spacing w:after="0" w:line="119" w:lineRule="exact"/>
              <w:rPr>
                <w:sz w:val="20"/>
                <w:szCs w:val="20"/>
                <w:color w:val="auto"/>
              </w:rPr>
            </w:pPr>
            <w:r>
              <w:rPr>
                <w:rFonts w:ascii="Arial" w:cs="Arial" w:eastAsia="Arial" w:hAnsi="Arial"/>
                <w:sz w:val="11"/>
                <w:szCs w:val="11"/>
                <w:color w:val="auto"/>
                <w:w w:val="94"/>
              </w:rPr>
              <w:t>Total Unrealized</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1"/>
                <w:szCs w:val="11"/>
                <w:color w:val="auto"/>
                <w:w w:val="89"/>
              </w:rPr>
              <w:t>Twelve Months</w:t>
            </w:r>
          </w:p>
        </w:tc>
        <w:tc>
          <w:tcPr>
            <w:tcW w:w="1180" w:type="dxa"/>
            <w:vAlign w:val="bottom"/>
            <w:gridSpan w:val="3"/>
          </w:tcPr>
          <w:p>
            <w:pPr>
              <w:ind w:left="240"/>
              <w:spacing w:after="0"/>
              <w:rPr>
                <w:sz w:val="20"/>
                <w:szCs w:val="20"/>
                <w:color w:val="auto"/>
              </w:rPr>
            </w:pPr>
            <w:r>
              <w:rPr>
                <w:rFonts w:ascii="Arial" w:cs="Arial" w:eastAsia="Arial" w:hAnsi="Arial"/>
                <w:sz w:val="11"/>
                <w:szCs w:val="11"/>
                <w:color w:val="auto"/>
              </w:rPr>
              <w:t>Fair Value</w:t>
            </w:r>
          </w:p>
        </w:tc>
        <w:tc>
          <w:tcPr>
            <w:tcW w:w="1100" w:type="dxa"/>
            <w:vAlign w:val="bottom"/>
            <w:gridSpan w:val="3"/>
          </w:tcPr>
          <w:p>
            <w:pPr>
              <w:jc w:val="center"/>
              <w:ind w:right="200"/>
              <w:spacing w:after="0"/>
              <w:rPr>
                <w:sz w:val="20"/>
                <w:szCs w:val="20"/>
                <w:color w:val="auto"/>
              </w:rPr>
            </w:pPr>
            <w:r>
              <w:rPr>
                <w:rFonts w:ascii="Arial" w:cs="Arial" w:eastAsia="Arial" w:hAnsi="Arial"/>
                <w:sz w:val="11"/>
                <w:szCs w:val="11"/>
                <w:color w:val="auto"/>
                <w:w w:val="89"/>
              </w:rPr>
              <w:t>Twelve Months</w:t>
            </w:r>
          </w:p>
        </w:tc>
        <w:tc>
          <w:tcPr>
            <w:tcW w:w="1180" w:type="dxa"/>
            <w:vAlign w:val="bottom"/>
            <w:gridSpan w:val="3"/>
          </w:tcPr>
          <w:p>
            <w:pPr>
              <w:ind w:left="240"/>
              <w:spacing w:after="0"/>
              <w:rPr>
                <w:sz w:val="20"/>
                <w:szCs w:val="20"/>
                <w:color w:val="auto"/>
              </w:rPr>
            </w:pPr>
            <w:r>
              <w:rPr>
                <w:rFonts w:ascii="Arial" w:cs="Arial" w:eastAsia="Arial" w:hAnsi="Arial"/>
                <w:sz w:val="11"/>
                <w:szCs w:val="11"/>
                <w:color w:val="auto"/>
              </w:rPr>
              <w:t>Fair Value</w:t>
            </w:r>
          </w:p>
        </w:tc>
        <w:tc>
          <w:tcPr>
            <w:tcW w:w="320" w:type="dxa"/>
            <w:vAlign w:val="bottom"/>
          </w:tcPr>
          <w:p>
            <w:pPr>
              <w:spacing w:after="0"/>
              <w:rPr>
                <w:sz w:val="11"/>
                <w:szCs w:val="11"/>
                <w:color w:val="auto"/>
              </w:rPr>
            </w:pPr>
          </w:p>
        </w:tc>
        <w:tc>
          <w:tcPr>
            <w:tcW w:w="560" w:type="dxa"/>
            <w:vAlign w:val="bottom"/>
          </w:tcPr>
          <w:p>
            <w:pPr>
              <w:jc w:val="right"/>
              <w:ind w:right="287"/>
              <w:spacing w:after="0"/>
              <w:rPr>
                <w:sz w:val="20"/>
                <w:szCs w:val="20"/>
                <w:color w:val="auto"/>
              </w:rPr>
            </w:pPr>
            <w:r>
              <w:rPr>
                <w:rFonts w:ascii="Arial" w:cs="Arial" w:eastAsia="Arial" w:hAnsi="Arial"/>
                <w:sz w:val="11"/>
                <w:szCs w:val="11"/>
                <w:color w:val="auto"/>
                <w:w w:val="85"/>
              </w:rPr>
              <w:t>Loss</w:t>
            </w:r>
          </w:p>
        </w:tc>
        <w:tc>
          <w:tcPr>
            <w:tcW w:w="0" w:type="dxa"/>
            <w:vAlign w:val="bottom"/>
          </w:tcPr>
          <w:p>
            <w:pPr>
              <w:spacing w:after="0"/>
              <w:rPr>
                <w:sz w:val="1"/>
                <w:szCs w:val="1"/>
                <w:color w:val="auto"/>
              </w:rPr>
            </w:pPr>
          </w:p>
        </w:tc>
      </w:tr>
      <w:tr>
        <w:trPr>
          <w:trHeight w:val="158"/>
        </w:trPr>
        <w:tc>
          <w:tcPr>
            <w:tcW w:w="74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86"/>
              </w:rPr>
              <w:t>At June 30, 2020</w:t>
            </w:r>
          </w:p>
        </w:tc>
        <w:tc>
          <w:tcPr>
            <w:tcW w:w="2540" w:type="dxa"/>
            <w:vAlign w:val="bottom"/>
            <w:gridSpan w:val="2"/>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280" w:type="dxa"/>
            <w:vAlign w:val="bottom"/>
            <w:gridSpan w:val="3"/>
          </w:tcPr>
          <w:p>
            <w:pPr>
              <w:spacing w:after="0"/>
              <w:rPr>
                <w:sz w:val="20"/>
                <w:szCs w:val="20"/>
                <w:color w:val="auto"/>
              </w:rPr>
            </w:pPr>
            <w:r>
              <w:rPr>
                <w:rFonts w:ascii="Arial" w:cs="Arial" w:eastAsia="Arial" w:hAnsi="Arial"/>
                <w:sz w:val="11"/>
                <w:szCs w:val="11"/>
                <w:color w:val="auto"/>
              </w:rPr>
              <w:t>Obligations of States and Political Subdivisions</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2,661</w:t>
            </w: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717,466</w:t>
            </w:r>
          </w:p>
        </w:tc>
        <w:tc>
          <w:tcPr>
            <w:tcW w:w="260" w:type="dxa"/>
            <w:vAlign w:val="bottom"/>
          </w:tcPr>
          <w:p>
            <w:pPr>
              <w:spacing w:after="0"/>
              <w:rPr>
                <w:sz w:val="14"/>
                <w:szCs w:val="14"/>
                <w:color w:val="auto"/>
              </w:rPr>
            </w:pPr>
          </w:p>
        </w:tc>
        <w:tc>
          <w:tcPr>
            <w:tcW w:w="4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2,661</w:t>
            </w:r>
          </w:p>
        </w:tc>
        <w:tc>
          <w:tcPr>
            <w:tcW w:w="0" w:type="dxa"/>
            <w:vAlign w:val="bottom"/>
          </w:tcPr>
          <w:p>
            <w:pPr>
              <w:spacing w:after="0"/>
              <w:rPr>
                <w:sz w:val="1"/>
                <w:szCs w:val="1"/>
                <w:color w:val="auto"/>
              </w:rPr>
            </w:pPr>
          </w:p>
        </w:tc>
      </w:tr>
      <w:tr>
        <w:trPr>
          <w:trHeight w:val="185"/>
        </w:trPr>
        <w:tc>
          <w:tcPr>
            <w:tcW w:w="3280" w:type="dxa"/>
            <w:vAlign w:val="bottom"/>
            <w:gridSpan w:val="3"/>
          </w:tcPr>
          <w:p>
            <w:pPr>
              <w:spacing w:after="0"/>
              <w:rPr>
                <w:sz w:val="20"/>
                <w:szCs w:val="20"/>
                <w:color w:val="auto"/>
              </w:rPr>
            </w:pPr>
            <w:r>
              <w:rPr>
                <w:rFonts w:ascii="Arial" w:cs="Arial" w:eastAsia="Arial" w:hAnsi="Arial"/>
                <w:sz w:val="11"/>
                <w:szCs w:val="11"/>
                <w:color w:val="auto"/>
              </w:rPr>
              <w:t>Corporate Securities</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89"/>
              </w:rPr>
              <w:t>1,876,784</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87"/>
              </w:rPr>
              <w:t>22,141,540</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964,984</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3,039,240</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2,841,768</w:t>
            </w:r>
          </w:p>
        </w:tc>
        <w:tc>
          <w:tcPr>
            <w:tcW w:w="0" w:type="dxa"/>
            <w:vAlign w:val="bottom"/>
          </w:tcPr>
          <w:p>
            <w:pPr>
              <w:spacing w:after="0"/>
              <w:rPr>
                <w:sz w:val="1"/>
                <w:szCs w:val="1"/>
                <w:color w:val="auto"/>
              </w:rPr>
            </w:pPr>
          </w:p>
        </w:tc>
      </w:tr>
      <w:tr>
        <w:trPr>
          <w:trHeight w:val="185"/>
        </w:trPr>
        <w:tc>
          <w:tcPr>
            <w:tcW w:w="3280" w:type="dxa"/>
            <w:vAlign w:val="bottom"/>
            <w:gridSpan w:val="3"/>
          </w:tcPr>
          <w:p>
            <w:pPr>
              <w:spacing w:after="0"/>
              <w:rPr>
                <w:sz w:val="20"/>
                <w:szCs w:val="20"/>
                <w:color w:val="auto"/>
              </w:rPr>
            </w:pPr>
            <w:r>
              <w:rPr>
                <w:rFonts w:ascii="Arial" w:cs="Arial" w:eastAsia="Arial" w:hAnsi="Arial"/>
                <w:sz w:val="11"/>
                <w:szCs w:val="11"/>
                <w:color w:val="auto"/>
              </w:rPr>
              <w:t>Mortgage and other asset-backed securities</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710,364</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87"/>
              </w:rPr>
              <w:t>10,024,319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23,809</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504,583</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734,173</w:t>
            </w:r>
          </w:p>
        </w:tc>
        <w:tc>
          <w:tcPr>
            <w:tcW w:w="0" w:type="dxa"/>
            <w:vAlign w:val="bottom"/>
          </w:tcPr>
          <w:p>
            <w:pPr>
              <w:spacing w:after="0"/>
              <w:rPr>
                <w:sz w:val="1"/>
                <w:szCs w:val="1"/>
                <w:color w:val="auto"/>
              </w:rPr>
            </w:pPr>
          </w:p>
        </w:tc>
      </w:tr>
      <w:tr>
        <w:trPr>
          <w:trHeight w:val="190"/>
        </w:trPr>
        <w:tc>
          <w:tcPr>
            <w:tcW w:w="3280" w:type="dxa"/>
            <w:vAlign w:val="bottom"/>
            <w:gridSpan w:val="3"/>
          </w:tcPr>
          <w:p>
            <w:pPr>
              <w:spacing w:after="0"/>
              <w:rPr>
                <w:sz w:val="20"/>
                <w:szCs w:val="20"/>
                <w:color w:val="auto"/>
              </w:rPr>
            </w:pPr>
            <w:r>
              <w:rPr>
                <w:rFonts w:ascii="Arial" w:cs="Arial" w:eastAsia="Arial" w:hAnsi="Arial"/>
                <w:sz w:val="11"/>
                <w:szCs w:val="11"/>
                <w:color w:val="auto"/>
              </w:rPr>
              <w:t>Redeemable preferred stock</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17,500</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232,500</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17,500</w:t>
            </w:r>
          </w:p>
        </w:tc>
        <w:tc>
          <w:tcPr>
            <w:tcW w:w="0" w:type="dxa"/>
            <w:vAlign w:val="bottom"/>
          </w:tcPr>
          <w:p>
            <w:pPr>
              <w:spacing w:after="0"/>
              <w:rPr>
                <w:sz w:val="1"/>
                <w:szCs w:val="1"/>
                <w:color w:val="auto"/>
              </w:rPr>
            </w:pPr>
          </w:p>
        </w:tc>
      </w:tr>
      <w:tr>
        <w:trPr>
          <w:trHeight w:val="170"/>
        </w:trPr>
        <w:tc>
          <w:tcPr>
            <w:tcW w:w="3280" w:type="dxa"/>
            <w:vAlign w:val="bottom"/>
            <w:gridSpan w:val="3"/>
          </w:tcPr>
          <w:p>
            <w:pPr>
              <w:spacing w:after="0"/>
              <w:rPr>
                <w:sz w:val="20"/>
                <w:szCs w:val="20"/>
                <w:color w:val="auto"/>
              </w:rPr>
            </w:pPr>
            <w:r>
              <w:rPr>
                <w:rFonts w:ascii="Arial" w:cs="Arial" w:eastAsia="Arial" w:hAnsi="Arial"/>
                <w:sz w:val="11"/>
                <w:szCs w:val="11"/>
                <w:color w:val="auto"/>
              </w:rPr>
              <w:t>Total unrealized losses</w:t>
            </w:r>
          </w:p>
        </w:tc>
        <w:tc>
          <w:tcPr>
            <w:tcW w:w="40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9"/>
              </w:rPr>
              <w:t>2,607,309</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7"/>
              </w:rPr>
              <w:t>33,115,825</w:t>
            </w:r>
          </w:p>
        </w:tc>
        <w:tc>
          <w:tcPr>
            <w:tcW w:w="260" w:type="dxa"/>
            <w:vAlign w:val="bottom"/>
          </w:tcPr>
          <w:p>
            <w:pPr>
              <w:spacing w:after="0"/>
              <w:rPr>
                <w:sz w:val="14"/>
                <w:szCs w:val="14"/>
                <w:color w:val="auto"/>
              </w:rPr>
            </w:pPr>
          </w:p>
        </w:tc>
        <w:tc>
          <w:tcPr>
            <w:tcW w:w="4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988,793</w:t>
            </w:r>
          </w:p>
        </w:tc>
        <w:tc>
          <w:tcPr>
            <w:tcW w:w="2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3,543,823</w:t>
            </w:r>
          </w:p>
        </w:tc>
        <w:tc>
          <w:tcPr>
            <w:tcW w:w="2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3,596,102</w:t>
            </w:r>
          </w:p>
        </w:tc>
        <w:tc>
          <w:tcPr>
            <w:tcW w:w="0" w:type="dxa"/>
            <w:vAlign w:val="bottom"/>
          </w:tcPr>
          <w:p>
            <w:pPr>
              <w:spacing w:after="0"/>
              <w:rPr>
                <w:sz w:val="1"/>
                <w:szCs w:val="1"/>
                <w:color w:val="auto"/>
              </w:rPr>
            </w:pPr>
          </w:p>
        </w:tc>
      </w:tr>
      <w:tr>
        <w:trPr>
          <w:trHeight w:val="20"/>
        </w:trPr>
        <w:tc>
          <w:tcPr>
            <w:tcW w:w="980" w:type="dxa"/>
            <w:vAlign w:val="bottom"/>
            <w:gridSpan w:val="2"/>
            <w:vMerge w:val="restart"/>
          </w:tcPr>
          <w:p>
            <w:pPr>
              <w:spacing w:after="0"/>
              <w:rPr>
                <w:sz w:val="20"/>
                <w:szCs w:val="20"/>
                <w:color w:val="auto"/>
              </w:rPr>
            </w:pPr>
            <w:r>
              <w:rPr>
                <w:rFonts w:ascii="Arial" w:cs="Arial" w:eastAsia="Arial" w:hAnsi="Arial"/>
                <w:sz w:val="11"/>
                <w:szCs w:val="11"/>
                <w:color w:val="auto"/>
                <w:w w:val="87"/>
              </w:rPr>
              <w:t>At December 31, 2019</w:t>
            </w:r>
          </w:p>
        </w:tc>
        <w:tc>
          <w:tcPr>
            <w:tcW w:w="230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980" w:type="dxa"/>
            <w:vAlign w:val="bottom"/>
            <w:tcBorders>
              <w:bottom w:val="single" w:sz="8" w:color="auto"/>
            </w:tcBorders>
            <w:gridSpan w:val="2"/>
            <w:vMerge w:val="continue"/>
          </w:tcPr>
          <w:p>
            <w:pPr>
              <w:spacing w:after="0"/>
              <w:rPr>
                <w:sz w:val="24"/>
                <w:szCs w:val="24"/>
                <w:color w:val="auto"/>
              </w:rPr>
            </w:pPr>
          </w:p>
        </w:tc>
        <w:tc>
          <w:tcPr>
            <w:tcW w:w="23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280" w:type="dxa"/>
            <w:vAlign w:val="bottom"/>
            <w:gridSpan w:val="3"/>
          </w:tcPr>
          <w:p>
            <w:pPr>
              <w:spacing w:after="0"/>
              <w:rPr>
                <w:sz w:val="20"/>
                <w:szCs w:val="20"/>
                <w:color w:val="auto"/>
              </w:rPr>
            </w:pPr>
            <w:r>
              <w:rPr>
                <w:rFonts w:ascii="Arial" w:cs="Arial" w:eastAsia="Arial" w:hAnsi="Arial"/>
                <w:sz w:val="11"/>
                <w:szCs w:val="11"/>
                <w:color w:val="auto"/>
              </w:rPr>
              <w:t>U.S. Treasury Securities and Obligations</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80" w:type="dxa"/>
            <w:vAlign w:val="bottom"/>
            <w:gridSpan w:val="3"/>
          </w:tcPr>
          <w:p>
            <w:pPr>
              <w:ind w:left="80"/>
              <w:spacing w:after="0"/>
              <w:rPr>
                <w:sz w:val="20"/>
                <w:szCs w:val="20"/>
                <w:color w:val="auto"/>
              </w:rPr>
            </w:pPr>
            <w:r>
              <w:rPr>
                <w:rFonts w:ascii="Arial" w:cs="Arial" w:eastAsia="Arial" w:hAnsi="Arial"/>
                <w:sz w:val="11"/>
                <w:szCs w:val="11"/>
                <w:color w:val="auto"/>
              </w:rPr>
              <w:t>of U.S. Government Agencies</w:t>
            </w:r>
          </w:p>
        </w:tc>
        <w:tc>
          <w:tcPr>
            <w:tcW w:w="40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20,211</w:t>
            </w: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87"/>
              </w:rPr>
              <w:t>30,629,288</w:t>
            </w:r>
          </w:p>
        </w:tc>
        <w:tc>
          <w:tcPr>
            <w:tcW w:w="260" w:type="dxa"/>
            <w:vAlign w:val="bottom"/>
          </w:tcPr>
          <w:p>
            <w:pPr>
              <w:spacing w:after="0"/>
              <w:rPr>
                <w:sz w:val="16"/>
                <w:szCs w:val="16"/>
                <w:color w:val="auto"/>
              </w:rPr>
            </w:pPr>
          </w:p>
        </w:tc>
        <w:tc>
          <w:tcPr>
            <w:tcW w:w="4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5,004</w:t>
            </w: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90"/>
              </w:rPr>
              <w:t>10,000,400</w:t>
            </w:r>
          </w:p>
        </w:tc>
        <w:tc>
          <w:tcPr>
            <w:tcW w:w="2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25,215</w:t>
            </w:r>
          </w:p>
        </w:tc>
        <w:tc>
          <w:tcPr>
            <w:tcW w:w="0" w:type="dxa"/>
            <w:vAlign w:val="bottom"/>
          </w:tcPr>
          <w:p>
            <w:pPr>
              <w:spacing w:after="0"/>
              <w:rPr>
                <w:sz w:val="1"/>
                <w:szCs w:val="1"/>
                <w:color w:val="auto"/>
              </w:rPr>
            </w:pPr>
          </w:p>
        </w:tc>
      </w:tr>
      <w:tr>
        <w:trPr>
          <w:trHeight w:val="185"/>
        </w:trPr>
        <w:tc>
          <w:tcPr>
            <w:tcW w:w="3280" w:type="dxa"/>
            <w:vAlign w:val="bottom"/>
            <w:gridSpan w:val="3"/>
          </w:tcPr>
          <w:p>
            <w:pPr>
              <w:spacing w:after="0"/>
              <w:rPr>
                <w:sz w:val="20"/>
                <w:szCs w:val="20"/>
                <w:color w:val="auto"/>
              </w:rPr>
            </w:pPr>
            <w:r>
              <w:rPr>
                <w:rFonts w:ascii="Arial" w:cs="Arial" w:eastAsia="Arial" w:hAnsi="Arial"/>
                <w:sz w:val="11"/>
                <w:szCs w:val="11"/>
                <w:color w:val="auto"/>
              </w:rPr>
              <w:t>Obligations of States and Political Subdivisions</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9,026</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7"/>
              </w:rPr>
              <w:t>3,062,889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9,026</w:t>
            </w:r>
          </w:p>
        </w:tc>
        <w:tc>
          <w:tcPr>
            <w:tcW w:w="0" w:type="dxa"/>
            <w:vAlign w:val="bottom"/>
          </w:tcPr>
          <w:p>
            <w:pPr>
              <w:spacing w:after="0"/>
              <w:rPr>
                <w:sz w:val="1"/>
                <w:szCs w:val="1"/>
                <w:color w:val="auto"/>
              </w:rPr>
            </w:pPr>
          </w:p>
        </w:tc>
      </w:tr>
      <w:tr>
        <w:trPr>
          <w:trHeight w:val="185"/>
        </w:trPr>
        <w:tc>
          <w:tcPr>
            <w:tcW w:w="3280" w:type="dxa"/>
            <w:vAlign w:val="bottom"/>
            <w:gridSpan w:val="3"/>
          </w:tcPr>
          <w:p>
            <w:pPr>
              <w:spacing w:after="0"/>
              <w:rPr>
                <w:sz w:val="20"/>
                <w:szCs w:val="20"/>
                <w:color w:val="auto"/>
              </w:rPr>
            </w:pPr>
            <w:r>
              <w:rPr>
                <w:rFonts w:ascii="Arial" w:cs="Arial" w:eastAsia="Arial" w:hAnsi="Arial"/>
                <w:sz w:val="11"/>
                <w:szCs w:val="11"/>
                <w:color w:val="auto"/>
              </w:rPr>
              <w:t>Corporate Securities</w:t>
            </w:r>
          </w:p>
        </w:tc>
        <w:tc>
          <w:tcPr>
            <w:tcW w:w="4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118,746</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97"/>
              </w:rPr>
              <w:t>7,184,311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344,667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3,950,509</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463,413</w:t>
            </w:r>
          </w:p>
        </w:tc>
        <w:tc>
          <w:tcPr>
            <w:tcW w:w="0" w:type="dxa"/>
            <w:vAlign w:val="bottom"/>
          </w:tcPr>
          <w:p>
            <w:pPr>
              <w:spacing w:after="0"/>
              <w:rPr>
                <w:sz w:val="1"/>
                <w:szCs w:val="1"/>
                <w:color w:val="auto"/>
              </w:rPr>
            </w:pPr>
          </w:p>
        </w:tc>
      </w:tr>
      <w:tr>
        <w:trPr>
          <w:trHeight w:val="190"/>
        </w:trPr>
        <w:tc>
          <w:tcPr>
            <w:tcW w:w="3280" w:type="dxa"/>
            <w:vAlign w:val="bottom"/>
            <w:gridSpan w:val="3"/>
          </w:tcPr>
          <w:p>
            <w:pPr>
              <w:spacing w:after="0"/>
              <w:rPr>
                <w:sz w:val="20"/>
                <w:szCs w:val="20"/>
                <w:color w:val="auto"/>
              </w:rPr>
            </w:pPr>
            <w:r>
              <w:rPr>
                <w:rFonts w:ascii="Arial" w:cs="Arial" w:eastAsia="Arial" w:hAnsi="Arial"/>
                <w:sz w:val="11"/>
                <w:szCs w:val="11"/>
                <w:color w:val="auto"/>
              </w:rPr>
              <w:t>Mortgage and other asset-backed securities</w:t>
            </w:r>
          </w:p>
        </w:tc>
        <w:tc>
          <w:tcPr>
            <w:tcW w:w="4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205,470</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7"/>
              </w:rPr>
              <w:t>13,266,443</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34,707</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502,769</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240,177</w:t>
            </w:r>
          </w:p>
        </w:tc>
        <w:tc>
          <w:tcPr>
            <w:tcW w:w="0" w:type="dxa"/>
            <w:vAlign w:val="bottom"/>
          </w:tcPr>
          <w:p>
            <w:pPr>
              <w:spacing w:after="0"/>
              <w:rPr>
                <w:sz w:val="1"/>
                <w:szCs w:val="1"/>
                <w:color w:val="auto"/>
              </w:rPr>
            </w:pPr>
          </w:p>
        </w:tc>
      </w:tr>
      <w:tr>
        <w:trPr>
          <w:trHeight w:val="170"/>
        </w:trPr>
        <w:tc>
          <w:tcPr>
            <w:tcW w:w="3280" w:type="dxa"/>
            <w:vAlign w:val="bottom"/>
            <w:gridSpan w:val="3"/>
          </w:tcPr>
          <w:p>
            <w:pPr>
              <w:spacing w:after="0"/>
              <w:rPr>
                <w:sz w:val="20"/>
                <w:szCs w:val="20"/>
                <w:color w:val="auto"/>
              </w:rPr>
            </w:pPr>
            <w:r>
              <w:rPr>
                <w:rFonts w:ascii="Arial" w:cs="Arial" w:eastAsia="Arial" w:hAnsi="Arial"/>
                <w:sz w:val="11"/>
                <w:szCs w:val="11"/>
                <w:color w:val="auto"/>
              </w:rPr>
              <w:t>Total unrealized losses</w:t>
            </w:r>
          </w:p>
        </w:tc>
        <w:tc>
          <w:tcPr>
            <w:tcW w:w="40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353,453</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7"/>
              </w:rPr>
              <w:t>54,142,931</w:t>
            </w:r>
          </w:p>
        </w:tc>
        <w:tc>
          <w:tcPr>
            <w:tcW w:w="260" w:type="dxa"/>
            <w:vAlign w:val="bottom"/>
          </w:tcPr>
          <w:p>
            <w:pPr>
              <w:spacing w:after="0"/>
              <w:rPr>
                <w:sz w:val="14"/>
                <w:szCs w:val="14"/>
                <w:color w:val="auto"/>
              </w:rPr>
            </w:pPr>
          </w:p>
        </w:tc>
        <w:tc>
          <w:tcPr>
            <w:tcW w:w="420" w:type="dxa"/>
            <w:vAlign w:val="bottom"/>
            <w:tcBorders>
              <w:bottom w:val="single" w:sz="8" w:color="auto"/>
            </w:tcBorders>
          </w:tcPr>
          <w:p>
            <w:pPr>
              <w:jc w:val="right"/>
              <w:ind w:right="47"/>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384,378</w:t>
            </w:r>
          </w:p>
        </w:tc>
        <w:tc>
          <w:tcPr>
            <w:tcW w:w="22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0"/>
              </w:rPr>
              <w:t>14,453,678</w:t>
            </w:r>
          </w:p>
        </w:tc>
        <w:tc>
          <w:tcPr>
            <w:tcW w:w="2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737,831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-1550670</wp:posOffset>
            </wp:positionV>
            <wp:extent cx="6238240" cy="117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38240"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-1315720</wp:posOffset>
            </wp:positionV>
            <wp:extent cx="6238240" cy="117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38240"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-846455</wp:posOffset>
            </wp:positionV>
            <wp:extent cx="6238240" cy="1174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38240"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-611505</wp:posOffset>
            </wp:positionV>
            <wp:extent cx="6238240" cy="1174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38240"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-376555</wp:posOffset>
            </wp:positionV>
            <wp:extent cx="6238240" cy="1174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38240" cy="1174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6238240" cy="1257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8240" cy="1257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-1080770</wp:posOffset>
            </wp:positionV>
            <wp:extent cx="6238240" cy="125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8240" cy="125730"/>
                    </a:xfrm>
                    <a:prstGeom prst="rect">
                      <a:avLst/>
                    </a:prstGeom>
                    <a:noFill/>
                  </pic:spPr>
                </pic:pic>
              </a:graphicData>
            </a:graphic>
          </wp:anchor>
        </w:drawing>
      </w:r>
    </w:p>
    <w:p>
      <w:pPr>
        <w:spacing w:after="0" w:line="82" w:lineRule="exact"/>
        <w:rPr>
          <w:sz w:val="20"/>
          <w:szCs w:val="20"/>
          <w:color w:val="auto"/>
        </w:rPr>
      </w:pPr>
    </w:p>
    <w:p>
      <w:pPr>
        <w:jc w:val="both"/>
        <w:ind w:left="4"/>
        <w:spacing w:after="0" w:line="261" w:lineRule="auto"/>
        <w:rPr>
          <w:sz w:val="20"/>
          <w:szCs w:val="20"/>
          <w:color w:val="auto"/>
        </w:rPr>
      </w:pPr>
      <w:r>
        <w:rPr>
          <w:rFonts w:ascii="Arial" w:cs="Arial" w:eastAsia="Arial" w:hAnsi="Arial"/>
          <w:sz w:val="19"/>
          <w:szCs w:val="19"/>
          <w:color w:val="auto"/>
        </w:rPr>
        <w:t>There were 134 securities with fair value of 91.1% of amortized cost at June 30, 2020. There were 93 securities with fair value of 98.9% of amortized cost at December 31, 2019. No credit losses have been recognized for the three and six months ended June 30, 2020 and 2019.</w:t>
      </w:r>
    </w:p>
    <w:p>
      <w:pPr>
        <w:spacing w:after="0" w:line="185" w:lineRule="exact"/>
        <w:rPr>
          <w:sz w:val="20"/>
          <w:szCs w:val="20"/>
          <w:color w:val="auto"/>
        </w:rPr>
      </w:pPr>
    </w:p>
    <w:p>
      <w:pPr>
        <w:jc w:val="both"/>
        <w:ind w:left="4"/>
        <w:spacing w:after="0" w:line="281" w:lineRule="auto"/>
        <w:rPr>
          <w:sz w:val="20"/>
          <w:szCs w:val="20"/>
          <w:color w:val="auto"/>
        </w:rPr>
      </w:pPr>
      <w:r>
        <w:rPr>
          <w:rFonts w:ascii="Arial" w:cs="Arial" w:eastAsia="Arial" w:hAnsi="Arial"/>
          <w:sz w:val="17"/>
          <w:szCs w:val="17"/>
          <w:color w:val="auto"/>
        </w:rPr>
        <w:t>On a quarterly basis, the Company evaluates its fixed maturity securities available for sale.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172" w:lineRule="exact"/>
        <w:rPr>
          <w:sz w:val="20"/>
          <w:szCs w:val="20"/>
          <w:color w:val="auto"/>
        </w:rPr>
      </w:pPr>
    </w:p>
    <w:p>
      <w:pPr>
        <w:jc w:val="both"/>
        <w:ind w:left="4"/>
        <w:spacing w:after="0" w:line="256" w:lineRule="auto"/>
        <w:rPr>
          <w:sz w:val="20"/>
          <w:szCs w:val="20"/>
          <w:color w:val="auto"/>
        </w:rPr>
      </w:pPr>
      <w:r>
        <w:rPr>
          <w:rFonts w:ascii="Arial" w:cs="Arial" w:eastAsia="Arial" w:hAnsi="Arial"/>
          <w:sz w:val="19"/>
          <w:szCs w:val="19"/>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03" w:lineRule="exact"/>
        <w:rPr>
          <w:sz w:val="20"/>
          <w:szCs w:val="20"/>
          <w:color w:val="auto"/>
        </w:rPr>
      </w:pPr>
    </w:p>
    <w:p>
      <w:pPr>
        <w:jc w:val="center"/>
        <w:ind w:left="4"/>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1"/>
          <w:szCs w:val="1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9525</wp:posOffset>
            </wp:positionV>
            <wp:extent cx="5784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485" cy="8255"/>
                    </a:xfrm>
                    <a:prstGeom prst="rect">
                      <a:avLst/>
                    </a:prstGeom>
                    <a:noFill/>
                  </pic:spPr>
                </pic:pic>
              </a:graphicData>
            </a:graphic>
          </wp:anchor>
        </w:drawing>
      </w:r>
    </w:p>
    <w:p>
      <w:pPr>
        <w:spacing w:after="0" w:line="223" w:lineRule="exact"/>
        <w:rPr>
          <w:sz w:val="20"/>
          <w:szCs w:val="20"/>
          <w:color w:val="auto"/>
        </w:rPr>
      </w:pPr>
    </w:p>
    <w:p>
      <w:pPr>
        <w:ind w:left="320" w:hanging="260"/>
        <w:spacing w:after="0"/>
        <w:tabs>
          <w:tab w:leader="none" w:pos="320" w:val="left"/>
        </w:tabs>
        <w:numPr>
          <w:ilvl w:val="0"/>
          <w:numId w:val="13"/>
        </w:numPr>
        <w:rPr>
          <w:rFonts w:ascii="Arial" w:cs="Arial" w:eastAsia="Arial" w:hAnsi="Arial"/>
          <w:sz w:val="8"/>
          <w:szCs w:val="8"/>
          <w:color w:val="auto"/>
        </w:rPr>
      </w:pPr>
      <w:r>
        <w:rPr>
          <w:rFonts w:ascii="Arial" w:cs="Arial" w:eastAsia="Arial" w:hAnsi="Arial"/>
          <w:sz w:val="8"/>
          <w:szCs w:val="8"/>
          <w:color w:val="auto"/>
        </w:rPr>
        <w:t>717,466</w:t>
      </w:r>
    </w:p>
    <w:p>
      <w:pPr>
        <w:spacing w:after="0" w:line="92" w:lineRule="exact"/>
        <w:rPr>
          <w:rFonts w:ascii="Arial" w:cs="Arial" w:eastAsia="Arial" w:hAnsi="Arial"/>
          <w:sz w:val="8"/>
          <w:szCs w:val="8"/>
          <w:color w:val="auto"/>
        </w:rPr>
      </w:pPr>
    </w:p>
    <w:p>
      <w:pPr>
        <w:ind w:left="200"/>
        <w:spacing w:after="0"/>
        <w:rPr>
          <w:rFonts w:ascii="Arial" w:cs="Arial" w:eastAsia="Arial" w:hAnsi="Arial"/>
          <w:sz w:val="8"/>
          <w:szCs w:val="8"/>
          <w:color w:val="auto"/>
        </w:rPr>
      </w:pPr>
      <w:r>
        <w:rPr>
          <w:rFonts w:ascii="Arial" w:cs="Arial" w:eastAsia="Arial" w:hAnsi="Arial"/>
          <w:sz w:val="8"/>
          <w:szCs w:val="8"/>
          <w:color w:val="auto"/>
        </w:rPr>
        <w:t>25,180,780</w:t>
      </w:r>
    </w:p>
    <w:p>
      <w:pPr>
        <w:spacing w:after="0" w:line="92" w:lineRule="exact"/>
        <w:rPr>
          <w:rFonts w:ascii="Arial" w:cs="Arial" w:eastAsia="Arial" w:hAnsi="Arial"/>
          <w:sz w:val="8"/>
          <w:szCs w:val="8"/>
          <w:color w:val="auto"/>
        </w:rPr>
      </w:pPr>
    </w:p>
    <w:p>
      <w:pPr>
        <w:ind w:left="200"/>
        <w:spacing w:after="0"/>
        <w:rPr>
          <w:rFonts w:ascii="Arial" w:cs="Arial" w:eastAsia="Arial" w:hAnsi="Arial"/>
          <w:sz w:val="8"/>
          <w:szCs w:val="8"/>
          <w:color w:val="auto"/>
        </w:rPr>
      </w:pPr>
      <w:r>
        <w:rPr>
          <w:rFonts w:ascii="Arial" w:cs="Arial" w:eastAsia="Arial" w:hAnsi="Arial"/>
          <w:sz w:val="8"/>
          <w:szCs w:val="8"/>
          <w:color w:val="auto"/>
        </w:rPr>
        <w:t>10,528,902</w:t>
      </w:r>
    </w:p>
    <w:p>
      <w:pPr>
        <w:spacing w:after="0" w:line="92" w:lineRule="exact"/>
        <w:rPr>
          <w:rFonts w:ascii="Arial" w:cs="Arial" w:eastAsia="Arial" w:hAnsi="Arial"/>
          <w:sz w:val="8"/>
          <w:szCs w:val="8"/>
          <w:color w:val="auto"/>
        </w:rPr>
      </w:pPr>
    </w:p>
    <w:p>
      <w:pPr>
        <w:ind w:left="320"/>
        <w:spacing w:after="0"/>
        <w:rPr>
          <w:rFonts w:ascii="Arial" w:cs="Arial" w:eastAsia="Arial" w:hAnsi="Arial"/>
          <w:sz w:val="8"/>
          <w:szCs w:val="8"/>
          <w:color w:val="auto"/>
        </w:rPr>
      </w:pPr>
      <w:r>
        <w:rPr>
          <w:rFonts w:ascii="Arial" w:cs="Arial" w:eastAsia="Arial" w:hAnsi="Arial"/>
          <w:sz w:val="8"/>
          <w:szCs w:val="8"/>
          <w:color w:val="auto"/>
        </w:rPr>
        <w:t>232,500</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8"/>
          <w:szCs w:val="8"/>
          <w:color w:val="auto"/>
        </w:rPr>
        <w:t>$  36,659,648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48260</wp:posOffset>
            </wp:positionV>
            <wp:extent cx="5784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0" w:hanging="140"/>
        <w:spacing w:after="0"/>
        <w:tabs>
          <w:tab w:leader="none" w:pos="200" w:val="left"/>
        </w:tabs>
        <w:numPr>
          <w:ilvl w:val="0"/>
          <w:numId w:val="14"/>
        </w:numPr>
        <w:rPr>
          <w:rFonts w:ascii="Arial" w:cs="Arial" w:eastAsia="Arial" w:hAnsi="Arial"/>
          <w:sz w:val="8"/>
          <w:szCs w:val="8"/>
          <w:color w:val="auto"/>
        </w:rPr>
      </w:pPr>
      <w:r>
        <w:rPr>
          <w:rFonts w:ascii="Arial" w:cs="Arial" w:eastAsia="Arial" w:hAnsi="Arial"/>
          <w:sz w:val="8"/>
          <w:szCs w:val="8"/>
          <w:color w:val="auto"/>
        </w:rPr>
        <w:t>40,629,688</w:t>
      </w:r>
    </w:p>
    <w:p>
      <w:pPr>
        <w:spacing w:after="0" w:line="92" w:lineRule="exact"/>
        <w:rPr>
          <w:rFonts w:ascii="Arial" w:cs="Arial" w:eastAsia="Arial" w:hAnsi="Arial"/>
          <w:sz w:val="8"/>
          <w:szCs w:val="8"/>
          <w:color w:val="auto"/>
        </w:rPr>
      </w:pPr>
    </w:p>
    <w:p>
      <w:pPr>
        <w:ind w:left="240"/>
        <w:spacing w:after="0"/>
        <w:rPr>
          <w:rFonts w:ascii="Arial" w:cs="Arial" w:eastAsia="Arial" w:hAnsi="Arial"/>
          <w:sz w:val="8"/>
          <w:szCs w:val="8"/>
          <w:color w:val="auto"/>
        </w:rPr>
      </w:pPr>
      <w:r>
        <w:rPr>
          <w:rFonts w:ascii="Arial" w:cs="Arial" w:eastAsia="Arial" w:hAnsi="Arial"/>
          <w:sz w:val="8"/>
          <w:szCs w:val="8"/>
          <w:color w:val="auto"/>
        </w:rPr>
        <w:t>3,062,889</w:t>
      </w:r>
    </w:p>
    <w:p>
      <w:pPr>
        <w:spacing w:after="0" w:line="93" w:lineRule="exact"/>
        <w:rPr>
          <w:sz w:val="20"/>
          <w:szCs w:val="20"/>
          <w:color w:val="auto"/>
        </w:rPr>
      </w:pPr>
    </w:p>
    <w:p>
      <w:pPr>
        <w:jc w:val="right"/>
        <w:ind w:left="60"/>
        <w:spacing w:after="0" w:line="403" w:lineRule="auto"/>
        <w:rPr>
          <w:sz w:val="20"/>
          <w:szCs w:val="20"/>
          <w:color w:val="auto"/>
        </w:rPr>
      </w:pPr>
      <w:r>
        <w:rPr>
          <w:rFonts w:ascii="Arial" w:cs="Arial" w:eastAsia="Arial" w:hAnsi="Arial"/>
          <w:sz w:val="10"/>
          <w:szCs w:val="10"/>
          <w:color w:val="auto"/>
        </w:rPr>
        <w:t>11,134,820 13,769,212 $  68,596,609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-25400</wp:posOffset>
            </wp:positionV>
            <wp:extent cx="5784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485" cy="8255"/>
                    </a:xfrm>
                    <a:prstGeom prst="rect">
                      <a:avLst/>
                    </a:prstGeom>
                    <a:noFill/>
                  </pic:spPr>
                </pic:pic>
              </a:graphicData>
            </a:graphic>
          </wp:anchor>
        </w:drawing>
      </w:r>
    </w:p>
    <w:p>
      <w:pPr>
        <w:sectPr>
          <w:pgSz w:w="11900" w:h="16838" w:orient="portrait"/>
          <w:cols w:equalWidth="0" w:num="2">
            <w:col w:w="8864" w:space="280"/>
            <w:col w:w="660"/>
          </w:cols>
          <w:pgMar w:left="1276" w:top="347" w:right="819" w:bottom="1440" w:gutter="0" w:footer="0" w:header="0"/>
        </w:sectPr>
      </w:pPr>
    </w:p>
    <w:bookmarkStart w:id="15" w:name="page16"/>
    <w:bookmarkEnd w:id="15"/>
    <w:p>
      <w:pPr>
        <w:jc w:val="center"/>
        <w:ind w:right="316"/>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4" w:right="319"/>
        <w:spacing w:after="0" w:line="283" w:lineRule="auto"/>
        <w:rPr>
          <w:sz w:val="20"/>
          <w:szCs w:val="20"/>
          <w:color w:val="auto"/>
        </w:rPr>
      </w:pPr>
      <w:r>
        <w:rPr>
          <w:rFonts w:ascii="Arial" w:cs="Arial" w:eastAsia="Arial" w:hAnsi="Arial"/>
          <w:sz w:val="18"/>
          <w:szCs w:val="18"/>
          <w:color w:val="auto"/>
        </w:rPr>
        <w:t>The amortized cost and estimated fair value of fixed maturity securities available for sale, at June 30, 2020, by contractual maturity, are shown below. Expected maturities may differ from contractual maturities because certain borrowers may have the right to call or prepay obligations with or without call or prepayment penalties.</w:t>
      </w:r>
    </w:p>
    <w:p>
      <w:pPr>
        <w:spacing w:after="0" w:line="16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900" w:type="dxa"/>
            <w:vAlign w:val="bottom"/>
            <w:gridSpan w:val="3"/>
          </w:tcPr>
          <w:p>
            <w:pPr>
              <w:ind w:left="480"/>
              <w:spacing w:after="0"/>
              <w:rPr>
                <w:sz w:val="20"/>
                <w:szCs w:val="20"/>
                <w:color w:val="auto"/>
              </w:rPr>
            </w:pPr>
            <w:r>
              <w:rPr>
                <w:rFonts w:ascii="Arial" w:cs="Arial" w:eastAsia="Arial" w:hAnsi="Arial"/>
                <w:sz w:val="14"/>
                <w:szCs w:val="14"/>
                <w:color w:val="auto"/>
              </w:rPr>
              <w:t>Amortized</w:t>
            </w:r>
          </w:p>
        </w:tc>
        <w:tc>
          <w:tcPr>
            <w:tcW w:w="1620" w:type="dxa"/>
            <w:vAlign w:val="bottom"/>
            <w:gridSpan w:val="2"/>
          </w:tcPr>
          <w:p>
            <w:pPr>
              <w:jc w:val="right"/>
              <w:ind w:right="350"/>
              <w:spacing w:after="0"/>
              <w:rPr>
                <w:sz w:val="20"/>
                <w:szCs w:val="20"/>
                <w:color w:val="auto"/>
              </w:rPr>
            </w:pPr>
            <w:r>
              <w:rPr>
                <w:rFonts w:ascii="Arial" w:cs="Arial" w:eastAsia="Arial" w:hAnsi="Arial"/>
                <w:sz w:val="14"/>
                <w:szCs w:val="14"/>
                <w:color w:val="auto"/>
              </w:rPr>
              <w:t>Estimated Fair</w:t>
            </w:r>
          </w:p>
        </w:tc>
      </w:tr>
      <w:tr>
        <w:trPr>
          <w:trHeight w:val="177"/>
        </w:trPr>
        <w:tc>
          <w:tcPr>
            <w:tcW w:w="30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Cost</w:t>
            </w: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Value</w:t>
            </w:r>
          </w:p>
        </w:tc>
        <w:tc>
          <w:tcPr>
            <w:tcW w:w="720" w:type="dxa"/>
            <w:vAlign w:val="bottom"/>
            <w:tcBorders>
              <w:bottom w:val="single" w:sz="8" w:color="auto"/>
            </w:tcBorders>
          </w:tcPr>
          <w:p>
            <w:pPr>
              <w:spacing w:after="0"/>
              <w:rPr>
                <w:sz w:val="15"/>
                <w:szCs w:val="15"/>
                <w:color w:val="auto"/>
              </w:rPr>
            </w:pPr>
          </w:p>
        </w:tc>
      </w:tr>
      <w:tr>
        <w:trPr>
          <w:trHeight w:val="165"/>
        </w:trPr>
        <w:tc>
          <w:tcPr>
            <w:tcW w:w="300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Due in 1 year</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61,039,649</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61,451,128</w:t>
            </w:r>
          </w:p>
        </w:tc>
      </w:tr>
      <w:tr>
        <w:trPr>
          <w:trHeight w:val="172"/>
        </w:trPr>
        <w:tc>
          <w:tcPr>
            <w:tcW w:w="3000" w:type="dxa"/>
            <w:vAlign w:val="bottom"/>
          </w:tcPr>
          <w:p>
            <w:pPr>
              <w:ind w:left="160"/>
              <w:spacing w:after="0"/>
              <w:rPr>
                <w:sz w:val="20"/>
                <w:szCs w:val="20"/>
                <w:color w:val="auto"/>
              </w:rPr>
            </w:pPr>
            <w:r>
              <w:rPr>
                <w:rFonts w:ascii="Arial" w:cs="Arial" w:eastAsia="Arial" w:hAnsi="Arial"/>
                <w:sz w:val="14"/>
                <w:szCs w:val="14"/>
                <w:color w:val="auto"/>
              </w:rPr>
              <w:t>Due in 2-5 years</w:t>
            </w:r>
          </w:p>
        </w:tc>
        <w:tc>
          <w:tcPr>
            <w:tcW w:w="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73,278,818</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76,149,038</w:t>
            </w:r>
          </w:p>
        </w:tc>
      </w:tr>
      <w:tr>
        <w:trPr>
          <w:trHeight w:val="172"/>
        </w:trPr>
        <w:tc>
          <w:tcPr>
            <w:tcW w:w="3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Due in 5-10 years</w:t>
            </w:r>
          </w:p>
        </w:tc>
        <w:tc>
          <w:tcPr>
            <w:tcW w:w="9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82,777,913</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88,468,598</w:t>
            </w:r>
          </w:p>
        </w:tc>
      </w:tr>
      <w:tr>
        <w:trPr>
          <w:trHeight w:val="172"/>
        </w:trPr>
        <w:tc>
          <w:tcPr>
            <w:tcW w:w="3000" w:type="dxa"/>
            <w:vAlign w:val="bottom"/>
          </w:tcPr>
          <w:p>
            <w:pPr>
              <w:ind w:left="160"/>
              <w:spacing w:after="0"/>
              <w:rPr>
                <w:sz w:val="20"/>
                <w:szCs w:val="20"/>
                <w:color w:val="auto"/>
              </w:rPr>
            </w:pPr>
            <w:r>
              <w:rPr>
                <w:rFonts w:ascii="Arial" w:cs="Arial" w:eastAsia="Arial" w:hAnsi="Arial"/>
                <w:sz w:val="14"/>
                <w:szCs w:val="14"/>
                <w:color w:val="auto"/>
              </w:rPr>
              <w:t>Due in more than 10 years</w:t>
            </w:r>
          </w:p>
        </w:tc>
        <w:tc>
          <w:tcPr>
            <w:tcW w:w="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73,955,716</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w w:val="96"/>
              </w:rPr>
              <w:t>85,927,291</w:t>
            </w:r>
          </w:p>
        </w:tc>
      </w:tr>
      <w:tr>
        <w:trPr>
          <w:trHeight w:val="172"/>
        </w:trPr>
        <w:tc>
          <w:tcPr>
            <w:tcW w:w="3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Mortgage-backed securities</w:t>
            </w:r>
          </w:p>
        </w:tc>
        <w:tc>
          <w:tcPr>
            <w:tcW w:w="9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35,789,063</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36,264,337</w:t>
            </w:r>
          </w:p>
        </w:tc>
      </w:tr>
      <w:tr>
        <w:trPr>
          <w:trHeight w:val="172"/>
        </w:trPr>
        <w:tc>
          <w:tcPr>
            <w:tcW w:w="3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Redeemable preferred stock</w:t>
            </w:r>
          </w:p>
        </w:tc>
        <w:tc>
          <w:tcPr>
            <w:tcW w:w="9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364,339</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368,400</w:t>
            </w:r>
          </w:p>
        </w:tc>
      </w:tr>
      <w:tr>
        <w:trPr>
          <w:trHeight w:val="165"/>
        </w:trPr>
        <w:tc>
          <w:tcPr>
            <w:tcW w:w="3000" w:type="dxa"/>
            <w:vAlign w:val="bottom"/>
            <w:tcBorders>
              <w:bottom w:val="single" w:sz="8" w:color="CCEEFF"/>
            </w:tcBorders>
            <w:shd w:val="clear" w:color="auto" w:fill="CCEEFF"/>
          </w:tcPr>
          <w:p>
            <w:pPr>
              <w:ind w:left="300"/>
              <w:spacing w:after="0" w:line="159" w:lineRule="exact"/>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7"/>
              </w:rPr>
              <w:t>327,205,498</w:t>
            </w:r>
          </w:p>
        </w:tc>
        <w:tc>
          <w:tcPr>
            <w:tcW w:w="28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7"/>
              </w:rPr>
              <w:t>348,628,792</w:t>
            </w:r>
          </w:p>
        </w:tc>
      </w:tr>
      <w:tr>
        <w:trPr>
          <w:trHeight w:val="20"/>
        </w:trPr>
        <w:tc>
          <w:tcPr>
            <w:tcW w:w="30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jc w:val="both"/>
        <w:ind w:left="4" w:right="319"/>
        <w:spacing w:after="0" w:line="254" w:lineRule="auto"/>
        <w:rPr>
          <w:sz w:val="20"/>
          <w:szCs w:val="20"/>
          <w:color w:val="auto"/>
        </w:rPr>
      </w:pPr>
      <w:r>
        <w:rPr>
          <w:rFonts w:ascii="Arial" w:cs="Arial" w:eastAsia="Arial" w:hAnsi="Arial"/>
          <w:sz w:val="19"/>
          <w:szCs w:val="19"/>
          <w:color w:val="auto"/>
        </w:rPr>
        <w:t>The Company is a member of the Federal Home Loan Bank of Des Moines and Dallas (“FHLB”). The Company pledged a total of $100,000,000, par value, of United States Treasury fixed maturity securities with the FHLB at June 30, 2020. These securities are used as collateral on any cash borrowings from the FHLB. As of June 30, 2020, the Company owed $79,000,000 to the FHLB and its estimated remaining maximum borrowing capacity was $19,572,000.</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Investment Related Earnings</w:t>
      </w:r>
    </w:p>
    <w:p>
      <w:pPr>
        <w:spacing w:after="0" w:line="236" w:lineRule="exact"/>
        <w:rPr>
          <w:sz w:val="20"/>
          <w:szCs w:val="20"/>
          <w:color w:val="auto"/>
        </w:rPr>
      </w:pPr>
    </w:p>
    <w:p>
      <w:pPr>
        <w:jc w:val="both"/>
        <w:ind w:left="4" w:right="319"/>
        <w:spacing w:after="0" w:line="277" w:lineRule="auto"/>
        <w:rPr>
          <w:sz w:val="20"/>
          <w:szCs w:val="20"/>
          <w:color w:val="auto"/>
        </w:rPr>
      </w:pPr>
      <w:r>
        <w:rPr>
          <w:rFonts w:ascii="Arial" w:cs="Arial" w:eastAsia="Arial" w:hAnsi="Arial"/>
          <w:sz w:val="19"/>
          <w:szCs w:val="19"/>
          <w:color w:val="auto"/>
        </w:rPr>
        <w:t>The Company’s net realized gains and losses from sales, calls, and maturities, unrealized gains and losses on equity securities, and other than temporary impairments are summarized as follows:</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177"/>
        </w:trPr>
        <w:tc>
          <w:tcPr>
            <w:tcW w:w="3880" w:type="dxa"/>
            <w:vAlign w:val="bottom"/>
          </w:tcPr>
          <w:p>
            <w:pPr>
              <w:spacing w:after="0"/>
              <w:rPr>
                <w:sz w:val="15"/>
                <w:szCs w:val="15"/>
                <w:color w:val="auto"/>
              </w:rPr>
            </w:pPr>
          </w:p>
        </w:tc>
        <w:tc>
          <w:tcPr>
            <w:tcW w:w="2700" w:type="dxa"/>
            <w:vAlign w:val="bottom"/>
            <w:gridSpan w:val="6"/>
          </w:tcPr>
          <w:p>
            <w:pPr>
              <w:ind w:left="420"/>
              <w:spacing w:after="0"/>
              <w:rPr>
                <w:sz w:val="20"/>
                <w:szCs w:val="20"/>
                <w:color w:val="auto"/>
              </w:rPr>
            </w:pPr>
            <w:r>
              <w:rPr>
                <w:rFonts w:ascii="Arial" w:cs="Arial" w:eastAsia="Arial" w:hAnsi="Arial"/>
                <w:sz w:val="14"/>
                <w:szCs w:val="14"/>
                <w:color w:val="auto"/>
              </w:rPr>
              <w:t>Three Months Ended June 30</w:t>
            </w:r>
          </w:p>
        </w:tc>
        <w:tc>
          <w:tcPr>
            <w:tcW w:w="460" w:type="dxa"/>
            <w:vAlign w:val="bottom"/>
          </w:tcPr>
          <w:p>
            <w:pPr>
              <w:spacing w:after="0"/>
              <w:rPr>
                <w:sz w:val="15"/>
                <w:szCs w:val="15"/>
                <w:color w:val="auto"/>
              </w:rPr>
            </w:pPr>
          </w:p>
        </w:tc>
        <w:tc>
          <w:tcPr>
            <w:tcW w:w="2100" w:type="dxa"/>
            <w:vAlign w:val="bottom"/>
            <w:gridSpan w:val="4"/>
          </w:tcPr>
          <w:p>
            <w:pPr>
              <w:jc w:val="right"/>
              <w:ind w:right="450"/>
              <w:spacing w:after="0"/>
              <w:rPr>
                <w:sz w:val="20"/>
                <w:szCs w:val="20"/>
                <w:color w:val="auto"/>
              </w:rPr>
            </w:pPr>
            <w:r>
              <w:rPr>
                <w:rFonts w:ascii="Arial" w:cs="Arial" w:eastAsia="Arial" w:hAnsi="Arial"/>
                <w:sz w:val="14"/>
                <w:szCs w:val="14"/>
                <w:color w:val="auto"/>
                <w:w w:val="93"/>
              </w:rPr>
              <w:t>Six Months Ended June 30</w:t>
            </w:r>
          </w:p>
        </w:tc>
      </w:tr>
      <w:tr>
        <w:trPr>
          <w:trHeight w:val="204"/>
        </w:trPr>
        <w:tc>
          <w:tcPr>
            <w:tcW w:w="388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2020</w:t>
            </w:r>
          </w:p>
        </w:tc>
        <w:tc>
          <w:tcPr>
            <w:tcW w:w="200" w:type="dxa"/>
            <w:vAlign w:val="bottom"/>
            <w:tcBorders>
              <w:top w:val="single" w:sz="8" w:color="auto"/>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4"/>
                <w:szCs w:val="14"/>
                <w:color w:val="auto"/>
              </w:rPr>
              <w:t>2019</w:t>
            </w:r>
          </w:p>
        </w:tc>
        <w:tc>
          <w:tcPr>
            <w:tcW w:w="200" w:type="dxa"/>
            <w:vAlign w:val="bottom"/>
            <w:tcBorders>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ind w:right="370"/>
              <w:spacing w:after="0"/>
              <w:rPr>
                <w:sz w:val="20"/>
                <w:szCs w:val="20"/>
                <w:color w:val="auto"/>
              </w:rPr>
            </w:pPr>
            <w:r>
              <w:rPr>
                <w:rFonts w:ascii="Arial" w:cs="Arial" w:eastAsia="Arial" w:hAnsi="Arial"/>
                <w:sz w:val="14"/>
                <w:szCs w:val="14"/>
                <w:color w:val="auto"/>
              </w:rPr>
              <w:t>2020</w:t>
            </w:r>
          </w:p>
        </w:tc>
        <w:tc>
          <w:tcPr>
            <w:tcW w:w="28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gridSpan w:val="2"/>
          </w:tcPr>
          <w:p>
            <w:pPr>
              <w:jc w:val="right"/>
              <w:ind w:right="350"/>
              <w:spacing w:after="0"/>
              <w:rPr>
                <w:sz w:val="20"/>
                <w:szCs w:val="20"/>
                <w:color w:val="auto"/>
              </w:rPr>
            </w:pPr>
            <w:r>
              <w:rPr>
                <w:rFonts w:ascii="Arial" w:cs="Arial" w:eastAsia="Arial" w:hAnsi="Arial"/>
                <w:sz w:val="14"/>
                <w:szCs w:val="14"/>
                <w:color w:val="auto"/>
              </w:rPr>
              <w:t>2019</w:t>
            </w:r>
          </w:p>
        </w:tc>
      </w:tr>
      <w:tr>
        <w:trPr>
          <w:trHeight w:val="204"/>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Fixed maturity securities:</w:t>
            </w: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4"/>
        </w:trPr>
        <w:tc>
          <w:tcPr>
            <w:tcW w:w="3880" w:type="dxa"/>
            <w:vAlign w:val="bottom"/>
          </w:tcPr>
          <w:p>
            <w:pPr>
              <w:ind w:left="300"/>
              <w:spacing w:after="0"/>
              <w:rPr>
                <w:sz w:val="20"/>
                <w:szCs w:val="20"/>
                <w:color w:val="auto"/>
              </w:rPr>
            </w:pPr>
            <w:r>
              <w:rPr>
                <w:rFonts w:ascii="Arial" w:cs="Arial" w:eastAsia="Arial" w:hAnsi="Arial"/>
                <w:sz w:val="14"/>
                <w:szCs w:val="14"/>
                <w:color w:val="auto"/>
              </w:rPr>
              <w:t>Gross realized gains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55,138</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163,038</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150,959</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248,626</w:t>
            </w:r>
          </w:p>
        </w:tc>
      </w:tr>
      <w:tr>
        <w:trPr>
          <w:trHeight w:val="224"/>
        </w:trPr>
        <w:tc>
          <w:tcPr>
            <w:tcW w:w="3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Gross realized losses</w:t>
            </w: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(12,089)</w:t>
            </w: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(69,622)</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(12,089)</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(105,015)</w:t>
            </w:r>
          </w:p>
        </w:tc>
      </w:tr>
      <w:tr>
        <w:trPr>
          <w:trHeight w:val="172"/>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4"/>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4"/>
        </w:trPr>
        <w:tc>
          <w:tcPr>
            <w:tcW w:w="3880" w:type="dxa"/>
            <w:vAlign w:val="bottom"/>
          </w:tcPr>
          <w:p>
            <w:pPr>
              <w:ind w:left="300"/>
              <w:spacing w:after="0"/>
              <w:rPr>
                <w:sz w:val="20"/>
                <w:szCs w:val="20"/>
                <w:color w:val="auto"/>
              </w:rPr>
            </w:pPr>
            <w:r>
              <w:rPr>
                <w:rFonts w:ascii="Arial" w:cs="Arial" w:eastAsia="Arial" w:hAnsi="Arial"/>
                <w:sz w:val="14"/>
                <w:szCs w:val="14"/>
                <w:color w:val="auto"/>
              </w:rPr>
              <w:t>Gains (losses) on securities sold</w:t>
            </w:r>
          </w:p>
        </w:tc>
        <w:tc>
          <w:tcPr>
            <w:tcW w:w="5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(50,029)</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41,088</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(107,471)</w:t>
            </w: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52,664</w:t>
            </w:r>
          </w:p>
        </w:tc>
      </w:tr>
      <w:tr>
        <w:trPr>
          <w:trHeight w:val="272"/>
        </w:trPr>
        <w:tc>
          <w:tcPr>
            <w:tcW w:w="3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Unrealized gains and (losses) on securities held at the</w:t>
            </w:r>
          </w:p>
        </w:tc>
        <w:tc>
          <w:tcPr>
            <w:tcW w:w="5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177"/>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end of the period</w:t>
            </w:r>
          </w:p>
        </w:tc>
        <w:tc>
          <w:tcPr>
            <w:tcW w:w="5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1,738,059</w:t>
            </w: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14,016</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(1,023,797)</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775,224</w:t>
            </w:r>
          </w:p>
        </w:tc>
      </w:tr>
      <w:tr>
        <w:trPr>
          <w:trHeight w:val="172"/>
        </w:trPr>
        <w:tc>
          <w:tcPr>
            <w:tcW w:w="3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24"/>
        </w:trPr>
        <w:tc>
          <w:tcPr>
            <w:tcW w:w="388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8"/>
        </w:trPr>
        <w:tc>
          <w:tcPr>
            <w:tcW w:w="3880" w:type="dxa"/>
            <w:vAlign w:val="bottom"/>
          </w:tcPr>
          <w:p>
            <w:pPr>
              <w:ind w:left="300"/>
              <w:spacing w:after="0"/>
              <w:rPr>
                <w:sz w:val="20"/>
                <w:szCs w:val="20"/>
                <w:color w:val="auto"/>
              </w:rPr>
            </w:pPr>
            <w:r>
              <w:rPr>
                <w:rFonts w:ascii="Arial" w:cs="Arial" w:eastAsia="Arial" w:hAnsi="Arial"/>
                <w:sz w:val="14"/>
                <w:szCs w:val="14"/>
                <w:color w:val="auto"/>
              </w:rPr>
              <w:t>Gross realized gains</w:t>
            </w:r>
          </w:p>
        </w:tc>
        <w:tc>
          <w:tcPr>
            <w:tcW w:w="5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48,736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688,289</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505,764</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1,793,223</w:t>
            </w:r>
          </w:p>
        </w:tc>
      </w:tr>
      <w:tr>
        <w:trPr>
          <w:trHeight w:val="224"/>
        </w:trPr>
        <w:tc>
          <w:tcPr>
            <w:tcW w:w="38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Gross realized losses</w:t>
            </w:r>
          </w:p>
        </w:tc>
        <w:tc>
          <w:tcPr>
            <w:tcW w:w="5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458,464</w:t>
            </w:r>
          </w:p>
        </w:tc>
        <w:tc>
          <w:tcPr>
            <w:tcW w:w="2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(1,862,702)</w:t>
            </w:r>
          </w:p>
        </w:tc>
        <w:tc>
          <w:tcPr>
            <w:tcW w:w="2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(487,334)</w:t>
            </w:r>
          </w:p>
        </w:tc>
        <w:tc>
          <w:tcPr>
            <w:tcW w:w="2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(1,983,954)</w:t>
            </w:r>
          </w:p>
        </w:tc>
      </w:tr>
      <w:tr>
        <w:trPr>
          <w:trHeight w:val="204"/>
        </w:trPr>
        <w:tc>
          <w:tcPr>
            <w:tcW w:w="3880" w:type="dxa"/>
            <w:vAlign w:val="bottom"/>
          </w:tcPr>
          <w:p>
            <w:pPr>
              <w:ind w:left="440"/>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2,238,279</w:t>
            </w:r>
          </w:p>
        </w:tc>
        <w:tc>
          <w:tcPr>
            <w:tcW w:w="20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(1,025,893)</w:t>
            </w:r>
          </w:p>
        </w:tc>
        <w:tc>
          <w:tcPr>
            <w:tcW w:w="20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(973,968)</w:t>
            </w:r>
          </w:p>
        </w:tc>
        <w:tc>
          <w:tcPr>
            <w:tcW w:w="280" w:type="dxa"/>
            <w:vAlign w:val="bottom"/>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780,768</w:t>
            </w:r>
          </w:p>
        </w:tc>
      </w:tr>
      <w:tr>
        <w:trPr>
          <w:trHeight w:val="20"/>
        </w:trPr>
        <w:tc>
          <w:tcPr>
            <w:tcW w:w="38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left="4" w:right="319"/>
        <w:spacing w:after="0" w:line="277" w:lineRule="auto"/>
        <w:rPr>
          <w:sz w:val="20"/>
          <w:szCs w:val="20"/>
          <w:color w:val="auto"/>
        </w:rPr>
      </w:pPr>
      <w:r>
        <w:rPr>
          <w:rFonts w:ascii="Arial" w:cs="Arial" w:eastAsia="Arial" w:hAnsi="Arial"/>
          <w:sz w:val="19"/>
          <w:szCs w:val="19"/>
          <w:color w:val="auto"/>
        </w:rPr>
        <w:t>The net realized gains and losses on the sale of securities are recorded on the trade date, and the cost of the securities sold is determined using the specific identification method.</w:t>
      </w:r>
    </w:p>
    <w:p>
      <w:pPr>
        <w:spacing w:after="0" w:line="169" w:lineRule="exact"/>
        <w:rPr>
          <w:sz w:val="20"/>
          <w:szCs w:val="20"/>
          <w:color w:val="auto"/>
        </w:rPr>
      </w:pPr>
    </w:p>
    <w:p>
      <w:pPr>
        <w:jc w:val="both"/>
        <w:ind w:left="4" w:right="319"/>
        <w:spacing w:after="0" w:line="288" w:lineRule="auto"/>
        <w:rPr>
          <w:sz w:val="20"/>
          <w:szCs w:val="20"/>
          <w:color w:val="auto"/>
        </w:rPr>
      </w:pPr>
      <w:r>
        <w:rPr>
          <w:rFonts w:ascii="Arial" w:cs="Arial" w:eastAsia="Arial" w:hAnsi="Arial"/>
          <w:sz w:val="17"/>
          <w:szCs w:val="17"/>
          <w:color w:val="auto"/>
        </w:rPr>
        <w:t>On December 31, 2019, the Company changed the classification of its bond and preferred stock investments from held to maturity to available for sale based on the Company’s need to be able to respond proactively to market risks in managing its portfolio. Proceeds received from the sale of fixed maturity available for sale securities for the six months ended June 30, 2020, were $2,753,331, and resulted in gross realized gains and gross realized losses of $133,339 and $137, respectively. The carrying amount of held to maturity securities sold for the six months ended June 30, 2019 was $662,972 and the net realized loss related to these sales was $53,097.</w:t>
      </w:r>
    </w:p>
    <w:p>
      <w:pPr>
        <w:spacing w:after="0" w:line="177"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1440" w:gutter="0" w:footer="0" w:header="0"/>
        </w:sectPr>
      </w:pPr>
    </w:p>
    <w:bookmarkStart w:id="16" w:name="page17"/>
    <w:bookmarkEnd w:id="16"/>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336" w:lineRule="exact"/>
        <w:rPr>
          <w:sz w:val="20"/>
          <w:szCs w:val="20"/>
          <w:color w:val="auto"/>
        </w:rPr>
      </w:pPr>
    </w:p>
    <w:p>
      <w:pPr>
        <w:ind w:left="4"/>
        <w:spacing w:after="0"/>
        <w:rPr>
          <w:sz w:val="20"/>
          <w:szCs w:val="20"/>
          <w:color w:val="auto"/>
        </w:rPr>
      </w:pPr>
      <w:r>
        <w:rPr>
          <w:rFonts w:ascii="Arial" w:cs="Arial" w:eastAsia="Arial" w:hAnsi="Arial"/>
          <w:sz w:val="19"/>
          <w:szCs w:val="19"/>
          <w:color w:val="auto"/>
        </w:rPr>
        <w:t>Major categories of net investment income are as follows:</w:t>
      </w:r>
    </w:p>
    <w:p>
      <w:pPr>
        <w:spacing w:after="0" w:line="200" w:lineRule="exact"/>
        <w:rPr>
          <w:sz w:val="20"/>
          <w:szCs w:val="20"/>
          <w:color w:val="auto"/>
        </w:rPr>
      </w:pPr>
    </w:p>
    <w:p>
      <w:pPr>
        <w:spacing w:after="0" w:line="280" w:lineRule="exact"/>
        <w:rPr>
          <w:sz w:val="20"/>
          <w:szCs w:val="20"/>
          <w:color w:val="auto"/>
        </w:rPr>
      </w:pPr>
    </w:p>
    <w:tbl>
      <w:tblPr>
        <w:tblLayout w:type="fixed"/>
        <w:tblInd w:w="4" w:type="dxa"/>
        <w:tblCellMar>
          <w:top w:w="0" w:type="dxa"/>
          <w:left w:w="0" w:type="dxa"/>
          <w:bottom w:w="0" w:type="dxa"/>
          <w:right w:w="0" w:type="dxa"/>
        </w:tblCellMar>
      </w:tblPr>
      <w:tr>
        <w:trPr>
          <w:trHeight w:val="177"/>
        </w:trPr>
        <w:tc>
          <w:tcPr>
            <w:tcW w:w="33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40" w:type="dxa"/>
            <w:vAlign w:val="bottom"/>
            <w:gridSpan w:val="5"/>
          </w:tcPr>
          <w:p>
            <w:pPr>
              <w:spacing w:after="0"/>
              <w:rPr>
                <w:sz w:val="20"/>
                <w:szCs w:val="20"/>
                <w:color w:val="auto"/>
              </w:rPr>
            </w:pPr>
            <w:r>
              <w:rPr>
                <w:rFonts w:ascii="Arial" w:cs="Arial" w:eastAsia="Arial" w:hAnsi="Arial"/>
                <w:sz w:val="14"/>
                <w:szCs w:val="14"/>
                <w:color w:val="auto"/>
              </w:rPr>
              <w:t>Three Months Ended June 30</w:t>
            </w:r>
          </w:p>
        </w:tc>
        <w:tc>
          <w:tcPr>
            <w:tcW w:w="520" w:type="dxa"/>
            <w:vAlign w:val="bottom"/>
          </w:tcPr>
          <w:p>
            <w:pPr>
              <w:spacing w:after="0"/>
              <w:rPr>
                <w:sz w:val="15"/>
                <w:szCs w:val="15"/>
                <w:color w:val="auto"/>
              </w:rPr>
            </w:pPr>
          </w:p>
        </w:tc>
        <w:tc>
          <w:tcPr>
            <w:tcW w:w="2140" w:type="dxa"/>
            <w:vAlign w:val="bottom"/>
            <w:gridSpan w:val="4"/>
          </w:tcPr>
          <w:p>
            <w:pPr>
              <w:jc w:val="right"/>
              <w:ind w:right="490"/>
              <w:spacing w:after="0"/>
              <w:rPr>
                <w:sz w:val="20"/>
                <w:szCs w:val="20"/>
                <w:color w:val="auto"/>
              </w:rPr>
            </w:pPr>
            <w:r>
              <w:rPr>
                <w:rFonts w:ascii="Arial" w:cs="Arial" w:eastAsia="Arial" w:hAnsi="Arial"/>
                <w:sz w:val="14"/>
                <w:szCs w:val="14"/>
                <w:color w:val="auto"/>
                <w:w w:val="93"/>
              </w:rPr>
              <w:t>Six Months Ended June 30</w:t>
            </w:r>
          </w:p>
        </w:tc>
      </w:tr>
      <w:tr>
        <w:trPr>
          <w:trHeight w:val="244"/>
        </w:trPr>
        <w:tc>
          <w:tcPr>
            <w:tcW w:w="338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ind w:right="390"/>
              <w:spacing w:after="0"/>
              <w:rPr>
                <w:sz w:val="20"/>
                <w:szCs w:val="20"/>
                <w:color w:val="auto"/>
              </w:rPr>
            </w:pPr>
            <w:r>
              <w:rPr>
                <w:rFonts w:ascii="Arial" w:cs="Arial" w:eastAsia="Arial" w:hAnsi="Arial"/>
                <w:sz w:val="14"/>
                <w:szCs w:val="14"/>
                <w:color w:val="auto"/>
              </w:rPr>
              <w:t>2020</w:t>
            </w:r>
          </w:p>
        </w:tc>
        <w:tc>
          <w:tcPr>
            <w:tcW w:w="180" w:type="dxa"/>
            <w:vAlign w:val="bottom"/>
            <w:tcBorders>
              <w:top w:val="single" w:sz="8" w:color="auto"/>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4"/>
                <w:szCs w:val="14"/>
                <w:color w:val="auto"/>
              </w:rPr>
              <w:t>2020</w:t>
            </w:r>
          </w:p>
        </w:tc>
        <w:tc>
          <w:tcPr>
            <w:tcW w:w="180" w:type="dxa"/>
            <w:vAlign w:val="bottom"/>
            <w:tcBorders>
              <w:top w:val="single" w:sz="8" w:color="auto"/>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ind w:right="410"/>
              <w:spacing w:after="0"/>
              <w:rPr>
                <w:sz w:val="20"/>
                <w:szCs w:val="20"/>
                <w:color w:val="auto"/>
              </w:rPr>
            </w:pPr>
            <w:r>
              <w:rPr>
                <w:rFonts w:ascii="Arial" w:cs="Arial" w:eastAsia="Arial" w:hAnsi="Arial"/>
                <w:sz w:val="14"/>
                <w:szCs w:val="14"/>
                <w:color w:val="auto"/>
              </w:rPr>
              <w:t>2019</w:t>
            </w:r>
          </w:p>
        </w:tc>
      </w:tr>
      <w:tr>
        <w:trPr>
          <w:trHeight w:val="244"/>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Fixed maturity securities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3,143,072</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2,528,689</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6,067,786</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5,032,554</w:t>
            </w:r>
          </w:p>
        </w:tc>
      </w:tr>
      <w:tr>
        <w:trPr>
          <w:trHeight w:val="264"/>
        </w:trPr>
        <w:tc>
          <w:tcPr>
            <w:tcW w:w="3380" w:type="dxa"/>
            <w:vAlign w:val="bottom"/>
          </w:tcPr>
          <w:p>
            <w:pPr>
              <w:spacing w:after="0"/>
              <w:rPr>
                <w:sz w:val="20"/>
                <w:szCs w:val="20"/>
                <w:color w:val="auto"/>
              </w:rPr>
            </w:pPr>
            <w:r>
              <w:rPr>
                <w:rFonts w:ascii="Arial" w:cs="Arial" w:eastAsia="Arial" w:hAnsi="Arial"/>
                <w:sz w:val="14"/>
                <w:szCs w:val="14"/>
                <w:color w:val="auto"/>
              </w:rPr>
              <w:t>Equity securities</w:t>
            </w:r>
          </w:p>
        </w:tc>
        <w:tc>
          <w:tcPr>
            <w:tcW w:w="4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111,122</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74,730</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203,164</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152,651</w:t>
            </w:r>
          </w:p>
        </w:tc>
      </w:tr>
      <w:tr>
        <w:trPr>
          <w:trHeight w:val="264"/>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Mortgage loans held for investment</w:t>
            </w:r>
          </w:p>
        </w:tc>
        <w:tc>
          <w:tcPr>
            <w:tcW w:w="4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5,582,152</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4,525,817</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11,236,042</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8,629,184</w:t>
            </w:r>
          </w:p>
        </w:tc>
      </w:tr>
      <w:tr>
        <w:trPr>
          <w:trHeight w:val="264"/>
        </w:trPr>
        <w:tc>
          <w:tcPr>
            <w:tcW w:w="3380" w:type="dxa"/>
            <w:vAlign w:val="bottom"/>
          </w:tcPr>
          <w:p>
            <w:pPr>
              <w:spacing w:after="0"/>
              <w:rPr>
                <w:sz w:val="20"/>
                <w:szCs w:val="20"/>
                <w:color w:val="auto"/>
              </w:rPr>
            </w:pPr>
            <w:r>
              <w:rPr>
                <w:rFonts w:ascii="Arial" w:cs="Arial" w:eastAsia="Arial" w:hAnsi="Arial"/>
                <w:sz w:val="14"/>
                <w:szCs w:val="14"/>
                <w:color w:val="auto"/>
              </w:rPr>
              <w:t>Real estate held for investment</w:t>
            </w:r>
          </w:p>
        </w:tc>
        <w:tc>
          <w:tcPr>
            <w:tcW w:w="4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2,787,881</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2,096,927</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5,941,267</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4,007,221</w:t>
            </w:r>
          </w:p>
        </w:tc>
      </w:tr>
      <w:tr>
        <w:trPr>
          <w:trHeight w:val="264"/>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Policy loans</w:t>
            </w:r>
          </w:p>
        </w:tc>
        <w:tc>
          <w:tcPr>
            <w:tcW w:w="4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257,527</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106,905</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491,492</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195,042</w:t>
            </w:r>
          </w:p>
        </w:tc>
      </w:tr>
      <w:tr>
        <w:trPr>
          <w:trHeight w:val="264"/>
        </w:trPr>
        <w:tc>
          <w:tcPr>
            <w:tcW w:w="3380" w:type="dxa"/>
            <w:vAlign w:val="bottom"/>
          </w:tcPr>
          <w:p>
            <w:pPr>
              <w:spacing w:after="0"/>
              <w:rPr>
                <w:sz w:val="20"/>
                <w:szCs w:val="20"/>
                <w:color w:val="auto"/>
              </w:rPr>
            </w:pPr>
            <w:r>
              <w:rPr>
                <w:rFonts w:ascii="Arial" w:cs="Arial" w:eastAsia="Arial" w:hAnsi="Arial"/>
                <w:sz w:val="14"/>
                <w:szCs w:val="14"/>
                <w:color w:val="auto"/>
              </w:rPr>
              <w:t>Insurance assignments</w:t>
            </w:r>
          </w:p>
        </w:tc>
        <w:tc>
          <w:tcPr>
            <w:tcW w:w="4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4,383,398</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3,906,832</w:t>
            </w: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8,682,602</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8,118,952</w:t>
            </w:r>
          </w:p>
        </w:tc>
      </w:tr>
      <w:tr>
        <w:trPr>
          <w:trHeight w:val="264"/>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Other investments</w:t>
            </w:r>
          </w:p>
        </w:tc>
        <w:tc>
          <w:tcPr>
            <w:tcW w:w="4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52,130</w:t>
            </w:r>
          </w:p>
        </w:tc>
        <w:tc>
          <w:tcPr>
            <w:tcW w:w="1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25,421</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106,678</w:t>
            </w:r>
          </w:p>
        </w:tc>
      </w:tr>
      <w:tr>
        <w:trPr>
          <w:trHeight w:val="264"/>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Cash and cash equivalents</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22,385</w:t>
            </w:r>
          </w:p>
        </w:tc>
        <w:tc>
          <w:tcPr>
            <w:tcW w:w="1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465,959</w:t>
            </w:r>
          </w:p>
        </w:tc>
        <w:tc>
          <w:tcPr>
            <w:tcW w:w="1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320,390</w:t>
            </w:r>
          </w:p>
        </w:tc>
        <w:tc>
          <w:tcPr>
            <w:tcW w:w="1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964,876</w:t>
            </w:r>
          </w:p>
        </w:tc>
      </w:tr>
      <w:tr>
        <w:trPr>
          <w:trHeight w:val="244"/>
        </w:trPr>
        <w:tc>
          <w:tcPr>
            <w:tcW w:w="3380" w:type="dxa"/>
            <w:vAlign w:val="bottom"/>
            <w:shd w:val="clear" w:color="auto" w:fill="CCEEFF"/>
          </w:tcPr>
          <w:p>
            <w:pPr>
              <w:spacing w:after="0"/>
              <w:rPr>
                <w:sz w:val="20"/>
                <w:szCs w:val="20"/>
                <w:color w:val="auto"/>
              </w:rPr>
            </w:pPr>
            <w:r>
              <w:rPr>
                <w:rFonts w:ascii="Arial" w:cs="Arial" w:eastAsia="Arial" w:hAnsi="Arial"/>
                <w:sz w:val="14"/>
                <w:szCs w:val="14"/>
                <w:color w:val="auto"/>
              </w:rPr>
              <w:t>Gross investment income</w:t>
            </w:r>
          </w:p>
        </w:tc>
        <w:tc>
          <w:tcPr>
            <w:tcW w:w="4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16,287,935</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13,757,989</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32,968,164</w:t>
            </w: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27,207,158</w:t>
            </w:r>
          </w:p>
        </w:tc>
      </w:tr>
      <w:tr>
        <w:trPr>
          <w:trHeight w:val="264"/>
        </w:trPr>
        <w:tc>
          <w:tcPr>
            <w:tcW w:w="3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Investment expenses</w:t>
            </w: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(3,325,190)</w:t>
            </w:r>
          </w:p>
        </w:tc>
        <w:tc>
          <w:tcPr>
            <w:tcW w:w="1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(3,217,154)</w:t>
            </w:r>
          </w:p>
        </w:tc>
        <w:tc>
          <w:tcPr>
            <w:tcW w:w="1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(6,604,920)</w:t>
            </w:r>
          </w:p>
        </w:tc>
        <w:tc>
          <w:tcPr>
            <w:tcW w:w="1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(6,624,655)</w:t>
            </w:r>
          </w:p>
        </w:tc>
      </w:tr>
      <w:tr>
        <w:trPr>
          <w:trHeight w:val="244"/>
        </w:trPr>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investment income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12,962,745</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10,540,835</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26,363,244</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20,582,503</w:t>
            </w:r>
          </w:p>
        </w:tc>
      </w:tr>
      <w:tr>
        <w:trPr>
          <w:trHeight w:val="20"/>
        </w:trPr>
        <w:tc>
          <w:tcPr>
            <w:tcW w:w="3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jc w:val="both"/>
        <w:ind w:left="4" w:right="319"/>
        <w:spacing w:after="0" w:line="261" w:lineRule="auto"/>
        <w:rPr>
          <w:sz w:val="20"/>
          <w:szCs w:val="20"/>
          <w:color w:val="auto"/>
        </w:rPr>
      </w:pPr>
      <w:r>
        <w:rPr>
          <w:rFonts w:ascii="Arial" w:cs="Arial" w:eastAsia="Arial" w:hAnsi="Arial"/>
          <w:sz w:val="19"/>
          <w:szCs w:val="19"/>
          <w:color w:val="auto"/>
        </w:rPr>
        <w:t>Net investment income includes income earned by the restricted assets cemeteries and mortuaries of $140,093 and $134,229 for the three months ended June 30, 2020 and 2019, respectively, and $250,732 and $220,516 for the six months ended June 30, 2020 and 2019, respectively.</w:t>
      </w:r>
    </w:p>
    <w:p>
      <w:pPr>
        <w:spacing w:after="0" w:line="357" w:lineRule="exact"/>
        <w:rPr>
          <w:sz w:val="20"/>
          <w:szCs w:val="20"/>
          <w:color w:val="auto"/>
        </w:rPr>
      </w:pPr>
    </w:p>
    <w:p>
      <w:pPr>
        <w:ind w:left="4"/>
        <w:spacing w:after="0"/>
        <w:rPr>
          <w:sz w:val="20"/>
          <w:szCs w:val="20"/>
          <w:color w:val="auto"/>
        </w:rPr>
      </w:pPr>
      <w:r>
        <w:rPr>
          <w:rFonts w:ascii="Arial" w:cs="Arial" w:eastAsia="Arial" w:hAnsi="Arial"/>
          <w:sz w:val="19"/>
          <w:szCs w:val="19"/>
          <w:color w:val="auto"/>
        </w:rPr>
        <w:t>Net investment income on real estate consists primarily of rental revenue.</w:t>
      </w:r>
    </w:p>
    <w:p>
      <w:pPr>
        <w:spacing w:after="0" w:line="200" w:lineRule="exact"/>
        <w:rPr>
          <w:sz w:val="20"/>
          <w:szCs w:val="20"/>
          <w:color w:val="auto"/>
        </w:rPr>
      </w:pPr>
    </w:p>
    <w:p>
      <w:pPr>
        <w:spacing w:after="0" w:line="215" w:lineRule="exact"/>
        <w:rPr>
          <w:sz w:val="20"/>
          <w:szCs w:val="20"/>
          <w:color w:val="auto"/>
        </w:rPr>
      </w:pPr>
    </w:p>
    <w:p>
      <w:pPr>
        <w:jc w:val="both"/>
        <w:ind w:left="4" w:right="319"/>
        <w:spacing w:after="0" w:line="277" w:lineRule="auto"/>
        <w:rPr>
          <w:sz w:val="20"/>
          <w:szCs w:val="20"/>
          <w:color w:val="auto"/>
        </w:rPr>
      </w:pPr>
      <w:r>
        <w:rPr>
          <w:rFonts w:ascii="Arial" w:cs="Arial" w:eastAsia="Arial" w:hAnsi="Arial"/>
          <w:sz w:val="19"/>
          <w:szCs w:val="19"/>
          <w:color w:val="auto"/>
        </w:rPr>
        <w:t>Investment expenses consist primarily of depreciation, property taxes, operating expenses of real estate and an estimated portion of administrative expenses relating to investment activities.</w:t>
      </w:r>
    </w:p>
    <w:p>
      <w:pPr>
        <w:spacing w:after="0" w:line="341" w:lineRule="exact"/>
        <w:rPr>
          <w:sz w:val="20"/>
          <w:szCs w:val="20"/>
          <w:color w:val="auto"/>
        </w:rPr>
      </w:pPr>
    </w:p>
    <w:p>
      <w:pPr>
        <w:jc w:val="both"/>
        <w:ind w:left="4" w:right="319"/>
        <w:spacing w:after="0" w:line="261" w:lineRule="auto"/>
        <w:rPr>
          <w:sz w:val="20"/>
          <w:szCs w:val="20"/>
          <w:color w:val="auto"/>
        </w:rPr>
      </w:pPr>
      <w:r>
        <w:rPr>
          <w:rFonts w:ascii="Arial" w:cs="Arial" w:eastAsia="Arial" w:hAnsi="Arial"/>
          <w:sz w:val="19"/>
          <w:szCs w:val="19"/>
          <w:color w:val="auto"/>
        </w:rPr>
        <w:t>Securities on deposit with regulatory authorities as required by law amounted to $9,632,398 at June 30, 2020 and $9,633,818 at December 31, 2019. These restricted securities are included in various assets under investments on the accompanying condensed consolidated balance sheets.</w:t>
      </w:r>
    </w:p>
    <w:p>
      <w:pPr>
        <w:spacing w:after="0" w:line="357" w:lineRule="exact"/>
        <w:rPr>
          <w:sz w:val="20"/>
          <w:szCs w:val="20"/>
          <w:color w:val="auto"/>
        </w:rPr>
      </w:pPr>
    </w:p>
    <w:p>
      <w:pPr>
        <w:jc w:val="both"/>
        <w:ind w:left="4" w:right="319"/>
        <w:spacing w:after="0" w:line="261" w:lineRule="auto"/>
        <w:rPr>
          <w:sz w:val="20"/>
          <w:szCs w:val="20"/>
          <w:color w:val="auto"/>
        </w:rPr>
      </w:pPr>
      <w:r>
        <w:rPr>
          <w:rFonts w:ascii="Arial" w:cs="Arial" w:eastAsia="Arial" w:hAnsi="Arial"/>
          <w:sz w:val="19"/>
          <w:szCs w:val="19"/>
          <w:color w:val="auto"/>
        </w:rPr>
        <w:t>There were no investments, aggregated by issuer, in excess of 10% of shareholders’ equity (before net unrealized gains and losses on equity securities and fixed maturity securities) at June 30, 2020, other than investments issued or guaranteed by the United States Government.</w:t>
      </w:r>
    </w:p>
    <w:p>
      <w:pPr>
        <w:spacing w:after="0" w:line="364"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Real Estate Held for Investment and Held for Sale</w:t>
      </w:r>
    </w:p>
    <w:p>
      <w:pPr>
        <w:spacing w:after="0" w:line="200" w:lineRule="exact"/>
        <w:rPr>
          <w:sz w:val="20"/>
          <w:szCs w:val="20"/>
          <w:color w:val="auto"/>
        </w:rPr>
      </w:pPr>
    </w:p>
    <w:p>
      <w:pPr>
        <w:spacing w:after="0" w:line="208" w:lineRule="exact"/>
        <w:rPr>
          <w:sz w:val="20"/>
          <w:szCs w:val="20"/>
          <w:color w:val="auto"/>
        </w:rPr>
      </w:pPr>
    </w:p>
    <w:p>
      <w:pPr>
        <w:jc w:val="both"/>
        <w:ind w:left="4" w:right="319"/>
        <w:spacing w:after="0" w:line="261" w:lineRule="auto"/>
        <w:rPr>
          <w:sz w:val="20"/>
          <w:szCs w:val="20"/>
          <w:color w:val="auto"/>
        </w:rPr>
      </w:pPr>
      <w:r>
        <w:rPr>
          <w:rFonts w:ascii="Arial" w:cs="Arial" w:eastAsia="Arial" w:hAnsi="Arial"/>
          <w:sz w:val="19"/>
          <w:szCs w:val="19"/>
          <w:color w:val="auto"/>
        </w:rPr>
        <w:t>The Company continues to strategically deploy resources into real estate to match the income and yield durations of its primary obligations. The sources for these real estate assets come through its various business units in the form of acquisition, development and mortgage foreclosures.</w:t>
      </w:r>
    </w:p>
    <w:p>
      <w:pPr>
        <w:spacing w:after="0" w:line="357"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Commercial Real Estate Held for Investment and Held for Sale</w:t>
      </w:r>
    </w:p>
    <w:p>
      <w:pPr>
        <w:spacing w:after="0" w:line="200" w:lineRule="exact"/>
        <w:rPr>
          <w:sz w:val="20"/>
          <w:szCs w:val="20"/>
          <w:color w:val="auto"/>
        </w:rPr>
      </w:pPr>
    </w:p>
    <w:p>
      <w:pPr>
        <w:spacing w:after="0" w:line="202" w:lineRule="exact"/>
        <w:rPr>
          <w:sz w:val="20"/>
          <w:szCs w:val="20"/>
          <w:color w:val="auto"/>
        </w:rPr>
      </w:pPr>
    </w:p>
    <w:p>
      <w:pPr>
        <w:jc w:val="both"/>
        <w:ind w:left="4" w:right="319"/>
        <w:spacing w:after="0" w:line="296" w:lineRule="auto"/>
        <w:rPr>
          <w:sz w:val="20"/>
          <w:szCs w:val="20"/>
          <w:color w:val="auto"/>
        </w:rPr>
      </w:pPr>
      <w:r>
        <w:rPr>
          <w:rFonts w:ascii="Arial" w:cs="Arial" w:eastAsia="Arial" w:hAnsi="Arial"/>
          <w:sz w:val="17"/>
          <w:szCs w:val="17"/>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184"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1440" w:gutter="0" w:footer="0" w:header="0"/>
        </w:sectPr>
      </w:pPr>
    </w:p>
    <w:bookmarkStart w:id="17" w:name="page18"/>
    <w:bookmarkEnd w:id="17"/>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336" w:lineRule="exact"/>
        <w:rPr>
          <w:sz w:val="20"/>
          <w:szCs w:val="20"/>
          <w:color w:val="auto"/>
        </w:rPr>
      </w:pPr>
    </w:p>
    <w:p>
      <w:pPr>
        <w:jc w:val="both"/>
        <w:ind w:left="4" w:right="319"/>
        <w:spacing w:after="0" w:line="254" w:lineRule="auto"/>
        <w:rPr>
          <w:sz w:val="20"/>
          <w:szCs w:val="20"/>
          <w:color w:val="auto"/>
        </w:rPr>
      </w:pPr>
      <w:r>
        <w:rPr>
          <w:rFonts w:ascii="Arial" w:cs="Arial" w:eastAsia="Arial" w:hAnsi="Arial"/>
          <w:sz w:val="19"/>
          <w:szCs w:val="19"/>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pacing w:after="0" w:line="376" w:lineRule="exact"/>
        <w:rPr>
          <w:sz w:val="20"/>
          <w:szCs w:val="20"/>
          <w:color w:val="auto"/>
        </w:rPr>
      </w:pPr>
    </w:p>
    <w:p>
      <w:pPr>
        <w:jc w:val="both"/>
        <w:ind w:left="4" w:right="319"/>
        <w:spacing w:after="0" w:line="271" w:lineRule="auto"/>
        <w:rPr>
          <w:sz w:val="20"/>
          <w:szCs w:val="20"/>
          <w:color w:val="auto"/>
        </w:rPr>
      </w:pPr>
      <w:r>
        <w:rPr>
          <w:rFonts w:ascii="Arial" w:cs="Arial" w:eastAsia="Arial" w:hAnsi="Arial"/>
          <w:sz w:val="18"/>
          <w:szCs w:val="18"/>
          <w:color w:val="auto"/>
        </w:rPr>
        <w:t>The Company currently owns and operates 13 commercial properties in 5 states. These properties include office buildings, an assisted living facility, a funeral home, flex office space, and includes the redevelopment and expansion of its corporate campus (“Center53”) in Salt Lake City, Utah. The Company also holds undeveloped land that may be used for future commercial developments. The Company uses bank debt in strategic cases to leverage established yields or to acquire a higher quality or different class of asset.</w:t>
      </w:r>
    </w:p>
    <w:p>
      <w:pPr>
        <w:spacing w:after="0" w:line="350" w:lineRule="exact"/>
        <w:rPr>
          <w:sz w:val="20"/>
          <w:szCs w:val="20"/>
          <w:color w:val="auto"/>
        </w:rPr>
      </w:pPr>
    </w:p>
    <w:p>
      <w:pPr>
        <w:jc w:val="both"/>
        <w:ind w:left="4" w:right="319"/>
        <w:spacing w:after="0" w:line="256" w:lineRule="auto"/>
        <w:rPr>
          <w:sz w:val="20"/>
          <w:szCs w:val="20"/>
          <w:color w:val="auto"/>
        </w:rPr>
      </w:pPr>
      <w:r>
        <w:rPr>
          <w:rFonts w:ascii="Arial" w:cs="Arial" w:eastAsia="Arial" w:hAnsi="Arial"/>
          <w:sz w:val="19"/>
          <w:szCs w:val="19"/>
          <w:color w:val="auto"/>
        </w:rPr>
        <w:t>The aggregated net ending balance of commercial real estate that serves as collateral for bank borrowings was approximately $70,578,000 and $87,815,000 as of June 30, 2020 and December 31, 2019, respectively. The associated bank loan carrying values totaled approximately $47,068,000 and $54,917,000 as of June 30, 2020 and December 31, 2019, respectively.</w:t>
      </w:r>
    </w:p>
    <w:p>
      <w:pPr>
        <w:spacing w:after="0" w:line="362" w:lineRule="exact"/>
        <w:rPr>
          <w:sz w:val="20"/>
          <w:szCs w:val="20"/>
          <w:color w:val="auto"/>
        </w:rPr>
      </w:pPr>
    </w:p>
    <w:p>
      <w:pPr>
        <w:jc w:val="both"/>
        <w:ind w:left="4" w:right="319"/>
        <w:spacing w:after="0" w:line="252" w:lineRule="auto"/>
        <w:rPr>
          <w:sz w:val="20"/>
          <w:szCs w:val="20"/>
          <w:color w:val="auto"/>
        </w:rPr>
      </w:pPr>
      <w:r>
        <w:rPr>
          <w:rFonts w:ascii="Arial" w:cs="Arial" w:eastAsia="Arial" w:hAnsi="Arial"/>
          <w:sz w:val="19"/>
          <w:szCs w:val="19"/>
          <w:color w:val="auto"/>
        </w:rPr>
        <w:t>During the three months ended June 30, 2020 and 2019, the Company recorded impairment losses on commercial real estate held for sale of $15,551 and $-0-, respectively. During the six months ended June 30, 2020 and 2019, the Company recorded impairment losses on commercial real estate held for sale of $46,980 and $1,867,197, respectively. These impairment losses relate to an office building held by the life insurance segment. Impairment losses are included in gains (losses) on investment and other assets on the condensed consolidated statements of earnings.</w:t>
      </w:r>
    </w:p>
    <w:p>
      <w:pPr>
        <w:spacing w:after="0" w:line="380" w:lineRule="exact"/>
        <w:rPr>
          <w:sz w:val="20"/>
          <w:szCs w:val="20"/>
          <w:color w:val="auto"/>
        </w:rPr>
      </w:pPr>
    </w:p>
    <w:p>
      <w:pPr>
        <w:jc w:val="both"/>
        <w:ind w:left="4" w:right="319"/>
        <w:spacing w:after="0" w:line="277" w:lineRule="auto"/>
        <w:rPr>
          <w:sz w:val="20"/>
          <w:szCs w:val="20"/>
          <w:color w:val="auto"/>
        </w:rPr>
      </w:pPr>
      <w:r>
        <w:rPr>
          <w:rFonts w:ascii="Arial" w:cs="Arial" w:eastAsia="Arial" w:hAnsi="Arial"/>
          <w:sz w:val="19"/>
          <w:szCs w:val="19"/>
          <w:color w:val="auto"/>
        </w:rPr>
        <w:t>The following is a summary of the Company’s commercial real estate held for investment for the periods presented:</w:t>
      </w:r>
    </w:p>
    <w:p>
      <w:pPr>
        <w:spacing w:after="0" w:line="352" w:lineRule="exact"/>
        <w:rPr>
          <w:sz w:val="20"/>
          <w:szCs w:val="20"/>
          <w:color w:val="auto"/>
        </w:rPr>
      </w:pPr>
    </w:p>
    <w:tbl>
      <w:tblPr>
        <w:tblLayout w:type="fixed"/>
        <w:tblInd w:w="4" w:type="dxa"/>
        <w:tblCellMar>
          <w:top w:w="0" w:type="dxa"/>
          <w:left w:w="0" w:type="dxa"/>
          <w:bottom w:w="0" w:type="dxa"/>
          <w:right w:w="0" w:type="dxa"/>
        </w:tblCellMar>
      </w:tblPr>
      <w:tr>
        <w:trPr>
          <w:trHeight w:val="179"/>
        </w:trPr>
        <w:tc>
          <w:tcPr>
            <w:tcW w:w="122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color w:val="auto"/>
              </w:rPr>
              <w:t>Net Ending Balance</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gridSpan w:val="3"/>
          </w:tcPr>
          <w:p>
            <w:pPr>
              <w:jc w:val="right"/>
              <w:ind w:right="470"/>
              <w:spacing w:after="0"/>
              <w:rPr>
                <w:sz w:val="20"/>
                <w:szCs w:val="20"/>
                <w:color w:val="auto"/>
              </w:rPr>
            </w:pPr>
            <w:r>
              <w:rPr>
                <w:rFonts w:ascii="Arial" w:cs="Arial" w:eastAsia="Arial" w:hAnsi="Arial"/>
                <w:sz w:val="14"/>
                <w:szCs w:val="14"/>
                <w:color w:val="auto"/>
              </w:rPr>
              <w:t>Total Square Footage</w:t>
            </w:r>
          </w:p>
        </w:tc>
      </w:tr>
      <w:tr>
        <w:trPr>
          <w:trHeight w:val="349"/>
        </w:trPr>
        <w:tc>
          <w:tcPr>
            <w:tcW w:w="1220" w:type="dxa"/>
            <w:vAlign w:val="bottom"/>
          </w:tcPr>
          <w:p>
            <w:pPr>
              <w:spacing w:after="0"/>
              <w:rPr>
                <w:sz w:val="24"/>
                <w:szCs w:val="24"/>
                <w:color w:val="auto"/>
              </w:rPr>
            </w:pPr>
          </w:p>
        </w:tc>
        <w:tc>
          <w:tcPr>
            <w:tcW w:w="1240" w:type="dxa"/>
            <w:vAlign w:val="bottom"/>
            <w:gridSpan w:val="2"/>
          </w:tcPr>
          <w:p>
            <w:pPr>
              <w:ind w:left="360"/>
              <w:spacing w:after="0"/>
              <w:rPr>
                <w:sz w:val="20"/>
                <w:szCs w:val="20"/>
                <w:color w:val="auto"/>
              </w:rPr>
            </w:pPr>
            <w:r>
              <w:rPr>
                <w:rFonts w:ascii="Arial" w:cs="Arial" w:eastAsia="Arial" w:hAnsi="Arial"/>
                <w:sz w:val="14"/>
                <w:szCs w:val="14"/>
                <w:color w:val="auto"/>
              </w:rPr>
              <w:t>June 30</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60"/>
              <w:spacing w:after="0"/>
              <w:rPr>
                <w:sz w:val="20"/>
                <w:szCs w:val="20"/>
                <w:color w:val="auto"/>
              </w:rPr>
            </w:pPr>
            <w:r>
              <w:rPr>
                <w:rFonts w:ascii="Arial" w:cs="Arial" w:eastAsia="Arial" w:hAnsi="Arial"/>
                <w:sz w:val="14"/>
                <w:szCs w:val="14"/>
                <w:color w:val="auto"/>
              </w:rPr>
              <w:t>June 30</w:t>
            </w:r>
          </w:p>
        </w:tc>
        <w:tc>
          <w:tcPr>
            <w:tcW w:w="1200" w:type="dxa"/>
            <w:vAlign w:val="bottom"/>
          </w:tcPr>
          <w:p>
            <w:pPr>
              <w:spacing w:after="0"/>
              <w:rPr>
                <w:sz w:val="24"/>
                <w:szCs w:val="24"/>
                <w:color w:val="auto"/>
              </w:rPr>
            </w:pPr>
          </w:p>
        </w:tc>
      </w:tr>
      <w:tr>
        <w:trPr>
          <w:trHeight w:val="177"/>
        </w:trPr>
        <w:tc>
          <w:tcPr>
            <w:tcW w:w="1220" w:type="dxa"/>
            <w:vAlign w:val="bottom"/>
          </w:tcPr>
          <w:p>
            <w:pPr>
              <w:spacing w:after="0"/>
              <w:rPr>
                <w:sz w:val="15"/>
                <w:szCs w:val="15"/>
                <w:color w:val="auto"/>
              </w:rPr>
            </w:pPr>
          </w:p>
        </w:tc>
        <w:tc>
          <w:tcPr>
            <w:tcW w:w="1160" w:type="dxa"/>
            <w:vAlign w:val="bottom"/>
          </w:tcPr>
          <w:p>
            <w:pPr>
              <w:jc w:val="right"/>
              <w:ind w:right="37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color w:val="auto"/>
              </w:rPr>
              <w:t>December 31 2019</w:t>
            </w:r>
          </w:p>
        </w:tc>
        <w:tc>
          <w:tcPr>
            <w:tcW w:w="980" w:type="dxa"/>
            <w:vAlign w:val="bottom"/>
          </w:tcPr>
          <w:p>
            <w:pPr>
              <w:jc w:val="right"/>
              <w:ind w:right="27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w w:val="94"/>
              </w:rPr>
              <w:t>December 31 2019</w:t>
            </w:r>
          </w:p>
        </w:tc>
      </w:tr>
      <w:tr>
        <w:trPr>
          <w:trHeight w:val="244"/>
        </w:trPr>
        <w:tc>
          <w:tcPr>
            <w:tcW w:w="1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Louisiana</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$ 5,929,267</w:t>
            </w:r>
          </w:p>
        </w:tc>
        <w:tc>
          <w:tcPr>
            <w:tcW w:w="80" w:type="dxa"/>
            <w:vAlign w:val="bottom"/>
            <w:tcBorders>
              <w:top w:val="single" w:sz="8" w:color="CCEEFF"/>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6,009,079</w:t>
            </w:r>
          </w:p>
        </w:tc>
        <w:tc>
          <w:tcPr>
            <w:tcW w:w="16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125,114</w:t>
            </w:r>
          </w:p>
        </w:tc>
        <w:tc>
          <w:tcPr>
            <w:tcW w:w="8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125,114</w:t>
            </w:r>
          </w:p>
        </w:tc>
      </w:tr>
      <w:tr>
        <w:trPr>
          <w:trHeight w:val="264"/>
        </w:trPr>
        <w:tc>
          <w:tcPr>
            <w:tcW w:w="1220" w:type="dxa"/>
            <w:vAlign w:val="bottom"/>
          </w:tcPr>
          <w:p>
            <w:pPr>
              <w:spacing w:after="0"/>
              <w:rPr>
                <w:sz w:val="20"/>
                <w:szCs w:val="20"/>
                <w:color w:val="auto"/>
              </w:rPr>
            </w:pPr>
            <w:r>
              <w:rPr>
                <w:rFonts w:ascii="Arial" w:cs="Arial" w:eastAsia="Arial" w:hAnsi="Arial"/>
                <w:sz w:val="14"/>
                <w:szCs w:val="14"/>
                <w:color w:val="auto"/>
              </w:rPr>
              <w:t>Mississippi</w:t>
            </w:r>
          </w:p>
        </w:tc>
        <w:tc>
          <w:tcPr>
            <w:tcW w:w="1160" w:type="dxa"/>
            <w:vAlign w:val="bottom"/>
          </w:tcPr>
          <w:p>
            <w:pPr>
              <w:jc w:val="right"/>
              <w:spacing w:after="0"/>
              <w:rPr>
                <w:sz w:val="20"/>
                <w:szCs w:val="20"/>
                <w:color w:val="auto"/>
              </w:rPr>
            </w:pPr>
            <w:r>
              <w:rPr>
                <w:rFonts w:ascii="Arial" w:cs="Arial" w:eastAsia="Arial" w:hAnsi="Arial"/>
                <w:sz w:val="14"/>
                <w:szCs w:val="14"/>
                <w:color w:val="auto"/>
              </w:rPr>
              <w:t>2,914,989</w:t>
            </w: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2,951,478</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21,521</w:t>
            </w:r>
          </w:p>
        </w:tc>
        <w:tc>
          <w:tcPr>
            <w:tcW w:w="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21,521</w:t>
            </w:r>
          </w:p>
        </w:tc>
      </w:tr>
      <w:tr>
        <w:trPr>
          <w:trHeight w:val="264"/>
        </w:trPr>
        <w:tc>
          <w:tcPr>
            <w:tcW w:w="1220" w:type="dxa"/>
            <w:vAlign w:val="bottom"/>
            <w:shd w:val="clear" w:color="auto" w:fill="CCEEFF"/>
          </w:tcPr>
          <w:p>
            <w:pPr>
              <w:spacing w:after="0"/>
              <w:rPr>
                <w:sz w:val="20"/>
                <w:szCs w:val="20"/>
                <w:color w:val="auto"/>
              </w:rPr>
            </w:pPr>
            <w:r>
              <w:rPr>
                <w:rFonts w:ascii="Arial" w:cs="Arial" w:eastAsia="Arial" w:hAnsi="Arial"/>
                <w:sz w:val="14"/>
                <w:szCs w:val="14"/>
                <w:color w:val="auto"/>
              </w:rPr>
              <w:t>Utah (1)</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84,374,629</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81,266,083</w:t>
            </w: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462,730</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462,730</w:t>
            </w:r>
          </w:p>
        </w:tc>
      </w:tr>
      <w:tr>
        <w:trPr>
          <w:trHeight w:val="172"/>
        </w:trPr>
        <w:tc>
          <w:tcPr>
            <w:tcW w:w="12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r>
      <w:tr>
        <w:trPr>
          <w:trHeight w:val="244"/>
        </w:trPr>
        <w:tc>
          <w:tcPr>
            <w:tcW w:w="1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$93,218,885</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90,226,640</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609,365</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609,365</w:t>
            </w:r>
          </w:p>
        </w:tc>
      </w:tr>
      <w:tr>
        <w:trPr>
          <w:trHeight w:val="20"/>
        </w:trPr>
        <w:tc>
          <w:tcPr>
            <w:tcW w:w="1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377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146" w:lineRule="exact"/>
        <w:rPr>
          <w:sz w:val="20"/>
          <w:szCs w:val="20"/>
          <w:color w:val="auto"/>
        </w:rPr>
      </w:pPr>
    </w:p>
    <w:p>
      <w:pPr>
        <w:ind w:left="4"/>
        <w:spacing w:after="0"/>
        <w:rPr>
          <w:sz w:val="20"/>
          <w:szCs w:val="20"/>
          <w:color w:val="auto"/>
        </w:rPr>
      </w:pPr>
      <w:r>
        <w:rPr>
          <w:rFonts w:ascii="Arial" w:cs="Arial" w:eastAsia="Arial" w:hAnsi="Arial"/>
          <w:sz w:val="14"/>
          <w:szCs w:val="14"/>
          <w:color w:val="auto"/>
        </w:rPr>
        <w:t>(1) Includes Center53 phase 1 completed in July 2017 and phase 2 which is under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3873500" cy="1174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00" cy="117475"/>
                    </a:xfrm>
                    <a:prstGeom prst="rect">
                      <a:avLst/>
                    </a:prstGeom>
                    <a:noFill/>
                  </pic:spPr>
                </pic:pic>
              </a:graphicData>
            </a:graphic>
          </wp:anchor>
        </w:drawing>
      </w:r>
    </w:p>
    <w:p>
      <w:pPr>
        <w:spacing w:after="0" w:line="30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is a summary of the Company’s commercial real estate held for sale for the periods presented:</w:t>
      </w:r>
    </w:p>
    <w:p>
      <w:pPr>
        <w:spacing w:after="0" w:line="200" w:lineRule="exact"/>
        <w:rPr>
          <w:sz w:val="20"/>
          <w:szCs w:val="20"/>
          <w:color w:val="auto"/>
        </w:rPr>
      </w:pPr>
    </w:p>
    <w:p>
      <w:pPr>
        <w:spacing w:after="0" w:line="238" w:lineRule="exact"/>
        <w:rPr>
          <w:sz w:val="20"/>
          <w:szCs w:val="20"/>
          <w:color w:val="auto"/>
        </w:rPr>
      </w:pPr>
    </w:p>
    <w:tbl>
      <w:tblPr>
        <w:tblLayout w:type="fixed"/>
        <w:tblInd w:w="4" w:type="dxa"/>
        <w:tblCellMar>
          <w:top w:w="0" w:type="dxa"/>
          <w:left w:w="0" w:type="dxa"/>
          <w:bottom w:w="0" w:type="dxa"/>
          <w:right w:w="0" w:type="dxa"/>
        </w:tblCellMar>
      </w:tblPr>
      <w:tr>
        <w:trPr>
          <w:trHeight w:val="179"/>
        </w:trPr>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w w:val="95"/>
              </w:rPr>
              <w:t>Net Ending Balance</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3"/>
          </w:tcPr>
          <w:p>
            <w:pPr>
              <w:jc w:val="right"/>
              <w:ind w:right="510"/>
              <w:spacing w:after="0"/>
              <w:rPr>
                <w:sz w:val="20"/>
                <w:szCs w:val="20"/>
                <w:color w:val="auto"/>
              </w:rPr>
            </w:pPr>
            <w:r>
              <w:rPr>
                <w:rFonts w:ascii="Arial" w:cs="Arial" w:eastAsia="Arial" w:hAnsi="Arial"/>
                <w:sz w:val="14"/>
                <w:szCs w:val="14"/>
                <w:color w:val="auto"/>
              </w:rPr>
              <w:t>Total Square Footage</w:t>
            </w:r>
          </w:p>
        </w:tc>
      </w:tr>
      <w:tr>
        <w:trPr>
          <w:trHeight w:val="151"/>
        </w:trPr>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gridSpan w:val="3"/>
          </w:tcPr>
          <w:p>
            <w:pPr>
              <w:ind w:left="360"/>
              <w:spacing w:after="0" w:line="151" w:lineRule="exact"/>
              <w:rPr>
                <w:sz w:val="20"/>
                <w:szCs w:val="20"/>
                <w:color w:val="auto"/>
              </w:rPr>
            </w:pPr>
            <w:r>
              <w:rPr>
                <w:rFonts w:ascii="Arial" w:cs="Arial" w:eastAsia="Arial" w:hAnsi="Arial"/>
                <w:sz w:val="14"/>
                <w:szCs w:val="14"/>
                <w:color w:val="auto"/>
              </w:rPr>
              <w:t>June 30</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280"/>
              <w:spacing w:after="0" w:line="151" w:lineRule="exact"/>
              <w:rPr>
                <w:sz w:val="20"/>
                <w:szCs w:val="20"/>
                <w:color w:val="auto"/>
              </w:rPr>
            </w:pPr>
            <w:r>
              <w:rPr>
                <w:rFonts w:ascii="Arial" w:cs="Arial" w:eastAsia="Arial" w:hAnsi="Arial"/>
                <w:sz w:val="14"/>
                <w:szCs w:val="14"/>
                <w:color w:val="auto"/>
              </w:rPr>
              <w:t>June 30</w:t>
            </w:r>
          </w:p>
        </w:tc>
        <w:tc>
          <w:tcPr>
            <w:tcW w:w="1260" w:type="dxa"/>
            <w:vAlign w:val="bottom"/>
          </w:tcPr>
          <w:p>
            <w:pPr>
              <w:spacing w:after="0"/>
              <w:rPr>
                <w:sz w:val="13"/>
                <w:szCs w:val="13"/>
                <w:color w:val="auto"/>
              </w:rPr>
            </w:pPr>
          </w:p>
        </w:tc>
      </w:tr>
      <w:tr>
        <w:trPr>
          <w:trHeight w:val="177"/>
        </w:trPr>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gridSpan w:val="2"/>
          </w:tcPr>
          <w:p>
            <w:pPr>
              <w:jc w:val="right"/>
              <w:ind w:right="390"/>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5"/>
                <w:szCs w:val="15"/>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color w:val="auto"/>
              </w:rPr>
              <w:t>December 31 2019</w:t>
            </w:r>
          </w:p>
        </w:tc>
        <w:tc>
          <w:tcPr>
            <w:tcW w:w="1040" w:type="dxa"/>
            <w:vAlign w:val="bottom"/>
          </w:tcPr>
          <w:p>
            <w:pPr>
              <w:jc w:val="right"/>
              <w:ind w:right="310"/>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5"/>
                <w:szCs w:val="15"/>
                <w:color w:val="auto"/>
              </w:rPr>
            </w:pPr>
          </w:p>
        </w:tc>
        <w:tc>
          <w:tcPr>
            <w:tcW w:w="1260" w:type="dxa"/>
            <w:vAlign w:val="bottom"/>
          </w:tcPr>
          <w:p>
            <w:pPr>
              <w:jc w:val="right"/>
              <w:ind w:right="10"/>
              <w:spacing w:after="0"/>
              <w:rPr>
                <w:sz w:val="20"/>
                <w:szCs w:val="20"/>
                <w:color w:val="auto"/>
              </w:rPr>
            </w:pPr>
            <w:r>
              <w:rPr>
                <w:rFonts w:ascii="Arial" w:cs="Arial" w:eastAsia="Arial" w:hAnsi="Arial"/>
                <w:sz w:val="14"/>
                <w:szCs w:val="14"/>
                <w:color w:val="auto"/>
                <w:w w:val="97"/>
              </w:rPr>
              <w:t>December 31 2019</w:t>
            </w:r>
          </w:p>
        </w:tc>
      </w:tr>
      <w:tr>
        <w:trPr>
          <w:trHeight w:val="244"/>
        </w:trPr>
        <w:tc>
          <w:tcPr>
            <w:tcW w:w="12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Arizona (1)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6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6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1240" w:type="dxa"/>
            <w:vAlign w:val="bottom"/>
            <w:gridSpan w:val="2"/>
          </w:tcPr>
          <w:p>
            <w:pPr>
              <w:spacing w:after="0"/>
              <w:rPr>
                <w:sz w:val="20"/>
                <w:szCs w:val="20"/>
                <w:color w:val="auto"/>
              </w:rPr>
            </w:pPr>
            <w:r>
              <w:rPr>
                <w:rFonts w:ascii="Arial" w:cs="Arial" w:eastAsia="Arial" w:hAnsi="Arial"/>
                <w:sz w:val="14"/>
                <w:szCs w:val="14"/>
                <w:color w:val="auto"/>
              </w:rPr>
              <w:t>Kansas</w:t>
            </w:r>
          </w:p>
        </w:tc>
        <w:tc>
          <w:tcPr>
            <w:tcW w:w="5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4,800,000</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89"/>
              </w:rPr>
              <w:t>4,800,000</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222,679</w:t>
            </w: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222,679</w:t>
            </w:r>
          </w:p>
        </w:tc>
      </w:tr>
      <w:tr>
        <w:trPr>
          <w:trHeight w:val="264"/>
        </w:trPr>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Mississippi</w:t>
            </w:r>
          </w:p>
        </w:tc>
        <w:tc>
          <w:tcPr>
            <w:tcW w:w="5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318,322</w:t>
            </w: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318,322</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12,300</w:t>
            </w:r>
          </w:p>
        </w:tc>
        <w:tc>
          <w:tcPr>
            <w:tcW w:w="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12,300</w:t>
            </w:r>
          </w:p>
        </w:tc>
      </w:tr>
      <w:tr>
        <w:trPr>
          <w:trHeight w:val="264"/>
        </w:trPr>
        <w:tc>
          <w:tcPr>
            <w:tcW w:w="1240" w:type="dxa"/>
            <w:vAlign w:val="bottom"/>
            <w:gridSpan w:val="2"/>
          </w:tcPr>
          <w:p>
            <w:pPr>
              <w:spacing w:after="0"/>
              <w:rPr>
                <w:sz w:val="20"/>
                <w:szCs w:val="20"/>
                <w:color w:val="auto"/>
              </w:rPr>
            </w:pPr>
            <w:r>
              <w:rPr>
                <w:rFonts w:ascii="Arial" w:cs="Arial" w:eastAsia="Arial" w:hAnsi="Arial"/>
                <w:sz w:val="14"/>
                <w:szCs w:val="14"/>
                <w:color w:val="auto"/>
              </w:rPr>
              <w:t>Nevada</w:t>
            </w:r>
          </w:p>
        </w:tc>
        <w:tc>
          <w:tcPr>
            <w:tcW w:w="5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655,499</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655,499</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4,800</w:t>
            </w: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4,800</w:t>
            </w:r>
          </w:p>
        </w:tc>
      </w:tr>
      <w:tr>
        <w:trPr>
          <w:trHeight w:val="264"/>
        </w:trPr>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Texas (2)</w:t>
            </w:r>
          </w:p>
        </w:tc>
        <w:tc>
          <w:tcPr>
            <w:tcW w:w="5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60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r>
      <w:tr>
        <w:trPr>
          <w:trHeight w:val="244"/>
        </w:trPr>
        <w:tc>
          <w:tcPr>
            <w:tcW w:w="6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$ 6,076,321</w:t>
            </w:r>
          </w:p>
        </w:tc>
        <w:tc>
          <w:tcPr>
            <w:tcW w:w="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$ 6,076,321</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239,779</w:t>
            </w:r>
          </w:p>
        </w:tc>
        <w:tc>
          <w:tcPr>
            <w:tcW w:w="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239,779</w:t>
            </w:r>
          </w:p>
        </w:tc>
      </w:tr>
      <w:tr>
        <w:trPr>
          <w:trHeight w:val="20"/>
        </w:trPr>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8"/>
        </w:trPr>
        <w:tc>
          <w:tcPr>
            <w:tcW w:w="60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3932555" cy="167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32555" cy="167640"/>
                    </a:xfrm>
                    <a:prstGeom prst="rect">
                      <a:avLst/>
                    </a:prstGeom>
                    <a:noFill/>
                  </pic:spPr>
                </pic:pic>
              </a:graphicData>
            </a:graphic>
          </wp:anchor>
        </w:drawing>
      </w:r>
    </w:p>
    <w:p>
      <w:pPr>
        <w:spacing w:after="0" w:line="67" w:lineRule="exact"/>
        <w:rPr>
          <w:sz w:val="20"/>
          <w:szCs w:val="20"/>
          <w:color w:val="auto"/>
        </w:rPr>
      </w:pPr>
    </w:p>
    <w:p>
      <w:pPr>
        <w:ind w:left="204" w:hanging="190"/>
        <w:spacing w:after="0"/>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Undeveloped land</w:t>
      </w:r>
    </w:p>
    <w:p>
      <w:pPr>
        <w:spacing w:after="0" w:line="103" w:lineRule="exact"/>
        <w:rPr>
          <w:rFonts w:ascii="Arial" w:cs="Arial" w:eastAsia="Arial" w:hAnsi="Arial"/>
          <w:sz w:val="14"/>
          <w:szCs w:val="14"/>
          <w:color w:val="auto"/>
        </w:rPr>
      </w:pPr>
    </w:p>
    <w:p>
      <w:pPr>
        <w:ind w:left="204" w:hanging="190"/>
        <w:spacing w:after="0"/>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Improved commercial pad</w:t>
      </w:r>
    </w:p>
    <w:p>
      <w:pPr>
        <w:spacing w:after="0" w:line="237"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879" w:gutter="0" w:footer="0" w:header="0"/>
        </w:sectPr>
      </w:pPr>
    </w:p>
    <w:bookmarkStart w:id="18" w:name="page19"/>
    <w:bookmarkEnd w:id="18"/>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4" w:right="739"/>
        <w:spacing w:after="0" w:line="261" w:lineRule="auto"/>
        <w:rPr>
          <w:sz w:val="20"/>
          <w:szCs w:val="20"/>
          <w:color w:val="auto"/>
        </w:rPr>
      </w:pPr>
      <w:r>
        <w:rPr>
          <w:rFonts w:ascii="Arial" w:cs="Arial" w:eastAsia="Arial" w:hAnsi="Arial"/>
          <w:sz w:val="19"/>
          <w:szCs w:val="19"/>
          <w:color w:val="auto"/>
        </w:rPr>
        <w:t>These properties are all actively being marketed with the assistance of commercial real estate brokers in the markets where the properties are located. The Company expects these properties to sell within the coming 12 months.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Residential Real Estate Held for Investment and Held for Sale</w:t>
      </w:r>
    </w:p>
    <w:p>
      <w:pPr>
        <w:spacing w:after="0" w:line="204" w:lineRule="exact"/>
        <w:rPr>
          <w:sz w:val="20"/>
          <w:szCs w:val="20"/>
          <w:color w:val="auto"/>
        </w:rPr>
      </w:pPr>
    </w:p>
    <w:p>
      <w:pPr>
        <w:jc w:val="both"/>
        <w:ind w:left="4" w:right="319"/>
        <w:spacing w:after="0" w:line="254" w:lineRule="auto"/>
        <w:rPr>
          <w:sz w:val="20"/>
          <w:szCs w:val="20"/>
          <w:color w:val="auto"/>
        </w:rPr>
      </w:pPr>
      <w:r>
        <w:rPr>
          <w:rFonts w:ascii="Arial" w:cs="Arial" w:eastAsia="Arial" w:hAnsi="Arial"/>
          <w:sz w:val="19"/>
          <w:szCs w:val="19"/>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 The Company also invests in residential subdivision developments.</w:t>
      </w:r>
    </w:p>
    <w:p>
      <w:pPr>
        <w:spacing w:after="0" w:line="376" w:lineRule="exact"/>
        <w:rPr>
          <w:sz w:val="20"/>
          <w:szCs w:val="20"/>
          <w:color w:val="auto"/>
        </w:rPr>
      </w:pPr>
    </w:p>
    <w:p>
      <w:pPr>
        <w:jc w:val="both"/>
        <w:ind w:left="4" w:right="319"/>
        <w:spacing w:after="0" w:line="261" w:lineRule="auto"/>
        <w:rPr>
          <w:sz w:val="20"/>
          <w:szCs w:val="20"/>
          <w:color w:val="auto"/>
        </w:rPr>
      </w:pPr>
      <w:r>
        <w:rPr>
          <w:rFonts w:ascii="Arial" w:cs="Arial" w:eastAsia="Arial" w:hAnsi="Arial"/>
          <w:sz w:val="19"/>
          <w:szCs w:val="19"/>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357" w:lineRule="exact"/>
        <w:rPr>
          <w:sz w:val="20"/>
          <w:szCs w:val="20"/>
          <w:color w:val="auto"/>
        </w:rPr>
      </w:pPr>
    </w:p>
    <w:p>
      <w:pPr>
        <w:ind w:left="4"/>
        <w:spacing w:after="0"/>
        <w:rPr>
          <w:sz w:val="20"/>
          <w:szCs w:val="20"/>
          <w:color w:val="auto"/>
        </w:rPr>
      </w:pPr>
      <w:r>
        <w:rPr>
          <w:rFonts w:ascii="Arial" w:cs="Arial" w:eastAsia="Arial" w:hAnsi="Arial"/>
          <w:sz w:val="19"/>
          <w:szCs w:val="19"/>
          <w:color w:val="auto"/>
        </w:rPr>
        <w:t>As of June 30, 2020, SNRE manages 24 residential properties in 6 states across the United States.</w:t>
      </w:r>
    </w:p>
    <w:p>
      <w:pPr>
        <w:spacing w:after="0" w:line="200" w:lineRule="exact"/>
        <w:rPr>
          <w:sz w:val="20"/>
          <w:szCs w:val="20"/>
          <w:color w:val="auto"/>
        </w:rPr>
      </w:pPr>
    </w:p>
    <w:p>
      <w:pPr>
        <w:spacing w:after="0" w:line="202" w:lineRule="exact"/>
        <w:rPr>
          <w:sz w:val="20"/>
          <w:szCs w:val="20"/>
          <w:color w:val="auto"/>
        </w:rPr>
      </w:pPr>
    </w:p>
    <w:p>
      <w:pPr>
        <w:jc w:val="both"/>
        <w:ind w:left="4" w:right="319"/>
        <w:spacing w:after="0" w:line="306" w:lineRule="auto"/>
        <w:rPr>
          <w:sz w:val="20"/>
          <w:szCs w:val="20"/>
          <w:color w:val="auto"/>
        </w:rPr>
      </w:pPr>
      <w:r>
        <w:rPr>
          <w:rFonts w:ascii="Arial" w:cs="Arial" w:eastAsia="Arial" w:hAnsi="Arial"/>
          <w:sz w:val="18"/>
          <w:szCs w:val="18"/>
          <w:color w:val="auto"/>
        </w:rPr>
        <w:t>The net ending balance of foreclosed residential real estate included in residential real estate held for investment and sale is $7,698,000 and $12,434,000 as of June 30, 2020 and December 31, 2019, respectively.</w:t>
      </w:r>
    </w:p>
    <w:p>
      <w:pPr>
        <w:spacing w:after="0" w:line="330" w:lineRule="exact"/>
        <w:rPr>
          <w:sz w:val="20"/>
          <w:szCs w:val="20"/>
          <w:color w:val="auto"/>
        </w:rPr>
      </w:pPr>
    </w:p>
    <w:p>
      <w:pPr>
        <w:jc w:val="both"/>
        <w:ind w:left="4" w:right="319"/>
        <w:spacing w:after="0" w:line="283" w:lineRule="auto"/>
        <w:rPr>
          <w:sz w:val="20"/>
          <w:szCs w:val="20"/>
          <w:color w:val="auto"/>
        </w:rPr>
      </w:pPr>
      <w:r>
        <w:rPr>
          <w:rFonts w:ascii="Arial" w:cs="Arial" w:eastAsia="Arial" w:hAnsi="Arial"/>
          <w:sz w:val="18"/>
          <w:szCs w:val="18"/>
          <w:color w:val="auto"/>
        </w:rPr>
        <w:t>During the three and six months ended June 30, 2020 and 2019 the Company did not record any impairment losses on residential real estate held for investment or held for sale. Impairment losses, if any, are included in gains (losses) on investment and other assets on the condensed consolidated statements of earnings.</w:t>
      </w:r>
    </w:p>
    <w:p>
      <w:pPr>
        <w:spacing w:after="0" w:line="337"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is a summary of the Company’s residential real estate held for investment for the periods presented:</w:t>
      </w:r>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79"/>
        </w:trPr>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700" w:type="dxa"/>
            <w:vAlign w:val="bottom"/>
            <w:gridSpan w:val="3"/>
          </w:tcPr>
          <w:p>
            <w:pPr>
              <w:jc w:val="right"/>
              <w:ind w:right="230"/>
              <w:spacing w:after="0"/>
              <w:rPr>
                <w:sz w:val="20"/>
                <w:szCs w:val="20"/>
                <w:color w:val="auto"/>
              </w:rPr>
            </w:pPr>
            <w:r>
              <w:rPr>
                <w:rFonts w:ascii="Arial" w:cs="Arial" w:eastAsia="Arial" w:hAnsi="Arial"/>
                <w:sz w:val="14"/>
                <w:szCs w:val="14"/>
                <w:color w:val="auto"/>
              </w:rPr>
              <w:t>Net Ending Balance</w:t>
            </w:r>
          </w:p>
        </w:tc>
        <w:tc>
          <w:tcPr>
            <w:tcW w:w="700" w:type="dxa"/>
            <w:vAlign w:val="bottom"/>
          </w:tcPr>
          <w:p>
            <w:pPr>
              <w:spacing w:after="0"/>
              <w:rPr>
                <w:sz w:val="15"/>
                <w:szCs w:val="15"/>
                <w:color w:val="auto"/>
              </w:rPr>
            </w:pPr>
          </w:p>
        </w:tc>
      </w:tr>
      <w:tr>
        <w:trPr>
          <w:trHeight w:val="177"/>
        </w:trPr>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40" w:type="dxa"/>
            <w:vAlign w:val="bottom"/>
            <w:gridSpan w:val="3"/>
          </w:tcPr>
          <w:p>
            <w:pPr>
              <w:ind w:left="460"/>
              <w:spacing w:after="0"/>
              <w:rPr>
                <w:sz w:val="20"/>
                <w:szCs w:val="20"/>
                <w:color w:val="auto"/>
              </w:rPr>
            </w:pPr>
            <w:r>
              <w:rPr>
                <w:rFonts w:ascii="Arial" w:cs="Arial" w:eastAsia="Arial" w:hAnsi="Arial"/>
                <w:sz w:val="14"/>
                <w:szCs w:val="14"/>
                <w:color w:val="auto"/>
              </w:rPr>
              <w:t>June 30</w:t>
            </w: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6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CCEEFF"/>
            </w:tcBorders>
          </w:tcPr>
          <w:p>
            <w:pPr>
              <w:spacing w:after="0"/>
              <w:rPr>
                <w:sz w:val="15"/>
                <w:szCs w:val="15"/>
                <w:color w:val="auto"/>
              </w:rPr>
            </w:pPr>
          </w:p>
        </w:tc>
        <w:tc>
          <w:tcPr>
            <w:tcW w:w="14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color w:val="auto"/>
              </w:rPr>
              <w:t>December 31 2019</w:t>
            </w:r>
          </w:p>
        </w:tc>
      </w:tr>
      <w:tr>
        <w:trPr>
          <w:trHeight w:val="257"/>
        </w:trPr>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Florida</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1,269,577</w:t>
            </w: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2,487,723</w:t>
            </w:r>
          </w:p>
        </w:tc>
      </w:tr>
      <w:tr>
        <w:trPr>
          <w:trHeight w:val="277"/>
        </w:trPr>
        <w:tc>
          <w:tcPr>
            <w:tcW w:w="1560" w:type="dxa"/>
            <w:vAlign w:val="bottom"/>
            <w:gridSpan w:val="2"/>
          </w:tcPr>
          <w:p>
            <w:pPr>
              <w:spacing w:after="0"/>
              <w:rPr>
                <w:sz w:val="20"/>
                <w:szCs w:val="20"/>
                <w:color w:val="auto"/>
              </w:rPr>
            </w:pPr>
            <w:r>
              <w:rPr>
                <w:rFonts w:ascii="Arial" w:cs="Arial" w:eastAsia="Arial" w:hAnsi="Arial"/>
                <w:sz w:val="14"/>
                <w:szCs w:val="14"/>
                <w:color w:val="auto"/>
              </w:rPr>
              <w:t>Nevada</w:t>
            </w:r>
          </w:p>
        </w:tc>
        <w:tc>
          <w:tcPr>
            <w:tcW w:w="7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686,124</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293,516</w:t>
            </w:r>
          </w:p>
        </w:tc>
      </w:tr>
      <w:tr>
        <w:trPr>
          <w:trHeight w:val="277"/>
        </w:trPr>
        <w:tc>
          <w:tcPr>
            <w:tcW w:w="1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Utah (1)</w:t>
            </w:r>
          </w:p>
        </w:tc>
        <w:tc>
          <w:tcPr>
            <w:tcW w:w="7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17,731,655</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9,462,886</w:t>
            </w:r>
          </w:p>
        </w:tc>
      </w:tr>
      <w:tr>
        <w:trPr>
          <w:trHeight w:val="277"/>
        </w:trPr>
        <w:tc>
          <w:tcPr>
            <w:tcW w:w="1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Washington</w:t>
            </w: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286,181</w:t>
            </w:r>
          </w:p>
        </w:tc>
        <w:tc>
          <w:tcPr>
            <w:tcW w:w="2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286,181</w:t>
            </w:r>
          </w:p>
        </w:tc>
      </w:tr>
      <w:tr>
        <w:trPr>
          <w:trHeight w:val="257"/>
        </w:trPr>
        <w:tc>
          <w:tcPr>
            <w:tcW w:w="6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19,973,537</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12,530,306</w:t>
            </w:r>
          </w:p>
        </w:tc>
      </w:tr>
      <w:tr>
        <w:trPr>
          <w:trHeight w:val="20"/>
        </w:trPr>
        <w:tc>
          <w:tcPr>
            <w:tcW w:w="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8"/>
        </w:trPr>
        <w:tc>
          <w:tcPr>
            <w:tcW w:w="60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2976245"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76245" cy="175895"/>
                    </a:xfrm>
                    <a:prstGeom prst="rect">
                      <a:avLst/>
                    </a:prstGeom>
                    <a:noFill/>
                  </pic:spPr>
                </pic:pic>
              </a:graphicData>
            </a:graphic>
          </wp:anchor>
        </w:drawing>
      </w:r>
    </w:p>
    <w:p>
      <w:pPr>
        <w:spacing w:after="0" w:line="80" w:lineRule="exact"/>
        <w:rPr>
          <w:sz w:val="20"/>
          <w:szCs w:val="20"/>
          <w:color w:val="auto"/>
        </w:rPr>
      </w:pPr>
    </w:p>
    <w:p>
      <w:pPr>
        <w:ind w:left="4"/>
        <w:spacing w:after="0"/>
        <w:rPr>
          <w:sz w:val="20"/>
          <w:szCs w:val="20"/>
          <w:color w:val="auto"/>
        </w:rPr>
      </w:pPr>
      <w:r>
        <w:rPr>
          <w:rFonts w:ascii="Arial" w:cs="Arial" w:eastAsia="Arial" w:hAnsi="Arial"/>
          <w:sz w:val="14"/>
          <w:szCs w:val="14"/>
          <w:color w:val="auto"/>
        </w:rPr>
        <w:t>(1) Includes subdivision land developments</w:t>
      </w:r>
    </w:p>
    <w:p>
      <w:pPr>
        <w:spacing w:after="0" w:line="200" w:lineRule="exact"/>
        <w:rPr>
          <w:sz w:val="20"/>
          <w:szCs w:val="20"/>
          <w:color w:val="auto"/>
        </w:rPr>
      </w:pP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is a summary of the Company’s residential real estate held for sale for the periods presented:</w:t>
      </w:r>
    </w:p>
    <w:p>
      <w:pPr>
        <w:spacing w:after="0" w:line="200" w:lineRule="exact"/>
        <w:rPr>
          <w:sz w:val="20"/>
          <w:szCs w:val="20"/>
          <w:color w:val="auto"/>
        </w:rPr>
      </w:pP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179"/>
        </w:trPr>
        <w:tc>
          <w:tcPr>
            <w:tcW w:w="1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00" w:type="dxa"/>
            <w:vAlign w:val="bottom"/>
            <w:gridSpan w:val="3"/>
          </w:tcPr>
          <w:p>
            <w:pPr>
              <w:jc w:val="right"/>
              <w:ind w:right="630"/>
              <w:spacing w:after="0"/>
              <w:rPr>
                <w:sz w:val="20"/>
                <w:szCs w:val="20"/>
                <w:color w:val="auto"/>
              </w:rPr>
            </w:pPr>
            <w:r>
              <w:rPr>
                <w:rFonts w:ascii="Arial" w:cs="Arial" w:eastAsia="Arial" w:hAnsi="Arial"/>
                <w:sz w:val="14"/>
                <w:szCs w:val="14"/>
                <w:color w:val="auto"/>
                <w:w w:val="95"/>
              </w:rPr>
              <w:t>Net Ending Balance</w:t>
            </w:r>
          </w:p>
        </w:tc>
      </w:tr>
      <w:tr>
        <w:trPr>
          <w:trHeight w:val="190"/>
        </w:trPr>
        <w:tc>
          <w:tcPr>
            <w:tcW w:w="1300" w:type="dxa"/>
            <w:vAlign w:val="bottom"/>
          </w:tcPr>
          <w:p>
            <w:pPr>
              <w:spacing w:after="0"/>
              <w:rPr>
                <w:sz w:val="16"/>
                <w:szCs w:val="16"/>
                <w:color w:val="auto"/>
              </w:rPr>
            </w:pPr>
          </w:p>
        </w:tc>
        <w:tc>
          <w:tcPr>
            <w:tcW w:w="1320" w:type="dxa"/>
            <w:vAlign w:val="bottom"/>
            <w:gridSpan w:val="3"/>
          </w:tcPr>
          <w:p>
            <w:pPr>
              <w:ind w:left="380"/>
              <w:spacing w:after="0"/>
              <w:rPr>
                <w:sz w:val="20"/>
                <w:szCs w:val="20"/>
                <w:color w:val="auto"/>
              </w:rPr>
            </w:pPr>
            <w:r>
              <w:rPr>
                <w:rFonts w:ascii="Arial" w:cs="Arial" w:eastAsia="Arial" w:hAnsi="Arial"/>
                <w:sz w:val="14"/>
                <w:szCs w:val="14"/>
                <w:color w:val="auto"/>
              </w:rPr>
              <w:t>June 30</w:t>
            </w:r>
          </w:p>
        </w:tc>
        <w:tc>
          <w:tcPr>
            <w:tcW w:w="1200" w:type="dxa"/>
            <w:vAlign w:val="bottom"/>
          </w:tcPr>
          <w:p>
            <w:pPr>
              <w:spacing w:after="0"/>
              <w:rPr>
                <w:sz w:val="16"/>
                <w:szCs w:val="16"/>
                <w:color w:val="auto"/>
              </w:rPr>
            </w:pPr>
          </w:p>
        </w:tc>
      </w:tr>
      <w:tr>
        <w:trPr>
          <w:trHeight w:val="177"/>
        </w:trPr>
        <w:tc>
          <w:tcPr>
            <w:tcW w:w="13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2"/>
              </w:rPr>
              <w:t>December 31 2019</w:t>
            </w:r>
          </w:p>
        </w:tc>
      </w:tr>
      <w:tr>
        <w:trPr>
          <w:trHeight w:val="244"/>
        </w:trPr>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California</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421,452</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640,452</w:t>
            </w:r>
          </w:p>
        </w:tc>
      </w:tr>
      <w:tr>
        <w:trPr>
          <w:trHeight w:val="264"/>
        </w:trPr>
        <w:tc>
          <w:tcPr>
            <w:tcW w:w="1920" w:type="dxa"/>
            <w:vAlign w:val="bottom"/>
            <w:gridSpan w:val="2"/>
          </w:tcPr>
          <w:p>
            <w:pPr>
              <w:spacing w:after="0"/>
              <w:rPr>
                <w:sz w:val="20"/>
                <w:szCs w:val="20"/>
                <w:color w:val="auto"/>
              </w:rPr>
            </w:pPr>
            <w:r>
              <w:rPr>
                <w:rFonts w:ascii="Arial" w:cs="Arial" w:eastAsia="Arial" w:hAnsi="Arial"/>
                <w:sz w:val="14"/>
                <w:szCs w:val="14"/>
                <w:color w:val="auto"/>
              </w:rPr>
              <w:t>Florida</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1,351,040</w:t>
            </w:r>
          </w:p>
        </w:tc>
        <w:tc>
          <w:tcPr>
            <w:tcW w:w="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1,300,641</w:t>
            </w:r>
          </w:p>
        </w:tc>
      </w:tr>
      <w:tr>
        <w:trPr>
          <w:trHeight w:val="264"/>
        </w:trPr>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Nevada</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293,516</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64"/>
        </w:trPr>
        <w:tc>
          <w:tcPr>
            <w:tcW w:w="1920" w:type="dxa"/>
            <w:vAlign w:val="bottom"/>
            <w:gridSpan w:val="2"/>
          </w:tcPr>
          <w:p>
            <w:pPr>
              <w:spacing w:after="0"/>
              <w:rPr>
                <w:sz w:val="20"/>
                <w:szCs w:val="20"/>
                <w:color w:val="auto"/>
              </w:rPr>
            </w:pPr>
            <w:r>
              <w:rPr>
                <w:rFonts w:ascii="Arial" w:cs="Arial" w:eastAsia="Arial" w:hAnsi="Arial"/>
                <w:sz w:val="14"/>
                <w:szCs w:val="14"/>
                <w:color w:val="auto"/>
              </w:rPr>
              <w:t>Ohio</w:t>
            </w:r>
          </w:p>
        </w:tc>
        <w:tc>
          <w:tcPr>
            <w:tcW w:w="62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64"/>
        </w:trPr>
        <w:tc>
          <w:tcPr>
            <w:tcW w:w="1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Utah</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2,446,012</w:t>
            </w:r>
          </w:p>
        </w:tc>
        <w:tc>
          <w:tcPr>
            <w:tcW w:w="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5,880,213</w:t>
            </w:r>
          </w:p>
        </w:tc>
      </w:tr>
      <w:tr>
        <w:trPr>
          <w:trHeight w:val="264"/>
        </w:trPr>
        <w:tc>
          <w:tcPr>
            <w:tcW w:w="1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Washington</w:t>
            </w:r>
          </w:p>
        </w:tc>
        <w:tc>
          <w:tcPr>
            <w:tcW w:w="6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190,000</w:t>
            </w:r>
          </w:p>
        </w:tc>
      </w:tr>
      <w:tr>
        <w:trPr>
          <w:trHeight w:val="244"/>
        </w:trPr>
        <w:tc>
          <w:tcPr>
            <w:tcW w:w="1920" w:type="dxa"/>
            <w:vAlign w:val="bottom"/>
            <w:gridSpan w:val="2"/>
            <w:shd w:val="clear" w:color="auto" w:fill="CCEEFF"/>
          </w:tcPr>
          <w:p>
            <w:pPr>
              <w:ind w:left="180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4,522,020</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$ 8,021,306</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5634355" cy="336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1104" w:gutter="0" w:footer="0" w:header="0"/>
        </w:sectPr>
      </w:pPr>
    </w:p>
    <w:bookmarkStart w:id="19" w:name="page20"/>
    <w:bookmarkEnd w:id="19"/>
    <w:p>
      <w:pPr>
        <w:jc w:val="center"/>
        <w:ind w:right="916"/>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4" w:right="1340"/>
        <w:spacing w:after="0" w:line="261" w:lineRule="auto"/>
        <w:rPr>
          <w:sz w:val="20"/>
          <w:szCs w:val="20"/>
          <w:color w:val="auto"/>
        </w:rPr>
      </w:pPr>
      <w:r>
        <w:rPr>
          <w:rFonts w:ascii="Arial" w:cs="Arial" w:eastAsia="Arial" w:hAnsi="Arial"/>
          <w:sz w:val="19"/>
          <w:szCs w:val="19"/>
          <w:color w:val="auto"/>
        </w:rPr>
        <w:t>These properties are all actively being marketed with the assistance of residential real estate brokers in the markets where the properties are located. The Company expects these properties to sell within the coming 12 months.</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Real Estate Owned and Occupied by the Company</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 primary business units of the Company occupy a portion of the real estate owned by the Company.  As of</w:t>
      </w:r>
    </w:p>
    <w:p>
      <w:pPr>
        <w:spacing w:after="0" w:line="22" w:lineRule="exact"/>
        <w:rPr>
          <w:sz w:val="20"/>
          <w:szCs w:val="20"/>
          <w:color w:val="auto"/>
        </w:rPr>
      </w:pPr>
    </w:p>
    <w:p>
      <w:pPr>
        <w:ind w:left="4"/>
        <w:spacing w:after="0"/>
        <w:rPr>
          <w:sz w:val="20"/>
          <w:szCs w:val="20"/>
          <w:color w:val="auto"/>
        </w:rPr>
      </w:pPr>
      <w:r>
        <w:rPr>
          <w:rFonts w:ascii="Arial" w:cs="Arial" w:eastAsia="Arial" w:hAnsi="Arial"/>
          <w:sz w:val="19"/>
          <w:szCs w:val="19"/>
          <w:color w:val="auto"/>
        </w:rPr>
        <w:t>June 30, 2020, real estate owned and occupied by the Company is summarized as follows:</w:t>
      </w:r>
    </w:p>
    <w:p>
      <w:pPr>
        <w:spacing w:after="0" w:line="200" w:lineRule="exact"/>
        <w:rPr>
          <w:sz w:val="20"/>
          <w:szCs w:val="20"/>
          <w:color w:val="auto"/>
        </w:rPr>
      </w:pPr>
    </w:p>
    <w:p>
      <w:pPr>
        <w:spacing w:after="0" w:line="26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87"/>
              </w:rPr>
              <w:t>Square Footage</w:t>
            </w:r>
          </w:p>
        </w:tc>
      </w:tr>
      <w:tr>
        <w:trPr>
          <w:trHeight w:val="145"/>
        </w:trPr>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240"/>
              <w:spacing w:after="0" w:line="145" w:lineRule="exact"/>
              <w:rPr>
                <w:sz w:val="20"/>
                <w:szCs w:val="20"/>
                <w:color w:val="auto"/>
              </w:rPr>
            </w:pPr>
            <w:r>
              <w:rPr>
                <w:rFonts w:ascii="Arial" w:cs="Arial" w:eastAsia="Arial" w:hAnsi="Arial"/>
                <w:sz w:val="14"/>
                <w:szCs w:val="14"/>
                <w:color w:val="auto"/>
                <w:w w:val="94"/>
              </w:rPr>
              <w:t>Approximate</w:t>
            </w:r>
          </w:p>
        </w:tc>
        <w:tc>
          <w:tcPr>
            <w:tcW w:w="1000" w:type="dxa"/>
            <w:vAlign w:val="bottom"/>
          </w:tcPr>
          <w:p>
            <w:pPr>
              <w:jc w:val="center"/>
              <w:spacing w:after="0" w:line="145" w:lineRule="exact"/>
              <w:rPr>
                <w:sz w:val="20"/>
                <w:szCs w:val="20"/>
                <w:color w:val="auto"/>
              </w:rPr>
            </w:pPr>
            <w:r>
              <w:rPr>
                <w:rFonts w:ascii="Arial" w:cs="Arial" w:eastAsia="Arial" w:hAnsi="Arial"/>
                <w:sz w:val="14"/>
                <w:szCs w:val="14"/>
                <w:color w:val="auto"/>
                <w:w w:val="90"/>
              </w:rPr>
              <w:t>Occupied by the</w:t>
            </w:r>
          </w:p>
        </w:tc>
      </w:tr>
      <w:tr>
        <w:trPr>
          <w:trHeight w:val="177"/>
        </w:trPr>
        <w:tc>
          <w:tcPr>
            <w:tcW w:w="4120" w:type="dxa"/>
            <w:vAlign w:val="bottom"/>
            <w:gridSpan w:val="4"/>
          </w:tcPr>
          <w:p>
            <w:pPr>
              <w:spacing w:after="0"/>
              <w:rPr>
                <w:sz w:val="20"/>
                <w:szCs w:val="20"/>
                <w:color w:val="auto"/>
              </w:rPr>
            </w:pPr>
            <w:r>
              <w:rPr>
                <w:rFonts w:ascii="Arial" w:cs="Arial" w:eastAsia="Arial" w:hAnsi="Arial"/>
                <w:sz w:val="14"/>
                <w:szCs w:val="14"/>
                <w:color w:val="auto"/>
              </w:rPr>
              <w:t>Location</w:t>
            </w:r>
          </w:p>
        </w:tc>
        <w:tc>
          <w:tcPr>
            <w:tcW w:w="3280" w:type="dxa"/>
            <w:vAlign w:val="bottom"/>
            <w:gridSpan w:val="2"/>
          </w:tcPr>
          <w:p>
            <w:pPr>
              <w:spacing w:after="0"/>
              <w:rPr>
                <w:sz w:val="20"/>
                <w:szCs w:val="20"/>
                <w:color w:val="auto"/>
              </w:rPr>
            </w:pPr>
            <w:r>
              <w:rPr>
                <w:rFonts w:ascii="Arial" w:cs="Arial" w:eastAsia="Arial" w:hAnsi="Arial"/>
                <w:sz w:val="14"/>
                <w:szCs w:val="14"/>
                <w:color w:val="auto"/>
              </w:rPr>
              <w:t>Business Segment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color w:val="auto"/>
                <w:w w:val="87"/>
              </w:rPr>
              <w:t>Square Footage</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Company</w:t>
            </w:r>
          </w:p>
        </w:tc>
      </w:tr>
      <w:tr>
        <w:trPr>
          <w:trHeight w:val="133"/>
        </w:trPr>
        <w:tc>
          <w:tcPr>
            <w:tcW w:w="24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4"/>
                <w:szCs w:val="14"/>
                <w:color w:val="auto"/>
                <w:w w:val="94"/>
              </w:rPr>
              <w:t>121</w:t>
            </w:r>
          </w:p>
        </w:tc>
        <w:tc>
          <w:tcPr>
            <w:tcW w:w="3660" w:type="dxa"/>
            <w:vAlign w:val="bottom"/>
            <w:tcBorders>
              <w:top w:val="single" w:sz="8" w:color="auto"/>
            </w:tcBorders>
            <w:gridSpan w:val="2"/>
            <w:shd w:val="clear" w:color="auto" w:fill="CCEEFF"/>
          </w:tcPr>
          <w:p>
            <w:pPr>
              <w:ind w:left="20"/>
              <w:spacing w:after="0" w:line="133" w:lineRule="exact"/>
              <w:rPr>
                <w:sz w:val="20"/>
                <w:szCs w:val="20"/>
                <w:color w:val="auto"/>
              </w:rPr>
            </w:pPr>
            <w:r>
              <w:rPr>
                <w:rFonts w:ascii="Arial" w:cs="Arial" w:eastAsia="Arial" w:hAnsi="Arial"/>
                <w:sz w:val="14"/>
                <w:szCs w:val="14"/>
                <w:color w:val="auto"/>
              </w:rPr>
              <w:t>W. Election Rd., Draper, UT</w:t>
            </w:r>
          </w:p>
        </w:tc>
        <w:tc>
          <w:tcPr>
            <w:tcW w:w="220" w:type="dxa"/>
            <w:vAlign w:val="bottom"/>
            <w:tcBorders>
              <w:top w:val="single" w:sz="8" w:color="CCEEFF"/>
            </w:tcBorders>
            <w:shd w:val="clear" w:color="auto" w:fill="CCEEFF"/>
          </w:tcPr>
          <w:p>
            <w:pPr>
              <w:spacing w:after="0"/>
              <w:rPr>
                <w:sz w:val="11"/>
                <w:szCs w:val="11"/>
                <w:color w:val="auto"/>
              </w:rPr>
            </w:pPr>
          </w:p>
        </w:tc>
        <w:tc>
          <w:tcPr>
            <w:tcW w:w="302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4"/>
                <w:szCs w:val="14"/>
                <w:color w:val="auto"/>
              </w:rPr>
              <w:t>Corporate Offices, Life Insurance and</w:t>
            </w:r>
          </w:p>
        </w:tc>
        <w:tc>
          <w:tcPr>
            <w:tcW w:w="26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78,979</w:t>
            </w:r>
          </w:p>
        </w:tc>
        <w:tc>
          <w:tcPr>
            <w:tcW w:w="2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4"/>
                <w:szCs w:val="14"/>
                <w:color w:val="auto"/>
              </w:rPr>
              <w:t>18%</w:t>
            </w:r>
          </w:p>
        </w:tc>
      </w:tr>
      <w:tr>
        <w:trPr>
          <w:trHeight w:val="177"/>
        </w:trPr>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Cemetery/Mortuary Operations</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2"/>
        </w:trPr>
        <w:tc>
          <w:tcPr>
            <w:tcW w:w="300" w:type="dxa"/>
            <w:vAlign w:val="bottom"/>
            <w:gridSpan w:val="2"/>
          </w:tcPr>
          <w:p>
            <w:pPr>
              <w:spacing w:after="0"/>
              <w:rPr>
                <w:sz w:val="20"/>
                <w:szCs w:val="20"/>
                <w:color w:val="auto"/>
              </w:rPr>
            </w:pPr>
            <w:r>
              <w:rPr>
                <w:rFonts w:ascii="Arial" w:cs="Arial" w:eastAsia="Arial" w:hAnsi="Arial"/>
                <w:sz w:val="14"/>
                <w:szCs w:val="14"/>
                <w:color w:val="auto"/>
                <w:w w:val="89"/>
              </w:rPr>
              <w:t>5201</w:t>
            </w:r>
          </w:p>
        </w:tc>
        <w:tc>
          <w:tcPr>
            <w:tcW w:w="3820" w:type="dxa"/>
            <w:vAlign w:val="bottom"/>
            <w:gridSpan w:val="2"/>
          </w:tcPr>
          <w:p>
            <w:pPr>
              <w:ind w:left="20"/>
              <w:spacing w:after="0"/>
              <w:rPr>
                <w:sz w:val="20"/>
                <w:szCs w:val="20"/>
                <w:color w:val="auto"/>
              </w:rPr>
            </w:pPr>
            <w:r>
              <w:rPr>
                <w:rFonts w:ascii="Arial" w:cs="Arial" w:eastAsia="Arial" w:hAnsi="Arial"/>
                <w:sz w:val="14"/>
                <w:szCs w:val="14"/>
                <w:color w:val="auto"/>
              </w:rPr>
              <w:t>Green Street, Salt Lake City, UT (1)</w:t>
            </w:r>
          </w:p>
        </w:tc>
        <w:tc>
          <w:tcPr>
            <w:tcW w:w="3280" w:type="dxa"/>
            <w:vAlign w:val="bottom"/>
            <w:gridSpan w:val="2"/>
          </w:tcPr>
          <w:p>
            <w:pPr>
              <w:spacing w:after="0"/>
              <w:rPr>
                <w:sz w:val="20"/>
                <w:szCs w:val="20"/>
                <w:color w:val="auto"/>
              </w:rPr>
            </w:pPr>
            <w:r>
              <w:rPr>
                <w:rFonts w:ascii="Arial" w:cs="Arial" w:eastAsia="Arial" w:hAnsi="Arial"/>
                <w:sz w:val="14"/>
                <w:szCs w:val="14"/>
                <w:color w:val="auto"/>
              </w:rPr>
              <w:t>Life Insurance and Mortgage Operations</w:t>
            </w:r>
          </w:p>
        </w:tc>
        <w:tc>
          <w:tcPr>
            <w:tcW w:w="1140" w:type="dxa"/>
            <w:vAlign w:val="bottom"/>
          </w:tcPr>
          <w:p>
            <w:pPr>
              <w:jc w:val="right"/>
              <w:spacing w:after="0"/>
              <w:rPr>
                <w:sz w:val="20"/>
                <w:szCs w:val="20"/>
                <w:color w:val="auto"/>
              </w:rPr>
            </w:pPr>
            <w:r>
              <w:rPr>
                <w:rFonts w:ascii="Arial" w:cs="Arial" w:eastAsia="Arial" w:hAnsi="Arial"/>
                <w:sz w:val="14"/>
                <w:szCs w:val="14"/>
                <w:color w:val="auto"/>
              </w:rPr>
              <w:t>39,157</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72"/>
        </w:trPr>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9"/>
              </w:rPr>
              <w:t>1044</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River Oaks Dr., Flowood, MS</w:t>
            </w: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Life Insurance Operations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19,694</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72"/>
        </w:trPr>
        <w:tc>
          <w:tcPr>
            <w:tcW w:w="300" w:type="dxa"/>
            <w:vAlign w:val="bottom"/>
            <w:gridSpan w:val="2"/>
          </w:tcPr>
          <w:p>
            <w:pPr>
              <w:spacing w:after="0"/>
              <w:rPr>
                <w:sz w:val="20"/>
                <w:szCs w:val="20"/>
                <w:color w:val="auto"/>
              </w:rPr>
            </w:pPr>
            <w:r>
              <w:rPr>
                <w:rFonts w:ascii="Arial" w:cs="Arial" w:eastAsia="Arial" w:hAnsi="Arial"/>
                <w:sz w:val="14"/>
                <w:szCs w:val="14"/>
                <w:color w:val="auto"/>
                <w:w w:val="89"/>
              </w:rPr>
              <w:t>1818</w:t>
            </w:r>
          </w:p>
        </w:tc>
        <w:tc>
          <w:tcPr>
            <w:tcW w:w="3820" w:type="dxa"/>
            <w:vAlign w:val="bottom"/>
            <w:gridSpan w:val="2"/>
          </w:tcPr>
          <w:p>
            <w:pPr>
              <w:ind w:left="20"/>
              <w:spacing w:after="0"/>
              <w:rPr>
                <w:sz w:val="20"/>
                <w:szCs w:val="20"/>
                <w:color w:val="auto"/>
              </w:rPr>
            </w:pPr>
            <w:r>
              <w:rPr>
                <w:rFonts w:ascii="Arial" w:cs="Arial" w:eastAsia="Arial" w:hAnsi="Arial"/>
                <w:sz w:val="14"/>
                <w:szCs w:val="14"/>
                <w:color w:val="auto"/>
              </w:rPr>
              <w:t>Marshall Street, Shreveport, LA (1)(2)</w:t>
            </w:r>
          </w:p>
        </w:tc>
        <w:tc>
          <w:tcPr>
            <w:tcW w:w="3280" w:type="dxa"/>
            <w:vAlign w:val="bottom"/>
            <w:gridSpan w:val="2"/>
          </w:tcPr>
          <w:p>
            <w:pPr>
              <w:spacing w:after="0"/>
              <w:rPr>
                <w:sz w:val="20"/>
                <w:szCs w:val="20"/>
                <w:color w:val="auto"/>
              </w:rPr>
            </w:pPr>
            <w:r>
              <w:rPr>
                <w:rFonts w:ascii="Arial" w:cs="Arial" w:eastAsia="Arial" w:hAnsi="Arial"/>
                <w:sz w:val="14"/>
                <w:szCs w:val="14"/>
                <w:color w:val="auto"/>
              </w:rPr>
              <w:t>Life Insurance Operations</w:t>
            </w:r>
          </w:p>
        </w:tc>
        <w:tc>
          <w:tcPr>
            <w:tcW w:w="1140" w:type="dxa"/>
            <w:vAlign w:val="bottom"/>
          </w:tcPr>
          <w:p>
            <w:pPr>
              <w:jc w:val="right"/>
              <w:spacing w:after="0"/>
              <w:rPr>
                <w:sz w:val="20"/>
                <w:szCs w:val="20"/>
                <w:color w:val="auto"/>
              </w:rPr>
            </w:pPr>
            <w:r>
              <w:rPr>
                <w:rFonts w:ascii="Arial" w:cs="Arial" w:eastAsia="Arial" w:hAnsi="Arial"/>
                <w:sz w:val="14"/>
                <w:szCs w:val="14"/>
                <w:color w:val="auto"/>
              </w:rPr>
              <w:t>12,274</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40" w:type="dxa"/>
            <w:vAlign w:val="bottom"/>
            <w:shd w:val="clear" w:color="auto" w:fill="CCEEFF"/>
          </w:tcPr>
          <w:p>
            <w:pPr>
              <w:spacing w:after="0"/>
              <w:rPr>
                <w:sz w:val="20"/>
                <w:szCs w:val="20"/>
                <w:color w:val="auto"/>
              </w:rPr>
            </w:pPr>
            <w:r>
              <w:rPr>
                <w:rFonts w:ascii="Arial" w:cs="Arial" w:eastAsia="Arial" w:hAnsi="Arial"/>
                <w:sz w:val="14"/>
                <w:szCs w:val="14"/>
                <w:color w:val="auto"/>
                <w:w w:val="94"/>
              </w:rPr>
              <w:t>909</w:t>
            </w:r>
          </w:p>
        </w:tc>
        <w:tc>
          <w:tcPr>
            <w:tcW w:w="38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Foisy Street, Alexandria, LA (1)(2)</w:t>
            </w: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Life Insurance Sales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8,059</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240" w:type="dxa"/>
            <w:vAlign w:val="bottom"/>
          </w:tcPr>
          <w:p>
            <w:pPr>
              <w:spacing w:after="0"/>
              <w:rPr>
                <w:sz w:val="20"/>
                <w:szCs w:val="20"/>
                <w:color w:val="auto"/>
              </w:rPr>
            </w:pPr>
            <w:r>
              <w:rPr>
                <w:rFonts w:ascii="Arial" w:cs="Arial" w:eastAsia="Arial" w:hAnsi="Arial"/>
                <w:sz w:val="14"/>
                <w:szCs w:val="14"/>
                <w:color w:val="auto"/>
                <w:w w:val="94"/>
              </w:rPr>
              <w:t>812</w:t>
            </w:r>
          </w:p>
        </w:tc>
        <w:tc>
          <w:tcPr>
            <w:tcW w:w="3880" w:type="dxa"/>
            <w:vAlign w:val="bottom"/>
            <w:gridSpan w:val="3"/>
          </w:tcPr>
          <w:p>
            <w:pPr>
              <w:ind w:left="20"/>
              <w:spacing w:after="0"/>
              <w:rPr>
                <w:sz w:val="20"/>
                <w:szCs w:val="20"/>
                <w:color w:val="auto"/>
              </w:rPr>
            </w:pPr>
            <w:r>
              <w:rPr>
                <w:rFonts w:ascii="Arial" w:cs="Arial" w:eastAsia="Arial" w:hAnsi="Arial"/>
                <w:sz w:val="14"/>
                <w:szCs w:val="14"/>
                <w:color w:val="auto"/>
              </w:rPr>
              <w:t>Sheppard Street, Minden, LA (1)(2)</w:t>
            </w:r>
          </w:p>
        </w:tc>
        <w:tc>
          <w:tcPr>
            <w:tcW w:w="3280" w:type="dxa"/>
            <w:vAlign w:val="bottom"/>
            <w:gridSpan w:val="2"/>
          </w:tcPr>
          <w:p>
            <w:pPr>
              <w:spacing w:after="0"/>
              <w:rPr>
                <w:sz w:val="20"/>
                <w:szCs w:val="20"/>
                <w:color w:val="auto"/>
              </w:rPr>
            </w:pPr>
            <w:r>
              <w:rPr>
                <w:rFonts w:ascii="Arial" w:cs="Arial" w:eastAsia="Arial" w:hAnsi="Arial"/>
                <w:sz w:val="14"/>
                <w:szCs w:val="14"/>
                <w:color w:val="auto"/>
              </w:rPr>
              <w:t>Life Insurance Sales</w:t>
            </w:r>
          </w:p>
        </w:tc>
        <w:tc>
          <w:tcPr>
            <w:tcW w:w="1140" w:type="dxa"/>
            <w:vAlign w:val="bottom"/>
          </w:tcPr>
          <w:p>
            <w:pPr>
              <w:jc w:val="right"/>
              <w:spacing w:after="0"/>
              <w:rPr>
                <w:sz w:val="20"/>
                <w:szCs w:val="20"/>
                <w:color w:val="auto"/>
              </w:rPr>
            </w:pPr>
            <w:r>
              <w:rPr>
                <w:rFonts w:ascii="Arial" w:cs="Arial" w:eastAsia="Arial" w:hAnsi="Arial"/>
                <w:sz w:val="14"/>
                <w:szCs w:val="14"/>
                <w:color w:val="auto"/>
              </w:rPr>
              <w:t>1,560</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72"/>
        </w:trPr>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w w:val="89"/>
              </w:rPr>
              <w:t>1550</w:t>
            </w: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 3rd Street, Jena, LA (1)(2)</w:t>
            </w:r>
          </w:p>
        </w:tc>
        <w:tc>
          <w:tcPr>
            <w:tcW w:w="32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Life Insurance Sales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6212840" cy="175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12840" cy="175895"/>
                    </a:xfrm>
                    <a:prstGeom prst="rect">
                      <a:avLst/>
                    </a:prstGeom>
                    <a:noFill/>
                  </pic:spPr>
                </pic:pic>
              </a:graphicData>
            </a:graphic>
          </wp:anchor>
        </w:drawing>
      </w:r>
    </w:p>
    <w:p>
      <w:pPr>
        <w:spacing w:after="0" w:line="239" w:lineRule="exact"/>
        <w:rPr>
          <w:sz w:val="20"/>
          <w:szCs w:val="20"/>
          <w:color w:val="auto"/>
        </w:rPr>
      </w:pPr>
    </w:p>
    <w:p>
      <w:pPr>
        <w:ind w:left="204" w:hanging="190"/>
        <w:spacing w:after="0"/>
        <w:tabs>
          <w:tab w:leader="none" w:pos="204"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Included in property and equipment on the condensed consolidated balance sheets</w:t>
      </w:r>
    </w:p>
    <w:p>
      <w:pPr>
        <w:spacing w:after="0" w:line="274" w:lineRule="exact"/>
        <w:rPr>
          <w:rFonts w:ascii="Arial" w:cs="Arial" w:eastAsia="Arial" w:hAnsi="Arial"/>
          <w:sz w:val="14"/>
          <w:szCs w:val="14"/>
          <w:color w:val="auto"/>
        </w:rPr>
      </w:pPr>
    </w:p>
    <w:p>
      <w:pPr>
        <w:ind w:left="204" w:hanging="190"/>
        <w:spacing w:after="0"/>
        <w:tabs>
          <w:tab w:leader="none" w:pos="204" w:val="left"/>
        </w:tabs>
        <w:numPr>
          <w:ilvl w:val="0"/>
          <w:numId w:val="21"/>
        </w:numPr>
        <w:rPr>
          <w:rFonts w:ascii="Arial" w:cs="Arial" w:eastAsia="Arial" w:hAnsi="Arial"/>
          <w:sz w:val="14"/>
          <w:szCs w:val="14"/>
          <w:color w:val="auto"/>
        </w:rPr>
      </w:pPr>
      <w:r>
        <w:rPr>
          <w:rFonts w:ascii="Arial" w:cs="Arial" w:eastAsia="Arial" w:hAnsi="Arial"/>
          <w:sz w:val="14"/>
          <w:szCs w:val="14"/>
          <w:color w:val="auto"/>
        </w:rPr>
        <w:t>See Note 15 regarding the acquisition of Kilpatrick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212840" cy="167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12840" cy="167640"/>
                    </a:xfrm>
                    <a:prstGeom prst="rect">
                      <a:avLst/>
                    </a:prstGeom>
                    <a:noFill/>
                  </pic:spPr>
                </pic:pic>
              </a:graphicData>
            </a:graphic>
          </wp:anchor>
        </w:drawing>
      </w:r>
    </w:p>
    <w:p>
      <w:pPr>
        <w:spacing w:after="0" w:line="198" w:lineRule="exact"/>
        <w:rPr>
          <w:sz w:val="20"/>
          <w:szCs w:val="20"/>
          <w:color w:val="auto"/>
        </w:rPr>
      </w:pPr>
    </w:p>
    <w:p>
      <w:pPr>
        <w:ind w:left="4"/>
        <w:spacing w:after="0"/>
        <w:rPr>
          <w:sz w:val="20"/>
          <w:szCs w:val="20"/>
          <w:color w:val="auto"/>
        </w:rPr>
      </w:pPr>
      <w:r>
        <w:rPr>
          <w:rFonts w:ascii="Arial" w:cs="Arial" w:eastAsia="Arial" w:hAnsi="Arial"/>
          <w:sz w:val="19"/>
          <w:szCs w:val="19"/>
          <w:b w:val="1"/>
          <w:bCs w:val="1"/>
          <w:color w:val="auto"/>
        </w:rPr>
        <w:t>Mortgage Loans Held for Investment</w:t>
      </w:r>
    </w:p>
    <w:p>
      <w:pPr>
        <w:spacing w:after="0" w:line="236" w:lineRule="exact"/>
        <w:rPr>
          <w:sz w:val="20"/>
          <w:szCs w:val="20"/>
          <w:color w:val="auto"/>
        </w:rPr>
      </w:pPr>
    </w:p>
    <w:p>
      <w:pPr>
        <w:jc w:val="both"/>
        <w:ind w:left="4" w:right="920"/>
        <w:spacing w:after="0" w:line="281" w:lineRule="auto"/>
        <w:rPr>
          <w:sz w:val="20"/>
          <w:szCs w:val="20"/>
          <w:color w:val="auto"/>
        </w:rPr>
      </w:pPr>
      <w:r>
        <w:rPr>
          <w:rFonts w:ascii="Arial" w:cs="Arial" w:eastAsia="Arial" w:hAnsi="Arial"/>
          <w:sz w:val="17"/>
          <w:szCs w:val="17"/>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June 30, 2020, the Company had 54%, 15%, 8%, 5%, 5% and 3% of its mortgage loans from borrowers located in the states of Utah, Florida, Texas, Nevada, California, and Arizona, respectively. At December 31, 2019, the Company had 48%, 16%, 10%, 6%, 6% and 5% of its mortgage loans from borrowers located in the states of Utah, Florida, Texas, California, Nevada and Arizona, respectively.</w:t>
      </w:r>
    </w:p>
    <w:p>
      <w:pPr>
        <w:spacing w:after="0" w:line="176" w:lineRule="exact"/>
        <w:rPr>
          <w:sz w:val="20"/>
          <w:szCs w:val="20"/>
          <w:color w:val="auto"/>
        </w:rPr>
      </w:pPr>
    </w:p>
    <w:p>
      <w:pPr>
        <w:jc w:val="both"/>
        <w:ind w:left="4" w:right="920"/>
        <w:spacing w:after="0" w:line="252" w:lineRule="auto"/>
        <w:rPr>
          <w:sz w:val="20"/>
          <w:szCs w:val="20"/>
          <w:color w:val="auto"/>
        </w:rPr>
      </w:pPr>
      <w:r>
        <w:rPr>
          <w:rFonts w:ascii="Arial" w:cs="Arial" w:eastAsia="Arial" w:hAnsi="Arial"/>
          <w:sz w:val="19"/>
          <w:szCs w:val="19"/>
          <w:color w:val="auto"/>
        </w:rPr>
        <w:t>Mortgage loans held for investment are carried at their unpaid principal balances adjusted for net deferred fees, charge-offs, premiums, discounts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195" w:lineRule="exact"/>
        <w:rPr>
          <w:sz w:val="20"/>
          <w:szCs w:val="20"/>
          <w:color w:val="auto"/>
        </w:rPr>
      </w:pPr>
    </w:p>
    <w:p>
      <w:pPr>
        <w:jc w:val="both"/>
        <w:ind w:left="4" w:right="920"/>
        <w:spacing w:after="0" w:line="283" w:lineRule="auto"/>
        <w:rPr>
          <w:sz w:val="20"/>
          <w:szCs w:val="20"/>
          <w:color w:val="auto"/>
        </w:rPr>
      </w:pPr>
      <w:r>
        <w:rPr>
          <w:rFonts w:ascii="Arial" w:cs="Arial" w:eastAsia="Arial" w:hAnsi="Arial"/>
          <w:sz w:val="18"/>
          <w:szCs w:val="18"/>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pacing w:after="0" w:line="166" w:lineRule="exact"/>
        <w:rPr>
          <w:sz w:val="20"/>
          <w:szCs w:val="20"/>
          <w:color w:val="auto"/>
        </w:rPr>
      </w:pPr>
    </w:p>
    <w:p>
      <w:pPr>
        <w:jc w:val="both"/>
        <w:ind w:left="4" w:right="920"/>
        <w:spacing w:after="0" w:line="251" w:lineRule="auto"/>
        <w:rPr>
          <w:sz w:val="20"/>
          <w:szCs w:val="20"/>
          <w:color w:val="auto"/>
        </w:rPr>
      </w:pPr>
      <w:r>
        <w:rPr>
          <w:rFonts w:ascii="Arial" w:cs="Arial" w:eastAsia="Arial" w:hAnsi="Arial"/>
          <w:sz w:val="19"/>
          <w:szCs w:val="19"/>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w:t>
      </w:r>
    </w:p>
    <w:p>
      <w:pPr>
        <w:spacing w:after="0" w:line="209" w:lineRule="exact"/>
        <w:rPr>
          <w:sz w:val="20"/>
          <w:szCs w:val="20"/>
          <w:color w:val="auto"/>
        </w:rPr>
      </w:pPr>
    </w:p>
    <w:p>
      <w:pPr>
        <w:ind w:left="4344"/>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784"/>
          </w:cols>
          <w:pgMar w:left="1276" w:top="347" w:right="839" w:bottom="1440" w:gutter="0" w:footer="0" w:header="0"/>
        </w:sectPr>
      </w:pPr>
    </w:p>
    <w:bookmarkStart w:id="20" w:name="page21"/>
    <w:bookmarkEnd w:id="20"/>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4" w:right="319"/>
        <w:spacing w:after="0" w:line="256" w:lineRule="auto"/>
        <w:rPr>
          <w:sz w:val="20"/>
          <w:szCs w:val="20"/>
          <w:color w:val="auto"/>
        </w:rPr>
      </w:pPr>
      <w:r>
        <w:rPr>
          <w:rFonts w:ascii="Arial" w:cs="Arial" w:eastAsia="Arial" w:hAnsi="Arial"/>
          <w:sz w:val="19"/>
          <w:szCs w:val="19"/>
          <w:color w:val="auto"/>
        </w:rPr>
        <w:t>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or held for sale.</w:t>
      </w:r>
    </w:p>
    <w:p>
      <w:pPr>
        <w:spacing w:after="0" w:line="190" w:lineRule="exact"/>
        <w:rPr>
          <w:sz w:val="20"/>
          <w:szCs w:val="20"/>
          <w:color w:val="auto"/>
        </w:rPr>
      </w:pPr>
    </w:p>
    <w:p>
      <w:pPr>
        <w:jc w:val="both"/>
        <w:ind w:left="4" w:right="319"/>
        <w:spacing w:after="0" w:line="256" w:lineRule="auto"/>
        <w:rPr>
          <w:sz w:val="20"/>
          <w:szCs w:val="20"/>
          <w:color w:val="auto"/>
        </w:rPr>
      </w:pPr>
      <w:r>
        <w:rPr>
          <w:rFonts w:ascii="Arial" w:cs="Arial" w:eastAsia="Arial" w:hAnsi="Arial"/>
          <w:sz w:val="19"/>
          <w:szCs w:val="19"/>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190" w:lineRule="exact"/>
        <w:rPr>
          <w:sz w:val="20"/>
          <w:szCs w:val="20"/>
          <w:color w:val="auto"/>
        </w:rPr>
      </w:pPr>
    </w:p>
    <w:p>
      <w:pPr>
        <w:jc w:val="both"/>
        <w:ind w:left="4" w:right="319"/>
        <w:spacing w:after="0" w:line="261" w:lineRule="auto"/>
        <w:rPr>
          <w:sz w:val="20"/>
          <w:szCs w:val="20"/>
          <w:color w:val="auto"/>
        </w:rPr>
      </w:pPr>
      <w:r>
        <w:rPr>
          <w:rFonts w:ascii="Arial" w:cs="Arial" w:eastAsia="Arial" w:hAnsi="Arial"/>
          <w:sz w:val="19"/>
          <w:szCs w:val="19"/>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85" w:lineRule="exact"/>
        <w:rPr>
          <w:sz w:val="20"/>
          <w:szCs w:val="20"/>
          <w:color w:val="auto"/>
        </w:rPr>
      </w:pPr>
    </w:p>
    <w:p>
      <w:pPr>
        <w:jc w:val="both"/>
        <w:ind w:left="4" w:right="319"/>
        <w:spacing w:after="0" w:line="275"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174" w:lineRule="exact"/>
        <w:rPr>
          <w:sz w:val="20"/>
          <w:szCs w:val="20"/>
          <w:color w:val="auto"/>
        </w:rPr>
      </w:pPr>
    </w:p>
    <w:p>
      <w:pPr>
        <w:jc w:val="both"/>
        <w:ind w:left="4" w:right="319"/>
        <w:spacing w:after="0" w:line="306"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Secured by family dwelling units. These loans are secured by first mortgages on the unit, which are generally the primary residence of the borrower, generally at a loan-to-value ratio (“LTV”) of 80% or less.</w:t>
      </w:r>
    </w:p>
    <w:p>
      <w:pPr>
        <w:spacing w:after="0" w:line="146" w:lineRule="exact"/>
        <w:rPr>
          <w:sz w:val="20"/>
          <w:szCs w:val="20"/>
          <w:color w:val="auto"/>
        </w:rPr>
      </w:pPr>
    </w:p>
    <w:p>
      <w:pPr>
        <w:jc w:val="both"/>
        <w:ind w:left="4" w:right="319"/>
        <w:spacing w:after="0" w:line="281"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189"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1440" w:gutter="0" w:footer="0" w:header="0"/>
        </w:sectPr>
      </w:pPr>
    </w:p>
    <w:bookmarkStart w:id="21" w:name="page22"/>
    <w:bookmarkEnd w:id="21"/>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4" w:right="319"/>
        <w:spacing w:after="0" w:line="261" w:lineRule="auto"/>
        <w:rPr>
          <w:sz w:val="20"/>
          <w:szCs w:val="20"/>
          <w:color w:val="auto"/>
        </w:rPr>
      </w:pPr>
      <w:r>
        <w:rPr>
          <w:rFonts w:ascii="Arial" w:cs="Arial" w:eastAsia="Arial" w:hAnsi="Arial"/>
          <w:sz w:val="19"/>
          <w:szCs w:val="19"/>
          <w:color w:val="auto"/>
        </w:rPr>
        <w:t>The Company establishes a valuation allowance for credit losses in its mortgage loans held for investment portfolio. The following is a summary of the allowance for loan losses as a contra-asset account for the periods presented:</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3"/>
          </w:tcPr>
          <w:p>
            <w:pPr>
              <w:ind w:left="280"/>
              <w:spacing w:after="0"/>
              <w:rPr>
                <w:sz w:val="20"/>
                <w:szCs w:val="20"/>
                <w:color w:val="auto"/>
              </w:rPr>
            </w:pPr>
            <w:r>
              <w:rPr>
                <w:rFonts w:ascii="Arial" w:cs="Arial" w:eastAsia="Arial" w:hAnsi="Arial"/>
                <w:sz w:val="12"/>
                <w:szCs w:val="12"/>
                <w:color w:val="auto"/>
              </w:rPr>
              <w:t>Residential</w:t>
            </w: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56"/>
        </w:trPr>
        <w:tc>
          <w:tcPr>
            <w:tcW w:w="3860" w:type="dxa"/>
            <w:vAlign w:val="bottom"/>
          </w:tcPr>
          <w:p>
            <w:pPr>
              <w:spacing w:after="0"/>
              <w:rPr>
                <w:sz w:val="13"/>
                <w:szCs w:val="13"/>
                <w:color w:val="auto"/>
              </w:rPr>
            </w:pPr>
          </w:p>
        </w:tc>
        <w:tc>
          <w:tcPr>
            <w:tcW w:w="1300" w:type="dxa"/>
            <w:vAlign w:val="bottom"/>
            <w:gridSpan w:val="3"/>
          </w:tcPr>
          <w:p>
            <w:pPr>
              <w:ind w:left="240"/>
              <w:spacing w:after="0"/>
              <w:rPr>
                <w:sz w:val="20"/>
                <w:szCs w:val="20"/>
                <w:color w:val="auto"/>
              </w:rPr>
            </w:pPr>
            <w:r>
              <w:rPr>
                <w:rFonts w:ascii="Arial" w:cs="Arial" w:eastAsia="Arial" w:hAnsi="Arial"/>
                <w:sz w:val="12"/>
                <w:szCs w:val="12"/>
                <w:color w:val="auto"/>
              </w:rPr>
              <w:t>Commercial</w:t>
            </w:r>
          </w:p>
        </w:tc>
        <w:tc>
          <w:tcPr>
            <w:tcW w:w="1300" w:type="dxa"/>
            <w:vAlign w:val="bottom"/>
            <w:gridSpan w:val="3"/>
          </w:tcPr>
          <w:p>
            <w:pPr>
              <w:ind w:left="280"/>
              <w:spacing w:after="0"/>
              <w:rPr>
                <w:sz w:val="20"/>
                <w:szCs w:val="20"/>
                <w:color w:val="auto"/>
              </w:rPr>
            </w:pPr>
            <w:r>
              <w:rPr>
                <w:rFonts w:ascii="Arial" w:cs="Arial" w:eastAsia="Arial" w:hAnsi="Arial"/>
                <w:sz w:val="12"/>
                <w:szCs w:val="12"/>
                <w:color w:val="auto"/>
              </w:rPr>
              <w:t>Residential</w:t>
            </w:r>
          </w:p>
        </w:tc>
        <w:tc>
          <w:tcPr>
            <w:tcW w:w="1320" w:type="dxa"/>
            <w:vAlign w:val="bottom"/>
            <w:gridSpan w:val="3"/>
          </w:tcPr>
          <w:p>
            <w:pPr>
              <w:ind w:left="240"/>
              <w:spacing w:after="0"/>
              <w:rPr>
                <w:sz w:val="20"/>
                <w:szCs w:val="20"/>
                <w:color w:val="auto"/>
              </w:rPr>
            </w:pPr>
            <w:r>
              <w:rPr>
                <w:rFonts w:ascii="Arial" w:cs="Arial" w:eastAsia="Arial" w:hAnsi="Arial"/>
                <w:sz w:val="12"/>
                <w:szCs w:val="12"/>
                <w:color w:val="auto"/>
              </w:rPr>
              <w:t>Construction</w:t>
            </w:r>
          </w:p>
        </w:tc>
        <w:tc>
          <w:tcPr>
            <w:tcW w:w="360" w:type="dxa"/>
            <w:vAlign w:val="bottom"/>
          </w:tcPr>
          <w:p>
            <w:pPr>
              <w:spacing w:after="0"/>
              <w:rPr>
                <w:sz w:val="13"/>
                <w:szCs w:val="13"/>
                <w:color w:val="auto"/>
              </w:rPr>
            </w:pPr>
          </w:p>
        </w:tc>
        <w:tc>
          <w:tcPr>
            <w:tcW w:w="720" w:type="dxa"/>
            <w:vAlign w:val="bottom"/>
          </w:tcPr>
          <w:p>
            <w:pPr>
              <w:jc w:val="right"/>
              <w:ind w:right="350"/>
              <w:spacing w:after="0"/>
              <w:rPr>
                <w:sz w:val="20"/>
                <w:szCs w:val="20"/>
                <w:color w:val="auto"/>
              </w:rPr>
            </w:pPr>
            <w:r>
              <w:rPr>
                <w:rFonts w:ascii="Arial" w:cs="Arial" w:eastAsia="Arial" w:hAnsi="Arial"/>
                <w:sz w:val="12"/>
                <w:szCs w:val="12"/>
                <w:color w:val="auto"/>
              </w:rPr>
              <w:t>Total</w:t>
            </w:r>
          </w:p>
        </w:tc>
      </w:tr>
      <w:tr>
        <w:trPr>
          <w:trHeight w:val="237"/>
        </w:trPr>
        <w:tc>
          <w:tcPr>
            <w:tcW w:w="3860" w:type="dxa"/>
            <w:vAlign w:val="bottom"/>
          </w:tcPr>
          <w:p>
            <w:pPr>
              <w:spacing w:after="0"/>
              <w:rPr>
                <w:sz w:val="20"/>
                <w:szCs w:val="20"/>
                <w:color w:val="auto"/>
              </w:rPr>
            </w:pPr>
            <w:r>
              <w:rPr>
                <w:rFonts w:ascii="Arial" w:cs="Arial" w:eastAsia="Arial" w:hAnsi="Arial"/>
                <w:sz w:val="14"/>
                <w:szCs w:val="14"/>
                <w:b w:val="1"/>
                <w:bCs w:val="1"/>
                <w:color w:val="auto"/>
              </w:rPr>
              <w:t>June 30, 2020</w:t>
            </w:r>
          </w:p>
        </w:tc>
        <w:tc>
          <w:tcPr>
            <w:tcW w:w="3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35"/>
        </w:trPr>
        <w:tc>
          <w:tcPr>
            <w:tcW w:w="3860" w:type="dxa"/>
            <w:vAlign w:val="bottom"/>
          </w:tcPr>
          <w:p>
            <w:pPr>
              <w:spacing w:after="0"/>
              <w:rPr>
                <w:sz w:val="20"/>
                <w:szCs w:val="20"/>
                <w:color w:val="auto"/>
              </w:rPr>
            </w:pPr>
            <w:r>
              <w:rPr>
                <w:rFonts w:ascii="Arial" w:cs="Arial" w:eastAsia="Arial" w:hAnsi="Arial"/>
                <w:sz w:val="14"/>
                <w:szCs w:val="14"/>
                <w:color w:val="auto"/>
              </w:rPr>
              <w:t>Allowance for credit losses: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4"/>
        </w:trPr>
        <w:tc>
          <w:tcPr>
            <w:tcW w:w="386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 - January 1, 2020</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1,222,706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43,202</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1,453,037</w:t>
            </w:r>
          </w:p>
        </w:tc>
      </w:tr>
      <w:tr>
        <w:trPr>
          <w:trHeight w:val="224"/>
        </w:trPr>
        <w:tc>
          <w:tcPr>
            <w:tcW w:w="3860" w:type="dxa"/>
            <w:vAlign w:val="bottom"/>
          </w:tcPr>
          <w:p>
            <w:pPr>
              <w:ind w:left="80"/>
              <w:spacing w:after="0"/>
              <w:rPr>
                <w:sz w:val="20"/>
                <w:szCs w:val="20"/>
                <w:color w:val="auto"/>
              </w:rPr>
            </w:pPr>
            <w:r>
              <w:rPr>
                <w:rFonts w:ascii="Arial" w:cs="Arial" w:eastAsia="Arial" w:hAnsi="Arial"/>
                <w:sz w:val="14"/>
                <w:szCs w:val="14"/>
                <w:color w:val="auto"/>
              </w:rPr>
              <w:t>Charge-offs</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4"/>
        </w:trPr>
        <w:tc>
          <w:tcPr>
            <w:tcW w:w="3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Provision</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990,520</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990,520</w:t>
            </w:r>
          </w:p>
        </w:tc>
      </w:tr>
      <w:tr>
        <w:trPr>
          <w:trHeight w:val="244"/>
        </w:trPr>
        <w:tc>
          <w:tcPr>
            <w:tcW w:w="3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Ending balance - June 30, 2020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2,213,226</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43,202</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2,443,557</w:t>
            </w:r>
          </w:p>
        </w:tc>
      </w:tr>
      <w:tr>
        <w:trPr>
          <w:trHeight w:val="217"/>
        </w:trPr>
        <w:tc>
          <w:tcPr>
            <w:tcW w:w="3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64"/>
        </w:trPr>
        <w:tc>
          <w:tcPr>
            <w:tcW w:w="3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Ending balance: individually evaluated for impairment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427,069</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427,069</w:t>
            </w:r>
          </w:p>
        </w:tc>
      </w:tr>
      <w:tr>
        <w:trPr>
          <w:trHeight w:val="217"/>
        </w:trPr>
        <w:tc>
          <w:tcPr>
            <w:tcW w:w="3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64"/>
        </w:trPr>
        <w:tc>
          <w:tcPr>
            <w:tcW w:w="3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Ending balance: collectively evaluated for impairment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1,786,157</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43,202</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2,016,488</w:t>
            </w:r>
          </w:p>
        </w:tc>
      </w:tr>
      <w:tr>
        <w:trPr>
          <w:trHeight w:val="217"/>
        </w:trPr>
        <w:tc>
          <w:tcPr>
            <w:tcW w:w="3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8"/>
        </w:trPr>
        <w:tc>
          <w:tcPr>
            <w:tcW w:w="3860" w:type="dxa"/>
            <w:vAlign w:val="bottom"/>
          </w:tcPr>
          <w:p>
            <w:pPr>
              <w:spacing w:after="0"/>
              <w:rPr>
                <w:sz w:val="20"/>
                <w:szCs w:val="20"/>
                <w:color w:val="auto"/>
              </w:rPr>
            </w:pPr>
            <w:r>
              <w:rPr>
                <w:rFonts w:ascii="Arial" w:cs="Arial" w:eastAsia="Arial" w:hAnsi="Arial"/>
                <w:sz w:val="14"/>
                <w:szCs w:val="14"/>
                <w:color w:val="auto"/>
              </w:rPr>
              <w:t>Mortgage loans: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49,613,367</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109,304,960</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106,890,366</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265,808,693</w:t>
            </w: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Ending balance: individually evaluated for impairment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1,039,013</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7,106,397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1,389,574</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9,534,984</w:t>
            </w: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Ending balance: collectively evaluated for impairment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48,574,354</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102,198,563</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105,500,792</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256,273,709</w:t>
            </w: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8"/>
        </w:trPr>
        <w:tc>
          <w:tcPr>
            <w:tcW w:w="3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r>
      <w:tr>
        <w:trPr>
          <w:trHeight w:val="238"/>
        </w:trPr>
        <w:tc>
          <w:tcPr>
            <w:tcW w:w="3860" w:type="dxa"/>
            <w:vAlign w:val="bottom"/>
          </w:tcPr>
          <w:p>
            <w:pPr>
              <w:spacing w:after="0"/>
              <w:rPr>
                <w:sz w:val="20"/>
                <w:szCs w:val="20"/>
                <w:color w:val="auto"/>
              </w:rPr>
            </w:pPr>
            <w:r>
              <w:rPr>
                <w:rFonts w:ascii="Arial" w:cs="Arial" w:eastAsia="Arial" w:hAnsi="Arial"/>
                <w:sz w:val="14"/>
                <w:szCs w:val="14"/>
                <w:color w:val="auto"/>
              </w:rPr>
              <w:t>Allowance for credit losses: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4"/>
        </w:trPr>
        <w:tc>
          <w:tcPr>
            <w:tcW w:w="386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 - January 1, 2019</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1,125,623</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35,220</w:t>
            </w:r>
          </w:p>
        </w:tc>
        <w:tc>
          <w:tcPr>
            <w:tcW w:w="2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1,347,972</w:t>
            </w:r>
          </w:p>
        </w:tc>
      </w:tr>
      <w:tr>
        <w:trPr>
          <w:trHeight w:val="224"/>
        </w:trPr>
        <w:tc>
          <w:tcPr>
            <w:tcW w:w="3860" w:type="dxa"/>
            <w:vAlign w:val="bottom"/>
          </w:tcPr>
          <w:p>
            <w:pPr>
              <w:ind w:left="80"/>
              <w:spacing w:after="0"/>
              <w:rPr>
                <w:sz w:val="20"/>
                <w:szCs w:val="20"/>
                <w:color w:val="auto"/>
              </w:rPr>
            </w:pPr>
            <w:r>
              <w:rPr>
                <w:rFonts w:ascii="Arial" w:cs="Arial" w:eastAsia="Arial" w:hAnsi="Arial"/>
                <w:sz w:val="14"/>
                <w:szCs w:val="14"/>
                <w:color w:val="auto"/>
              </w:rPr>
              <w:t>Charge-offs</w:t>
            </w: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(32,692)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(32,692)</w:t>
            </w:r>
          </w:p>
        </w:tc>
      </w:tr>
      <w:tr>
        <w:trPr>
          <w:trHeight w:val="224"/>
        </w:trPr>
        <w:tc>
          <w:tcPr>
            <w:tcW w:w="3860" w:type="dxa"/>
            <w:vAlign w:val="bottom"/>
            <w:shd w:val="clear" w:color="auto" w:fill="CCEEFF"/>
          </w:tcPr>
          <w:p>
            <w:pPr>
              <w:ind w:left="80"/>
              <w:spacing w:after="0"/>
              <w:rPr>
                <w:sz w:val="20"/>
                <w:szCs w:val="20"/>
                <w:color w:val="auto"/>
              </w:rPr>
            </w:pPr>
            <w:r>
              <w:rPr>
                <w:rFonts w:ascii="Arial" w:cs="Arial" w:eastAsia="Arial" w:hAnsi="Arial"/>
                <w:sz w:val="14"/>
                <w:szCs w:val="14"/>
                <w:color w:val="auto"/>
              </w:rPr>
              <w:t>Provision</w:t>
            </w:r>
          </w:p>
        </w:tc>
        <w:tc>
          <w:tcPr>
            <w:tcW w:w="3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129,775</w:t>
            </w:r>
          </w:p>
        </w:tc>
        <w:tc>
          <w:tcPr>
            <w:tcW w:w="2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2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137,757</w:t>
            </w:r>
          </w:p>
        </w:tc>
      </w:tr>
      <w:tr>
        <w:trPr>
          <w:trHeight w:val="244"/>
        </w:trPr>
        <w:tc>
          <w:tcPr>
            <w:tcW w:w="3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Ending balance - December 31, 2019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1,222,706</w:t>
            </w:r>
          </w:p>
        </w:tc>
        <w:tc>
          <w:tcPr>
            <w:tcW w:w="2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43,202</w:t>
            </w:r>
          </w:p>
        </w:tc>
        <w:tc>
          <w:tcPr>
            <w:tcW w:w="2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1,453,037</w:t>
            </w:r>
          </w:p>
        </w:tc>
      </w:tr>
      <w:tr>
        <w:trPr>
          <w:trHeight w:val="217"/>
        </w:trPr>
        <w:tc>
          <w:tcPr>
            <w:tcW w:w="3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64"/>
        </w:trPr>
        <w:tc>
          <w:tcPr>
            <w:tcW w:w="3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Ending balance: individually evaluated for impairment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195,993</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195,993</w:t>
            </w:r>
          </w:p>
        </w:tc>
      </w:tr>
      <w:tr>
        <w:trPr>
          <w:trHeight w:val="217"/>
        </w:trPr>
        <w:tc>
          <w:tcPr>
            <w:tcW w:w="3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64"/>
        </w:trPr>
        <w:tc>
          <w:tcPr>
            <w:tcW w:w="38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Ending balance: collectively evaluated for impairment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187,129</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1,026,713</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43,202</w:t>
            </w: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1,257,044</w:t>
            </w:r>
          </w:p>
        </w:tc>
      </w:tr>
      <w:tr>
        <w:trPr>
          <w:trHeight w:val="217"/>
        </w:trPr>
        <w:tc>
          <w:tcPr>
            <w:tcW w:w="3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8"/>
        </w:trPr>
        <w:tc>
          <w:tcPr>
            <w:tcW w:w="3860" w:type="dxa"/>
            <w:vAlign w:val="bottom"/>
          </w:tcPr>
          <w:p>
            <w:pPr>
              <w:spacing w:after="0"/>
              <w:rPr>
                <w:sz w:val="20"/>
                <w:szCs w:val="20"/>
                <w:color w:val="auto"/>
              </w:rPr>
            </w:pPr>
            <w:r>
              <w:rPr>
                <w:rFonts w:ascii="Arial" w:cs="Arial" w:eastAsia="Arial" w:hAnsi="Arial"/>
                <w:sz w:val="14"/>
                <w:szCs w:val="14"/>
                <w:color w:val="auto"/>
              </w:rPr>
              <w:t>Mortgage loans:</w:t>
            </w: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Ending balance</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38,718,220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113,043,965</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89,430,237</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241,192,422</w:t>
            </w: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Ending balance: individually evaluated for impairment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4,488,719</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3,752,207</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655,000</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8,895,926</w:t>
            </w: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17"/>
        </w:trPr>
        <w:tc>
          <w:tcPr>
            <w:tcW w:w="3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4"/>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Ending balance: collectively evaluated for impairment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34,229,501</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109,291,758</w:t>
            </w:r>
          </w:p>
        </w:tc>
        <w:tc>
          <w:tcPr>
            <w:tcW w:w="2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88,775,237</w:t>
            </w:r>
          </w:p>
        </w:tc>
        <w:tc>
          <w:tcPr>
            <w:tcW w:w="2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232,296,496</w:t>
            </w:r>
          </w:p>
        </w:tc>
      </w:tr>
      <w:tr>
        <w:trPr>
          <w:trHeight w:val="20"/>
        </w:trPr>
        <w:tc>
          <w:tcPr>
            <w:tcW w:w="3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1440" w:gutter="0" w:footer="0" w:header="0"/>
        </w:sectPr>
      </w:pPr>
    </w:p>
    <w:bookmarkStart w:id="22" w:name="page23"/>
    <w:bookmarkEnd w:id="22"/>
    <w:p>
      <w:pPr>
        <w:jc w:val="center"/>
        <w:ind w:right="956"/>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 following is a summary of the aging of mortgage loans held for investment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156845</wp:posOffset>
            </wp:positionV>
            <wp:extent cx="56934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3410" cy="8255"/>
                    </a:xfrm>
                    <a:prstGeom prst="rect">
                      <a:avLst/>
                    </a:prstGeom>
                    <a:noFill/>
                  </pic:spPr>
                </pic:pic>
              </a:graphicData>
            </a:graphic>
          </wp:anchor>
        </w:drawing>
      </w:r>
    </w:p>
    <w:p>
      <w:pPr>
        <w:spacing w:after="0" w:line="316" w:lineRule="exact"/>
        <w:rPr>
          <w:sz w:val="20"/>
          <w:szCs w:val="20"/>
          <w:color w:val="auto"/>
        </w:rPr>
      </w:pPr>
    </w:p>
    <w:tbl>
      <w:tblPr>
        <w:tblLayout w:type="fixed"/>
        <w:tblInd w:w="4" w:type="dxa"/>
        <w:tblCellMar>
          <w:top w:w="0" w:type="dxa"/>
          <w:left w:w="0" w:type="dxa"/>
          <w:bottom w:w="0" w:type="dxa"/>
          <w:right w:w="0" w:type="dxa"/>
        </w:tblCellMar>
      </w:tblPr>
      <w:tr>
        <w:trPr>
          <w:trHeight w:val="126"/>
        </w:trPr>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2"/>
          </w:tcPr>
          <w:p>
            <w:pPr>
              <w:jc w:val="center"/>
              <w:ind w:right="27"/>
              <w:spacing w:after="0"/>
              <w:rPr>
                <w:sz w:val="20"/>
                <w:szCs w:val="20"/>
                <w:color w:val="auto"/>
              </w:rPr>
            </w:pPr>
            <w:r>
              <w:rPr>
                <w:rFonts w:ascii="Arial" w:cs="Arial" w:eastAsia="Arial" w:hAnsi="Arial"/>
                <w:sz w:val="11"/>
                <w:szCs w:val="11"/>
                <w:color w:val="auto"/>
                <w:w w:val="86"/>
              </w:rPr>
              <w:t>Unamortized</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19"/>
        </w:trPr>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jc w:val="right"/>
              <w:ind w:right="147"/>
              <w:spacing w:after="0" w:line="119" w:lineRule="exact"/>
              <w:rPr>
                <w:sz w:val="20"/>
                <w:szCs w:val="20"/>
                <w:color w:val="auto"/>
              </w:rPr>
            </w:pPr>
            <w:r>
              <w:rPr>
                <w:rFonts w:ascii="Arial" w:cs="Arial" w:eastAsia="Arial" w:hAnsi="Arial"/>
                <w:sz w:val="11"/>
                <w:szCs w:val="11"/>
                <w:color w:val="auto"/>
                <w:w w:val="95"/>
              </w:rPr>
              <w:t>30-59 Days</w:t>
            </w:r>
          </w:p>
        </w:tc>
        <w:tc>
          <w:tcPr>
            <w:tcW w:w="700" w:type="dxa"/>
            <w:vAlign w:val="bottom"/>
            <w:gridSpan w:val="2"/>
          </w:tcPr>
          <w:p>
            <w:pPr>
              <w:jc w:val="right"/>
              <w:ind w:right="107"/>
              <w:spacing w:after="0" w:line="119" w:lineRule="exact"/>
              <w:rPr>
                <w:sz w:val="20"/>
                <w:szCs w:val="20"/>
                <w:color w:val="auto"/>
              </w:rPr>
            </w:pPr>
            <w:r>
              <w:rPr>
                <w:rFonts w:ascii="Arial" w:cs="Arial" w:eastAsia="Arial" w:hAnsi="Arial"/>
                <w:sz w:val="11"/>
                <w:szCs w:val="11"/>
                <w:color w:val="auto"/>
                <w:w w:val="92"/>
              </w:rPr>
              <w:t>60-89 Days</w:t>
            </w:r>
          </w:p>
        </w:tc>
        <w:tc>
          <w:tcPr>
            <w:tcW w:w="780" w:type="dxa"/>
            <w:vAlign w:val="bottom"/>
            <w:gridSpan w:val="2"/>
          </w:tcPr>
          <w:p>
            <w:pPr>
              <w:jc w:val="right"/>
              <w:ind w:right="107"/>
              <w:spacing w:after="0" w:line="119" w:lineRule="exact"/>
              <w:rPr>
                <w:sz w:val="20"/>
                <w:szCs w:val="20"/>
                <w:color w:val="auto"/>
              </w:rPr>
            </w:pPr>
            <w:r>
              <w:rPr>
                <w:rFonts w:ascii="Arial" w:cs="Arial" w:eastAsia="Arial" w:hAnsi="Arial"/>
                <w:sz w:val="11"/>
                <w:szCs w:val="11"/>
                <w:color w:val="auto"/>
                <w:w w:val="91"/>
              </w:rPr>
              <w:t>Greater Than</w:t>
            </w:r>
          </w:p>
        </w:tc>
        <w:tc>
          <w:tcPr>
            <w:tcW w:w="960" w:type="dxa"/>
            <w:vAlign w:val="bottom"/>
            <w:gridSpan w:val="2"/>
          </w:tcPr>
          <w:p>
            <w:pPr>
              <w:jc w:val="right"/>
              <w:ind w:right="227"/>
              <w:spacing w:after="0" w:line="119" w:lineRule="exact"/>
              <w:rPr>
                <w:sz w:val="20"/>
                <w:szCs w:val="20"/>
                <w:color w:val="auto"/>
              </w:rPr>
            </w:pPr>
            <w:r>
              <w:rPr>
                <w:rFonts w:ascii="Arial" w:cs="Arial" w:eastAsia="Arial" w:hAnsi="Arial"/>
                <w:sz w:val="11"/>
                <w:szCs w:val="11"/>
                <w:color w:val="auto"/>
              </w:rPr>
              <w:t>In Process of</w:t>
            </w:r>
          </w:p>
        </w:tc>
        <w:tc>
          <w:tcPr>
            <w:tcW w:w="780" w:type="dxa"/>
            <w:vAlign w:val="bottom"/>
            <w:gridSpan w:val="2"/>
          </w:tcPr>
          <w:p>
            <w:pPr>
              <w:jc w:val="right"/>
              <w:ind w:right="327"/>
              <w:spacing w:after="0" w:line="119" w:lineRule="exact"/>
              <w:rPr>
                <w:sz w:val="20"/>
                <w:szCs w:val="20"/>
                <w:color w:val="auto"/>
              </w:rPr>
            </w:pPr>
            <w:r>
              <w:rPr>
                <w:rFonts w:ascii="Arial" w:cs="Arial" w:eastAsia="Arial" w:hAnsi="Arial"/>
                <w:sz w:val="11"/>
                <w:szCs w:val="11"/>
                <w:color w:val="auto"/>
              </w:rPr>
              <w:t>Total</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jc w:val="right"/>
              <w:ind w:right="307"/>
              <w:spacing w:after="0" w:line="119" w:lineRule="exact"/>
              <w:rPr>
                <w:sz w:val="20"/>
                <w:szCs w:val="20"/>
                <w:color w:val="auto"/>
              </w:rPr>
            </w:pPr>
            <w:r>
              <w:rPr>
                <w:rFonts w:ascii="Arial" w:cs="Arial" w:eastAsia="Arial" w:hAnsi="Arial"/>
                <w:sz w:val="11"/>
                <w:szCs w:val="11"/>
                <w:color w:val="auto"/>
                <w:w w:val="81"/>
              </w:rPr>
              <w:t>Total</w:t>
            </w:r>
          </w:p>
        </w:tc>
        <w:tc>
          <w:tcPr>
            <w:tcW w:w="760" w:type="dxa"/>
            <w:vAlign w:val="bottom"/>
            <w:gridSpan w:val="2"/>
          </w:tcPr>
          <w:p>
            <w:pPr>
              <w:jc w:val="right"/>
              <w:ind w:right="67"/>
              <w:spacing w:after="0" w:line="119" w:lineRule="exact"/>
              <w:rPr>
                <w:sz w:val="20"/>
                <w:szCs w:val="20"/>
                <w:color w:val="auto"/>
              </w:rPr>
            </w:pPr>
            <w:r>
              <w:rPr>
                <w:rFonts w:ascii="Arial" w:cs="Arial" w:eastAsia="Arial" w:hAnsi="Arial"/>
                <w:sz w:val="11"/>
                <w:szCs w:val="11"/>
                <w:color w:val="auto"/>
                <w:w w:val="93"/>
              </w:rPr>
              <w:t>Allowance for</w:t>
            </w:r>
          </w:p>
        </w:tc>
        <w:tc>
          <w:tcPr>
            <w:tcW w:w="940" w:type="dxa"/>
            <w:vAlign w:val="bottom"/>
            <w:gridSpan w:val="2"/>
          </w:tcPr>
          <w:p>
            <w:pPr>
              <w:jc w:val="center"/>
              <w:ind w:right="27"/>
              <w:spacing w:after="0" w:line="119" w:lineRule="exact"/>
              <w:rPr>
                <w:sz w:val="20"/>
                <w:szCs w:val="20"/>
                <w:color w:val="auto"/>
              </w:rPr>
            </w:pPr>
            <w:r>
              <w:rPr>
                <w:rFonts w:ascii="Arial" w:cs="Arial" w:eastAsia="Arial" w:hAnsi="Arial"/>
                <w:sz w:val="11"/>
                <w:szCs w:val="11"/>
                <w:color w:val="auto"/>
                <w:w w:val="84"/>
              </w:rPr>
              <w:t>deferred loan fees,</w:t>
            </w:r>
          </w:p>
        </w:tc>
        <w:tc>
          <w:tcPr>
            <w:tcW w:w="860" w:type="dxa"/>
            <w:vAlign w:val="bottom"/>
            <w:gridSpan w:val="2"/>
          </w:tcPr>
          <w:p>
            <w:pPr>
              <w:jc w:val="right"/>
              <w:ind w:right="167"/>
              <w:spacing w:after="0" w:line="119" w:lineRule="exact"/>
              <w:rPr>
                <w:sz w:val="20"/>
                <w:szCs w:val="20"/>
                <w:color w:val="auto"/>
              </w:rPr>
            </w:pPr>
            <w:r>
              <w:rPr>
                <w:rFonts w:ascii="Arial" w:cs="Arial" w:eastAsia="Arial" w:hAnsi="Arial"/>
                <w:sz w:val="11"/>
                <w:szCs w:val="11"/>
                <w:color w:val="auto"/>
                <w:w w:val="99"/>
              </w:rPr>
              <w:t>Unamortized</w:t>
            </w:r>
          </w:p>
        </w:tc>
        <w:tc>
          <w:tcPr>
            <w:tcW w:w="780" w:type="dxa"/>
            <w:vAlign w:val="bottom"/>
            <w:gridSpan w:val="2"/>
          </w:tcPr>
          <w:p>
            <w:pPr>
              <w:jc w:val="right"/>
              <w:ind w:right="87"/>
              <w:spacing w:after="0" w:line="119" w:lineRule="exact"/>
              <w:rPr>
                <w:sz w:val="20"/>
                <w:szCs w:val="20"/>
                <w:color w:val="auto"/>
              </w:rPr>
            </w:pPr>
            <w:r>
              <w:rPr>
                <w:rFonts w:ascii="Arial" w:cs="Arial" w:eastAsia="Arial" w:hAnsi="Arial"/>
                <w:sz w:val="11"/>
                <w:szCs w:val="11"/>
                <w:color w:val="auto"/>
                <w:w w:val="92"/>
              </w:rPr>
              <w:t>Net Mortgage</w:t>
            </w:r>
          </w:p>
        </w:tc>
      </w:tr>
      <w:tr>
        <w:trPr>
          <w:trHeight w:val="137"/>
        </w:trPr>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color w:val="auto"/>
              </w:rPr>
              <w:t>Past Due</w:t>
            </w:r>
          </w:p>
        </w:tc>
        <w:tc>
          <w:tcPr>
            <w:tcW w:w="70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1"/>
                <w:szCs w:val="11"/>
                <w:color w:val="auto"/>
              </w:rPr>
              <w:t>Past Due</w:t>
            </w:r>
          </w:p>
        </w:tc>
        <w:tc>
          <w:tcPr>
            <w:tcW w:w="78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1"/>
                <w:szCs w:val="11"/>
                <w:color w:val="auto"/>
              </w:rPr>
              <w:t>90 Days (1)</w:t>
            </w:r>
          </w:p>
        </w:tc>
        <w:tc>
          <w:tcPr>
            <w:tcW w:w="960" w:type="dxa"/>
            <w:vAlign w:val="bottom"/>
            <w:tcBorders>
              <w:bottom w:val="single" w:sz="8" w:color="auto"/>
            </w:tcBorders>
            <w:gridSpan w:val="2"/>
          </w:tcPr>
          <w:p>
            <w:pPr>
              <w:jc w:val="right"/>
              <w:ind w:right="167"/>
              <w:spacing w:after="0"/>
              <w:rPr>
                <w:sz w:val="20"/>
                <w:szCs w:val="20"/>
                <w:color w:val="auto"/>
              </w:rPr>
            </w:pPr>
            <w:r>
              <w:rPr>
                <w:rFonts w:ascii="Arial" w:cs="Arial" w:eastAsia="Arial" w:hAnsi="Arial"/>
                <w:sz w:val="11"/>
                <w:szCs w:val="11"/>
                <w:color w:val="auto"/>
                <w:w w:val="96"/>
              </w:rPr>
              <w:t>Foreclosure (1)</w:t>
            </w:r>
          </w:p>
        </w:tc>
        <w:tc>
          <w:tcPr>
            <w:tcW w:w="780" w:type="dxa"/>
            <w:vAlign w:val="bottom"/>
            <w:tcBorders>
              <w:bottom w:val="single" w:sz="8" w:color="auto"/>
            </w:tcBorders>
            <w:gridSpan w:val="2"/>
          </w:tcPr>
          <w:p>
            <w:pPr>
              <w:jc w:val="right"/>
              <w:ind w:right="247"/>
              <w:spacing w:after="0"/>
              <w:rPr>
                <w:sz w:val="20"/>
                <w:szCs w:val="20"/>
                <w:color w:val="auto"/>
              </w:rPr>
            </w:pPr>
            <w:r>
              <w:rPr>
                <w:rFonts w:ascii="Arial" w:cs="Arial" w:eastAsia="Arial" w:hAnsi="Arial"/>
                <w:sz w:val="11"/>
                <w:szCs w:val="11"/>
                <w:color w:val="auto"/>
              </w:rPr>
              <w:t>Past Due</w:t>
            </w:r>
          </w:p>
        </w:tc>
        <w:tc>
          <w:tcPr>
            <w:tcW w:w="740" w:type="dxa"/>
            <w:vAlign w:val="bottom"/>
            <w:tcBorders>
              <w:bottom w:val="single" w:sz="8" w:color="auto"/>
            </w:tcBorders>
            <w:gridSpan w:val="2"/>
          </w:tcPr>
          <w:p>
            <w:pPr>
              <w:jc w:val="right"/>
              <w:ind w:right="207"/>
              <w:spacing w:after="0"/>
              <w:rPr>
                <w:sz w:val="20"/>
                <w:szCs w:val="20"/>
                <w:color w:val="auto"/>
              </w:rPr>
            </w:pPr>
            <w:r>
              <w:rPr>
                <w:rFonts w:ascii="Arial" w:cs="Arial" w:eastAsia="Arial" w:hAnsi="Arial"/>
                <w:sz w:val="11"/>
                <w:szCs w:val="11"/>
                <w:color w:val="auto"/>
              </w:rPr>
              <w:t>Current</w:t>
            </w:r>
          </w:p>
        </w:tc>
        <w:tc>
          <w:tcPr>
            <w:tcW w:w="84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1"/>
                <w:szCs w:val="11"/>
                <w:color w:val="auto"/>
                <w:w w:val="90"/>
              </w:rPr>
              <w:t>Mortgage Loans</w:t>
            </w:r>
          </w:p>
        </w:tc>
        <w:tc>
          <w:tcPr>
            <w:tcW w:w="760" w:type="dxa"/>
            <w:vAlign w:val="bottom"/>
            <w:tcBorders>
              <w:bottom w:val="single" w:sz="8" w:color="auto"/>
            </w:tcBorders>
            <w:gridSpan w:val="2"/>
          </w:tcPr>
          <w:p>
            <w:pPr>
              <w:jc w:val="right"/>
              <w:ind w:right="87"/>
              <w:spacing w:after="0"/>
              <w:rPr>
                <w:sz w:val="20"/>
                <w:szCs w:val="20"/>
                <w:color w:val="auto"/>
              </w:rPr>
            </w:pPr>
            <w:r>
              <w:rPr>
                <w:rFonts w:ascii="Arial" w:cs="Arial" w:eastAsia="Arial" w:hAnsi="Arial"/>
                <w:sz w:val="11"/>
                <w:szCs w:val="11"/>
                <w:color w:val="auto"/>
                <w:w w:val="96"/>
              </w:rPr>
              <w:t>Loan Losses</w:t>
            </w:r>
          </w:p>
        </w:tc>
        <w:tc>
          <w:tcPr>
            <w:tcW w:w="3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367"/>
              <w:spacing w:after="0"/>
              <w:rPr>
                <w:sz w:val="20"/>
                <w:szCs w:val="20"/>
                <w:color w:val="auto"/>
              </w:rPr>
            </w:pPr>
            <w:r>
              <w:rPr>
                <w:rFonts w:ascii="Arial" w:cs="Arial" w:eastAsia="Arial" w:hAnsi="Arial"/>
                <w:sz w:val="11"/>
                <w:szCs w:val="11"/>
                <w:color w:val="auto"/>
                <w:w w:val="91"/>
              </w:rPr>
              <w:t>net</w:t>
            </w:r>
          </w:p>
        </w:tc>
        <w:tc>
          <w:tcPr>
            <w:tcW w:w="86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1"/>
                <w:szCs w:val="11"/>
                <w:color w:val="auto"/>
                <w:w w:val="94"/>
              </w:rPr>
              <w:t>discounts, net</w:t>
            </w:r>
          </w:p>
        </w:tc>
        <w:tc>
          <w:tcPr>
            <w:tcW w:w="78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1"/>
                <w:szCs w:val="11"/>
                <w:color w:val="auto"/>
              </w:rPr>
              <w:t>Loans</w:t>
            </w:r>
          </w:p>
        </w:tc>
      </w:tr>
      <w:tr>
        <w:trPr>
          <w:trHeight w:val="191"/>
        </w:trPr>
        <w:tc>
          <w:tcPr>
            <w:tcW w:w="920" w:type="dxa"/>
            <w:vAlign w:val="bottom"/>
            <w:gridSpan w:val="3"/>
          </w:tcPr>
          <w:p>
            <w:pPr>
              <w:spacing w:after="0"/>
              <w:rPr>
                <w:sz w:val="20"/>
                <w:szCs w:val="20"/>
                <w:color w:val="auto"/>
              </w:rPr>
            </w:pPr>
            <w:r>
              <w:rPr>
                <w:rFonts w:ascii="Arial" w:cs="Arial" w:eastAsia="Arial" w:hAnsi="Arial"/>
                <w:sz w:val="11"/>
                <w:szCs w:val="11"/>
                <w:b w:val="1"/>
                <w:bCs w:val="1"/>
                <w:color w:val="auto"/>
              </w:rPr>
              <w:t>June 30, 2020</w:t>
            </w: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16"/>
        </w:trPr>
        <w:tc>
          <w:tcPr>
            <w:tcW w:w="9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Commercial</w:t>
            </w:r>
          </w:p>
        </w:tc>
        <w:tc>
          <w:tcPr>
            <w:tcW w:w="220" w:type="dxa"/>
            <w:vAlign w:val="bottom"/>
            <w:shd w:val="clear" w:color="auto" w:fill="CCEEFF"/>
          </w:tcPr>
          <w:p>
            <w:pPr>
              <w:ind w:left="14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3"/>
              </w:rPr>
              <w:t>2,783,200</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371,938</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w w:val="85"/>
              </w:rPr>
              <w:t>1,039,013</w:t>
            </w:r>
          </w:p>
        </w:tc>
        <w:tc>
          <w:tcPr>
            <w:tcW w:w="34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w w:val="89"/>
              </w:rPr>
              <w:t>4,194,151</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45,419,216</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0"/>
              </w:rPr>
              <w:t>49,613,367</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(187,129)</w:t>
            </w:r>
          </w:p>
        </w:tc>
        <w:tc>
          <w:tcPr>
            <w:tcW w:w="3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(11,545)</w:t>
            </w:r>
          </w:p>
        </w:tc>
        <w:tc>
          <w:tcPr>
            <w:tcW w:w="2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(849,914)</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48,564,779</w:t>
            </w:r>
          </w:p>
        </w:tc>
      </w:tr>
      <w:tr>
        <w:trPr>
          <w:trHeight w:val="180"/>
        </w:trPr>
        <w:tc>
          <w:tcPr>
            <w:tcW w:w="920" w:type="dxa"/>
            <w:vAlign w:val="bottom"/>
            <w:gridSpan w:val="3"/>
          </w:tcPr>
          <w:p>
            <w:pPr>
              <w:spacing w:after="0"/>
              <w:rPr>
                <w:sz w:val="20"/>
                <w:szCs w:val="20"/>
                <w:color w:val="auto"/>
              </w:rPr>
            </w:pPr>
            <w:r>
              <w:rPr>
                <w:rFonts w:ascii="Arial" w:cs="Arial" w:eastAsia="Arial" w:hAnsi="Arial"/>
                <w:sz w:val="11"/>
                <w:szCs w:val="11"/>
                <w:color w:val="auto"/>
              </w:rPr>
              <w:t>Residential</w:t>
            </w:r>
          </w:p>
        </w:tc>
        <w:tc>
          <w:tcPr>
            <w:tcW w:w="220" w:type="dxa"/>
            <w:vAlign w:val="bottom"/>
          </w:tcPr>
          <w:p>
            <w:pPr>
              <w:spacing w:after="0"/>
              <w:rPr>
                <w:sz w:val="15"/>
                <w:szCs w:val="15"/>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7,624,435</w:t>
            </w:r>
          </w:p>
        </w:tc>
        <w:tc>
          <w:tcPr>
            <w:tcW w:w="2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w w:val="85"/>
              </w:rPr>
              <w:t>3,308,995</w:t>
            </w:r>
          </w:p>
        </w:tc>
        <w:tc>
          <w:tcPr>
            <w:tcW w:w="260" w:type="dxa"/>
            <w:vAlign w:val="bottom"/>
          </w:tcPr>
          <w:p>
            <w:pPr>
              <w:spacing w:after="0"/>
              <w:rPr>
                <w:sz w:val="15"/>
                <w:szCs w:val="15"/>
                <w:color w:val="auto"/>
              </w:rPr>
            </w:pPr>
          </w:p>
        </w:tc>
        <w:tc>
          <w:tcPr>
            <w:tcW w:w="520" w:type="dxa"/>
            <w:vAlign w:val="bottom"/>
          </w:tcPr>
          <w:p>
            <w:pPr>
              <w:jc w:val="right"/>
              <w:ind w:right="27"/>
              <w:spacing w:after="0"/>
              <w:rPr>
                <w:sz w:val="20"/>
                <w:szCs w:val="20"/>
                <w:color w:val="auto"/>
              </w:rPr>
            </w:pPr>
            <w:r>
              <w:rPr>
                <w:rFonts w:ascii="Arial" w:cs="Arial" w:eastAsia="Arial" w:hAnsi="Arial"/>
                <w:sz w:val="11"/>
                <w:szCs w:val="11"/>
                <w:color w:val="auto"/>
                <w:w w:val="85"/>
              </w:rPr>
              <w:t>5,423,083</w:t>
            </w:r>
          </w:p>
        </w:tc>
        <w:tc>
          <w:tcPr>
            <w:tcW w:w="340" w:type="dxa"/>
            <w:vAlign w:val="bottom"/>
          </w:tcPr>
          <w:p>
            <w:pPr>
              <w:spacing w:after="0"/>
              <w:rPr>
                <w:sz w:val="15"/>
                <w:szCs w:val="15"/>
                <w:color w:val="auto"/>
              </w:rPr>
            </w:pPr>
          </w:p>
        </w:tc>
        <w:tc>
          <w:tcPr>
            <w:tcW w:w="620" w:type="dxa"/>
            <w:vAlign w:val="bottom"/>
          </w:tcPr>
          <w:p>
            <w:pPr>
              <w:jc w:val="right"/>
              <w:ind w:right="47"/>
              <w:spacing w:after="0"/>
              <w:rPr>
                <w:sz w:val="20"/>
                <w:szCs w:val="20"/>
                <w:color w:val="auto"/>
              </w:rPr>
            </w:pPr>
            <w:r>
              <w:rPr>
                <w:rFonts w:ascii="Arial" w:cs="Arial" w:eastAsia="Arial" w:hAnsi="Arial"/>
                <w:sz w:val="11"/>
                <w:szCs w:val="11"/>
                <w:color w:val="auto"/>
              </w:rPr>
              <w:t>1,683,314</w:t>
            </w:r>
          </w:p>
        </w:tc>
        <w:tc>
          <w:tcPr>
            <w:tcW w:w="200" w:type="dxa"/>
            <w:vAlign w:val="bottom"/>
          </w:tcPr>
          <w:p>
            <w:pPr>
              <w:spacing w:after="0"/>
              <w:rPr>
                <w:sz w:val="15"/>
                <w:szCs w:val="15"/>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w w:val="79"/>
              </w:rPr>
              <w:t>18,039,827</w:t>
            </w:r>
          </w:p>
        </w:tc>
        <w:tc>
          <w:tcPr>
            <w:tcW w:w="1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0"/>
              </w:rPr>
              <w:t>91,265,133</w:t>
            </w:r>
          </w:p>
        </w:tc>
        <w:tc>
          <w:tcPr>
            <w:tcW w:w="260" w:type="dxa"/>
            <w:vAlign w:val="bottom"/>
          </w:tcPr>
          <w:p>
            <w:pPr>
              <w:spacing w:after="0"/>
              <w:rPr>
                <w:sz w:val="15"/>
                <w:szCs w:val="15"/>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w w:val="81"/>
              </w:rPr>
              <w:t>109,304,960</w:t>
            </w: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w w:val="85"/>
              </w:rPr>
              <w:t>(2,213,226)</w:t>
            </w:r>
          </w:p>
        </w:tc>
        <w:tc>
          <w:tcPr>
            <w:tcW w:w="340" w:type="dxa"/>
            <w:vAlign w:val="bottom"/>
          </w:tcPr>
          <w:p>
            <w:pPr>
              <w:spacing w:after="0"/>
              <w:rPr>
                <w:sz w:val="15"/>
                <w:szCs w:val="15"/>
                <w:color w:val="auto"/>
              </w:rPr>
            </w:pPr>
          </w:p>
        </w:tc>
        <w:tc>
          <w:tcPr>
            <w:tcW w:w="600" w:type="dxa"/>
            <w:vAlign w:val="bottom"/>
          </w:tcPr>
          <w:p>
            <w:pPr>
              <w:jc w:val="right"/>
              <w:ind w:right="27"/>
              <w:spacing w:after="0"/>
              <w:rPr>
                <w:sz w:val="20"/>
                <w:szCs w:val="20"/>
                <w:color w:val="auto"/>
              </w:rPr>
            </w:pPr>
            <w:r>
              <w:rPr>
                <w:rFonts w:ascii="Arial" w:cs="Arial" w:eastAsia="Arial" w:hAnsi="Arial"/>
                <w:sz w:val="11"/>
                <w:szCs w:val="11"/>
                <w:color w:val="auto"/>
                <w:w w:val="88"/>
              </w:rPr>
              <w:t>(1,258,346)</w:t>
            </w:r>
          </w:p>
        </w:tc>
        <w:tc>
          <w:tcPr>
            <w:tcW w:w="280" w:type="dxa"/>
            <w:vAlign w:val="bottom"/>
          </w:tcPr>
          <w:p>
            <w:pPr>
              <w:spacing w:after="0"/>
              <w:rPr>
                <w:sz w:val="15"/>
                <w:szCs w:val="15"/>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(366,975)</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81"/>
              </w:rPr>
              <w:t>105,466,413</w:t>
            </w:r>
          </w:p>
        </w:tc>
      </w:tr>
      <w:tr>
        <w:trPr>
          <w:trHeight w:val="127"/>
        </w:trPr>
        <w:tc>
          <w:tcPr>
            <w:tcW w:w="9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42"/>
        </w:trPr>
        <w:tc>
          <w:tcPr>
            <w:tcW w:w="92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Construction</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w w:val="85"/>
              </w:rPr>
              <w:t>1,389,574</w:t>
            </w: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w w:val="89"/>
              </w:rPr>
              <w:t>1,389,574</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105,500,792</w:t>
            </w: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1"/>
              </w:rPr>
              <w:t>106,890,366</w:t>
            </w: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(43,202)</w:t>
            </w: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rPr>
              <w:t>(460,352)</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106,386,812</w:t>
            </w:r>
          </w:p>
        </w:tc>
      </w:tr>
      <w:tr>
        <w:trPr>
          <w:trHeight w:val="145"/>
        </w:trPr>
        <w:tc>
          <w:tcPr>
            <w:tcW w:w="7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r>
      <w:tr>
        <w:trPr>
          <w:trHeight w:val="138"/>
        </w:trPr>
        <w:tc>
          <w:tcPr>
            <w:tcW w:w="9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Total</w:t>
            </w:r>
          </w:p>
        </w:tc>
        <w:tc>
          <w:tcPr>
            <w:tcW w:w="220" w:type="dxa"/>
            <w:vAlign w:val="bottom"/>
            <w:shd w:val="clear" w:color="auto" w:fill="CCEEFF"/>
          </w:tcPr>
          <w:p>
            <w:pPr>
              <w:ind w:left="14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3"/>
              </w:rPr>
              <w:t>10,407,635</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3,680,933</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w w:val="85"/>
              </w:rPr>
              <w:t>7,851,670</w:t>
            </w:r>
          </w:p>
        </w:tc>
        <w:tc>
          <w:tcPr>
            <w:tcW w:w="34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1,683,314</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w w:val="79"/>
              </w:rPr>
              <w:t>23,623,552</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242,185,141</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90"/>
              </w:rPr>
              <w:t>65,808,693</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(2,443,557)</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w w:val="88"/>
              </w:rPr>
              <w:t>(1,730,243)</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8"/>
              </w:rPr>
              <w:t>(1,216,889)</w:t>
            </w: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260,418,004</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125"/>
        </w:trPr>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211"/>
        </w:trPr>
        <w:tc>
          <w:tcPr>
            <w:tcW w:w="920" w:type="dxa"/>
            <w:vAlign w:val="bottom"/>
            <w:gridSpan w:val="3"/>
            <w:shd w:val="clear" w:color="auto" w:fill="CCEEFF"/>
          </w:tcPr>
          <w:p>
            <w:pPr>
              <w:spacing w:after="0"/>
              <w:rPr>
                <w:sz w:val="20"/>
                <w:szCs w:val="20"/>
                <w:color w:val="auto"/>
              </w:rPr>
            </w:pPr>
            <w:r>
              <w:rPr>
                <w:rFonts w:ascii="Arial" w:cs="Arial" w:eastAsia="Arial" w:hAnsi="Arial"/>
                <w:sz w:val="11"/>
                <w:szCs w:val="11"/>
                <w:b w:val="1"/>
                <w:bCs w:val="1"/>
                <w:color w:val="auto"/>
                <w:w w:val="90"/>
              </w:rPr>
              <w:t>December 31, 2019</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193"/>
        </w:trPr>
        <w:tc>
          <w:tcPr>
            <w:tcW w:w="920" w:type="dxa"/>
            <w:vAlign w:val="bottom"/>
            <w:gridSpan w:val="3"/>
          </w:tcPr>
          <w:p>
            <w:pPr>
              <w:spacing w:after="0"/>
              <w:rPr>
                <w:sz w:val="20"/>
                <w:szCs w:val="20"/>
                <w:color w:val="auto"/>
              </w:rPr>
            </w:pPr>
            <w:r>
              <w:rPr>
                <w:rFonts w:ascii="Arial" w:cs="Arial" w:eastAsia="Arial" w:hAnsi="Arial"/>
                <w:sz w:val="11"/>
                <w:szCs w:val="11"/>
                <w:color w:val="auto"/>
              </w:rPr>
              <w:t>Commercial</w:t>
            </w:r>
          </w:p>
        </w:tc>
        <w:tc>
          <w:tcPr>
            <w:tcW w:w="220" w:type="dxa"/>
            <w:vAlign w:val="bottom"/>
          </w:tcPr>
          <w:p>
            <w:pPr>
              <w:ind w:left="140"/>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93"/>
              </w:rPr>
              <w:t>1,872,000</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7"/>
              <w:spacing w:after="0"/>
              <w:rPr>
                <w:sz w:val="20"/>
                <w:szCs w:val="20"/>
                <w:color w:val="auto"/>
              </w:rPr>
            </w:pPr>
            <w:r>
              <w:rPr>
                <w:rFonts w:ascii="Arial" w:cs="Arial" w:eastAsia="Arial" w:hAnsi="Arial"/>
                <w:sz w:val="11"/>
                <w:szCs w:val="11"/>
                <w:color w:val="auto"/>
                <w:w w:val="85"/>
              </w:rPr>
              <w:t>4,488,719</w:t>
            </w:r>
          </w:p>
        </w:tc>
        <w:tc>
          <w:tcPr>
            <w:tcW w:w="3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w w:val="89"/>
              </w:rPr>
              <w:t>6,360,719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90"/>
              </w:rPr>
              <w:t>32,357,501</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7"/>
              <w:spacing w:after="0"/>
              <w:rPr>
                <w:sz w:val="20"/>
                <w:szCs w:val="20"/>
                <w:color w:val="auto"/>
              </w:rPr>
            </w:pPr>
            <w:r>
              <w:rPr>
                <w:rFonts w:ascii="Arial" w:cs="Arial" w:eastAsia="Arial" w:hAnsi="Arial"/>
                <w:sz w:val="11"/>
                <w:szCs w:val="11"/>
                <w:color w:val="auto"/>
                <w:w w:val="90"/>
              </w:rPr>
              <w:t>38,718,220</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(187,129)</w:t>
            </w:r>
          </w:p>
        </w:tc>
        <w:tc>
          <w:tcPr>
            <w:tcW w:w="3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7"/>
              <w:spacing w:after="0"/>
              <w:rPr>
                <w:sz w:val="20"/>
                <w:szCs w:val="20"/>
                <w:color w:val="auto"/>
              </w:rPr>
            </w:pPr>
            <w:r>
              <w:rPr>
                <w:rFonts w:ascii="Arial" w:cs="Arial" w:eastAsia="Arial" w:hAnsi="Arial"/>
                <w:sz w:val="11"/>
                <w:szCs w:val="11"/>
                <w:color w:val="auto"/>
              </w:rPr>
              <w:t>(88,918)</w:t>
            </w:r>
          </w:p>
        </w:tc>
        <w:tc>
          <w:tcPr>
            <w:tcW w:w="2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(653,272)</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90"/>
              </w:rPr>
              <w:t>37,788,901</w:t>
            </w:r>
          </w:p>
        </w:tc>
      </w:tr>
      <w:tr>
        <w:trPr>
          <w:trHeight w:val="163"/>
        </w:trPr>
        <w:tc>
          <w:tcPr>
            <w:tcW w:w="9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Residential</w:t>
            </w: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3"/>
              </w:rPr>
              <w:t>10,609,296</w:t>
            </w: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4,085,767</w:t>
            </w: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w w:val="85"/>
              </w:rPr>
              <w:t>2,100,742</w:t>
            </w:r>
          </w:p>
        </w:tc>
        <w:tc>
          <w:tcPr>
            <w:tcW w:w="34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7"/>
              <w:spacing w:after="0"/>
              <w:rPr>
                <w:sz w:val="20"/>
                <w:szCs w:val="20"/>
                <w:color w:val="auto"/>
              </w:rPr>
            </w:pPr>
            <w:r>
              <w:rPr>
                <w:rFonts w:ascii="Arial" w:cs="Arial" w:eastAsia="Arial" w:hAnsi="Arial"/>
                <w:sz w:val="11"/>
                <w:szCs w:val="11"/>
                <w:color w:val="auto"/>
              </w:rPr>
              <w:t>1,651,465</w:t>
            </w: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7"/>
              <w:spacing w:after="0"/>
              <w:rPr>
                <w:sz w:val="20"/>
                <w:szCs w:val="20"/>
                <w:color w:val="auto"/>
              </w:rPr>
            </w:pPr>
            <w:r>
              <w:rPr>
                <w:rFonts w:ascii="Arial" w:cs="Arial" w:eastAsia="Arial" w:hAnsi="Arial"/>
                <w:sz w:val="11"/>
                <w:szCs w:val="11"/>
                <w:color w:val="auto"/>
                <w:w w:val="79"/>
              </w:rPr>
              <w:t>18,447,270</w:t>
            </w:r>
          </w:p>
        </w:tc>
        <w:tc>
          <w:tcPr>
            <w:tcW w:w="1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94,596,695</w:t>
            </w:r>
          </w:p>
        </w:tc>
        <w:tc>
          <w:tcPr>
            <w:tcW w:w="26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w w:val="81"/>
              </w:rPr>
              <w:t>113,043,965</w:t>
            </w: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5"/>
              </w:rPr>
              <w:t>(1,222,706)</w:t>
            </w: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7"/>
              <w:spacing w:after="0"/>
              <w:rPr>
                <w:sz w:val="20"/>
                <w:szCs w:val="20"/>
                <w:color w:val="auto"/>
              </w:rPr>
            </w:pPr>
            <w:r>
              <w:rPr>
                <w:rFonts w:ascii="Arial" w:cs="Arial" w:eastAsia="Arial" w:hAnsi="Arial"/>
                <w:sz w:val="11"/>
                <w:szCs w:val="11"/>
                <w:color w:val="auto"/>
                <w:w w:val="88"/>
              </w:rPr>
              <w:t>(1,567,581)</w:t>
            </w: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7"/>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110,253,678</w:t>
            </w:r>
          </w:p>
        </w:tc>
      </w:tr>
      <w:tr>
        <w:trPr>
          <w:trHeight w:val="175"/>
        </w:trPr>
        <w:tc>
          <w:tcPr>
            <w:tcW w:w="920" w:type="dxa"/>
            <w:vAlign w:val="bottom"/>
            <w:gridSpan w:val="3"/>
          </w:tcPr>
          <w:p>
            <w:pPr>
              <w:spacing w:after="0"/>
              <w:rPr>
                <w:sz w:val="20"/>
                <w:szCs w:val="20"/>
                <w:color w:val="auto"/>
              </w:rPr>
            </w:pPr>
            <w:r>
              <w:rPr>
                <w:rFonts w:ascii="Arial" w:cs="Arial" w:eastAsia="Arial" w:hAnsi="Arial"/>
                <w:sz w:val="11"/>
                <w:szCs w:val="11"/>
                <w:color w:val="auto"/>
              </w:rPr>
              <w:t>Residential</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37"/>
        </w:trPr>
        <w:tc>
          <w:tcPr>
            <w:tcW w:w="920" w:type="dxa"/>
            <w:vAlign w:val="bottom"/>
            <w:gridSpan w:val="3"/>
          </w:tcPr>
          <w:p>
            <w:pPr>
              <w:ind w:left="40"/>
              <w:spacing w:after="0"/>
              <w:rPr>
                <w:sz w:val="20"/>
                <w:szCs w:val="20"/>
                <w:color w:val="auto"/>
              </w:rPr>
            </w:pPr>
            <w:r>
              <w:rPr>
                <w:rFonts w:ascii="Arial" w:cs="Arial" w:eastAsia="Arial" w:hAnsi="Arial"/>
                <w:sz w:val="11"/>
                <w:szCs w:val="11"/>
                <w:color w:val="auto"/>
              </w:rPr>
              <w:t>Construction</w:t>
            </w:r>
          </w:p>
        </w:tc>
        <w:tc>
          <w:tcPr>
            <w:tcW w:w="220" w:type="dxa"/>
            <w:vAlign w:val="bottom"/>
          </w:tcPr>
          <w:p>
            <w:pPr>
              <w:spacing w:after="0"/>
              <w:rPr>
                <w:sz w:val="11"/>
                <w:szCs w:val="11"/>
                <w:color w:val="auto"/>
              </w:rPr>
            </w:pPr>
          </w:p>
        </w:tc>
        <w:tc>
          <w:tcPr>
            <w:tcW w:w="5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520" w:type="dxa"/>
            <w:vAlign w:val="bottom"/>
          </w:tcPr>
          <w:p>
            <w:pPr>
              <w:jc w:val="right"/>
              <w:ind w:right="27"/>
              <w:spacing w:after="0"/>
              <w:rPr>
                <w:sz w:val="20"/>
                <w:szCs w:val="20"/>
                <w:color w:val="auto"/>
              </w:rPr>
            </w:pPr>
            <w:r>
              <w:rPr>
                <w:rFonts w:ascii="Arial" w:cs="Arial" w:eastAsia="Arial" w:hAnsi="Arial"/>
                <w:sz w:val="11"/>
                <w:szCs w:val="11"/>
                <w:color w:val="auto"/>
              </w:rPr>
              <w:t>655,000</w:t>
            </w:r>
          </w:p>
        </w:tc>
        <w:tc>
          <w:tcPr>
            <w:tcW w:w="340" w:type="dxa"/>
            <w:vAlign w:val="bottom"/>
          </w:tcPr>
          <w:p>
            <w:pPr>
              <w:spacing w:after="0"/>
              <w:rPr>
                <w:sz w:val="11"/>
                <w:szCs w:val="11"/>
                <w:color w:val="auto"/>
              </w:rPr>
            </w:pPr>
          </w:p>
        </w:tc>
        <w:tc>
          <w:tcPr>
            <w:tcW w:w="620" w:type="dxa"/>
            <w:vAlign w:val="bottom"/>
          </w:tcPr>
          <w:p>
            <w:pPr>
              <w:jc w:val="right"/>
              <w:ind w:right="47"/>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580" w:type="dxa"/>
            <w:vAlign w:val="bottom"/>
          </w:tcPr>
          <w:p>
            <w:pPr>
              <w:jc w:val="right"/>
              <w:ind w:right="67"/>
              <w:spacing w:after="0"/>
              <w:rPr>
                <w:sz w:val="20"/>
                <w:szCs w:val="20"/>
                <w:color w:val="auto"/>
              </w:rPr>
            </w:pPr>
            <w:r>
              <w:rPr>
                <w:rFonts w:ascii="Arial" w:cs="Arial" w:eastAsia="Arial" w:hAnsi="Arial"/>
                <w:sz w:val="11"/>
                <w:szCs w:val="11"/>
                <w:color w:val="auto"/>
              </w:rPr>
              <w:t>655,000</w:t>
            </w:r>
          </w:p>
        </w:tc>
        <w:tc>
          <w:tcPr>
            <w:tcW w:w="18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0"/>
              </w:rPr>
              <w:t>88,775,237</w:t>
            </w:r>
          </w:p>
        </w:tc>
        <w:tc>
          <w:tcPr>
            <w:tcW w:w="260" w:type="dxa"/>
            <w:vAlign w:val="bottom"/>
          </w:tcPr>
          <w:p>
            <w:pPr>
              <w:spacing w:after="0"/>
              <w:rPr>
                <w:sz w:val="11"/>
                <w:szCs w:val="11"/>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w w:val="90"/>
              </w:rPr>
              <w:t>89,430,237</w:t>
            </w: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(43,202)</w:t>
            </w:r>
          </w:p>
        </w:tc>
        <w:tc>
          <w:tcPr>
            <w:tcW w:w="340" w:type="dxa"/>
            <w:vAlign w:val="bottom"/>
          </w:tcPr>
          <w:p>
            <w:pPr>
              <w:spacing w:after="0"/>
              <w:rPr>
                <w:sz w:val="11"/>
                <w:szCs w:val="11"/>
                <w:color w:val="auto"/>
              </w:rPr>
            </w:pPr>
          </w:p>
        </w:tc>
        <w:tc>
          <w:tcPr>
            <w:tcW w:w="600" w:type="dxa"/>
            <w:vAlign w:val="bottom"/>
          </w:tcPr>
          <w:p>
            <w:pPr>
              <w:jc w:val="right"/>
              <w:ind w:right="27"/>
              <w:spacing w:after="0"/>
              <w:rPr>
                <w:sz w:val="20"/>
                <w:szCs w:val="20"/>
                <w:color w:val="auto"/>
              </w:rPr>
            </w:pPr>
            <w:r>
              <w:rPr>
                <w:rFonts w:ascii="Arial" w:cs="Arial" w:eastAsia="Arial" w:hAnsi="Arial"/>
                <w:sz w:val="11"/>
                <w:szCs w:val="11"/>
                <w:color w:val="auto"/>
              </w:rPr>
              <w:t>(735,068)</w:t>
            </w:r>
          </w:p>
        </w:tc>
        <w:tc>
          <w:tcPr>
            <w:tcW w:w="280" w:type="dxa"/>
            <w:vAlign w:val="bottom"/>
          </w:tcPr>
          <w:p>
            <w:pPr>
              <w:spacing w:after="0"/>
              <w:rPr>
                <w:sz w:val="11"/>
                <w:szCs w:val="11"/>
                <w:color w:val="auto"/>
              </w:rPr>
            </w:pP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w w:val="90"/>
              </w:rPr>
              <w:t>88,651,967</w:t>
            </w:r>
          </w:p>
        </w:tc>
      </w:tr>
      <w:tr>
        <w:trPr>
          <w:trHeight w:val="150"/>
        </w:trPr>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r>
      <w:tr>
        <w:trPr>
          <w:trHeight w:val="192"/>
        </w:trPr>
        <w:tc>
          <w:tcPr>
            <w:tcW w:w="920" w:type="dxa"/>
            <w:vAlign w:val="bottom"/>
            <w:gridSpan w:val="3"/>
          </w:tcPr>
          <w:p>
            <w:pPr>
              <w:spacing w:after="0"/>
              <w:rPr>
                <w:sz w:val="20"/>
                <w:szCs w:val="20"/>
                <w:color w:val="auto"/>
              </w:rPr>
            </w:pPr>
            <w:r>
              <w:rPr>
                <w:rFonts w:ascii="Arial" w:cs="Arial" w:eastAsia="Arial" w:hAnsi="Arial"/>
                <w:sz w:val="11"/>
                <w:szCs w:val="11"/>
                <w:color w:val="auto"/>
              </w:rPr>
              <w:t>Total</w:t>
            </w:r>
          </w:p>
        </w:tc>
        <w:tc>
          <w:tcPr>
            <w:tcW w:w="220" w:type="dxa"/>
            <w:vAlign w:val="bottom"/>
          </w:tcPr>
          <w:p>
            <w:pPr>
              <w:ind w:left="140"/>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7"/>
              <w:spacing w:after="0"/>
              <w:rPr>
                <w:sz w:val="20"/>
                <w:szCs w:val="20"/>
                <w:color w:val="auto"/>
              </w:rPr>
            </w:pPr>
            <w:r>
              <w:rPr>
                <w:rFonts w:ascii="Arial" w:cs="Arial" w:eastAsia="Arial" w:hAnsi="Arial"/>
                <w:sz w:val="11"/>
                <w:szCs w:val="11"/>
                <w:color w:val="auto"/>
                <w:w w:val="83"/>
              </w:rPr>
              <w:t>12,481,296</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w w:val="85"/>
              </w:rPr>
              <w:t>4,085,767</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27"/>
              <w:spacing w:after="0"/>
              <w:rPr>
                <w:sz w:val="20"/>
                <w:szCs w:val="20"/>
                <w:color w:val="auto"/>
              </w:rPr>
            </w:pPr>
            <w:r>
              <w:rPr>
                <w:rFonts w:ascii="Arial" w:cs="Arial" w:eastAsia="Arial" w:hAnsi="Arial"/>
                <w:sz w:val="11"/>
                <w:szCs w:val="11"/>
                <w:color w:val="auto"/>
                <w:w w:val="85"/>
              </w:rPr>
              <w:t>7,244,461</w:t>
            </w:r>
          </w:p>
        </w:tc>
        <w:tc>
          <w:tcPr>
            <w:tcW w:w="340" w:type="dxa"/>
            <w:vAlign w:val="bottom"/>
          </w:tcPr>
          <w:p>
            <w:pPr>
              <w:jc w:val="right"/>
              <w:ind w:right="67"/>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47"/>
              <w:spacing w:after="0"/>
              <w:rPr>
                <w:sz w:val="20"/>
                <w:szCs w:val="20"/>
                <w:color w:val="auto"/>
              </w:rPr>
            </w:pPr>
            <w:r>
              <w:rPr>
                <w:rFonts w:ascii="Arial" w:cs="Arial" w:eastAsia="Arial" w:hAnsi="Arial"/>
                <w:sz w:val="11"/>
                <w:szCs w:val="11"/>
                <w:color w:val="auto"/>
              </w:rPr>
              <w:t>1,651,465</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7"/>
              <w:spacing w:after="0"/>
              <w:rPr>
                <w:sz w:val="20"/>
                <w:szCs w:val="20"/>
                <w:color w:val="auto"/>
              </w:rPr>
            </w:pPr>
            <w:r>
              <w:rPr>
                <w:rFonts w:ascii="Arial" w:cs="Arial" w:eastAsia="Arial" w:hAnsi="Arial"/>
                <w:sz w:val="11"/>
                <w:szCs w:val="11"/>
                <w:color w:val="auto"/>
                <w:w w:val="79"/>
              </w:rPr>
              <w:t>25,462,989</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w w:val="81"/>
              </w:rPr>
              <w:t>215,729,433</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7"/>
              <w:spacing w:after="0"/>
              <w:rPr>
                <w:sz w:val="20"/>
                <w:szCs w:val="20"/>
                <w:color w:val="auto"/>
              </w:rPr>
            </w:pPr>
            <w:r>
              <w:rPr>
                <w:rFonts w:ascii="Arial" w:cs="Arial" w:eastAsia="Arial" w:hAnsi="Arial"/>
                <w:sz w:val="11"/>
                <w:szCs w:val="11"/>
                <w:color w:val="auto"/>
                <w:w w:val="81"/>
              </w:rPr>
              <w:t>241,192,422</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w w:val="85"/>
              </w:rPr>
              <w:t>(1,453,037)</w:t>
            </w:r>
          </w:p>
        </w:tc>
        <w:tc>
          <w:tcPr>
            <w:tcW w:w="34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27"/>
              <w:spacing w:after="0"/>
              <w:rPr>
                <w:sz w:val="20"/>
                <w:szCs w:val="20"/>
                <w:color w:val="auto"/>
              </w:rPr>
            </w:pPr>
            <w:r>
              <w:rPr>
                <w:rFonts w:ascii="Arial" w:cs="Arial" w:eastAsia="Arial" w:hAnsi="Arial"/>
                <w:sz w:val="11"/>
                <w:szCs w:val="11"/>
                <w:color w:val="auto"/>
                <w:w w:val="88"/>
              </w:rPr>
              <w:t>(2,391,567)</w:t>
            </w:r>
          </w:p>
        </w:tc>
        <w:tc>
          <w:tcPr>
            <w:tcW w:w="280" w:type="dxa"/>
            <w:vAlign w:val="bottom"/>
          </w:tcPr>
          <w:p>
            <w:pPr>
              <w:jc w:val="right"/>
              <w:ind w:right="27"/>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7"/>
              <w:spacing w:after="0"/>
              <w:rPr>
                <w:sz w:val="20"/>
                <w:szCs w:val="20"/>
                <w:color w:val="auto"/>
              </w:rPr>
            </w:pPr>
            <w:r>
              <w:rPr>
                <w:rFonts w:ascii="Arial" w:cs="Arial" w:eastAsia="Arial" w:hAnsi="Arial"/>
                <w:sz w:val="11"/>
                <w:szCs w:val="11"/>
                <w:color w:val="auto"/>
              </w:rPr>
              <w:t>(653,272)</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w w:val="81"/>
              </w:rPr>
              <w:t>236,694,546</w:t>
            </w:r>
          </w:p>
        </w:tc>
      </w:tr>
      <w:tr>
        <w:trPr>
          <w:trHeight w:val="112"/>
        </w:trPr>
        <w:tc>
          <w:tcPr>
            <w:tcW w:w="740" w:type="dxa"/>
            <w:vAlign w:val="bottom"/>
            <w:tcBorders>
              <w:top w:val="single" w:sz="8" w:color="CCEEFF"/>
              <w:bottom w:val="single" w:sz="8" w:color="auto"/>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auto"/>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CCEEFF"/>
            </w:tcBorders>
            <w:shd w:val="clear" w:color="auto" w:fill="CCEEFF"/>
          </w:tcPr>
          <w:p>
            <w:pPr>
              <w:spacing w:after="0"/>
              <w:rPr>
                <w:sz w:val="9"/>
                <w:szCs w:val="9"/>
                <w:color w:val="auto"/>
              </w:rPr>
            </w:pPr>
          </w:p>
        </w:tc>
        <w:tc>
          <w:tcPr>
            <w:tcW w:w="620" w:type="dxa"/>
            <w:vAlign w:val="bottom"/>
            <w:tcBorders>
              <w:top w:val="single" w:sz="8" w:color="auto"/>
              <w:bottom w:val="single" w:sz="8" w:color="CCEEFF"/>
            </w:tcBorders>
            <w:shd w:val="clear" w:color="auto" w:fill="CCEEFF"/>
          </w:tcPr>
          <w:p>
            <w:pPr>
              <w:spacing w:after="0"/>
              <w:rPr>
                <w:sz w:val="9"/>
                <w:szCs w:val="9"/>
                <w:color w:val="auto"/>
              </w:rPr>
            </w:pPr>
          </w:p>
        </w:tc>
        <w:tc>
          <w:tcPr>
            <w:tcW w:w="20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CCEEFF"/>
            </w:tcBorders>
            <w:shd w:val="clear" w:color="auto" w:fill="CCEEFF"/>
          </w:tcPr>
          <w:p>
            <w:pPr>
              <w:spacing w:after="0"/>
              <w:rPr>
                <w:sz w:val="9"/>
                <w:szCs w:val="9"/>
                <w:color w:val="auto"/>
              </w:rPr>
            </w:pPr>
          </w:p>
        </w:tc>
        <w:tc>
          <w:tcPr>
            <w:tcW w:w="520" w:type="dxa"/>
            <w:vAlign w:val="bottom"/>
            <w:tcBorders>
              <w:top w:val="single" w:sz="8" w:color="auto"/>
              <w:bottom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CCEEFF"/>
            </w:tcBorders>
            <w:shd w:val="clear" w:color="auto" w:fill="CCEEFF"/>
          </w:tcPr>
          <w:p>
            <w:pPr>
              <w:spacing w:after="0"/>
              <w:rPr>
                <w:sz w:val="9"/>
                <w:szCs w:val="9"/>
                <w:color w:val="auto"/>
              </w:rPr>
            </w:pPr>
          </w:p>
        </w:tc>
        <w:tc>
          <w:tcPr>
            <w:tcW w:w="600" w:type="dxa"/>
            <w:vAlign w:val="bottom"/>
            <w:tcBorders>
              <w:top w:val="single" w:sz="8" w:color="auto"/>
              <w:bottom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CCEEFF"/>
            </w:tcBorders>
            <w:shd w:val="clear" w:color="auto" w:fill="CCEEFF"/>
          </w:tcPr>
          <w:p>
            <w:pPr>
              <w:spacing w:after="0"/>
              <w:rPr>
                <w:sz w:val="9"/>
                <w:szCs w:val="9"/>
                <w:color w:val="auto"/>
              </w:rPr>
            </w:pPr>
          </w:p>
        </w:tc>
        <w:tc>
          <w:tcPr>
            <w:tcW w:w="580" w:type="dxa"/>
            <w:vAlign w:val="bottom"/>
            <w:tcBorders>
              <w:top w:val="single" w:sz="8" w:color="auto"/>
              <w:bottom w:val="single" w:sz="8" w:color="CCEEFF"/>
            </w:tcBorders>
            <w:shd w:val="clear" w:color="auto" w:fill="CCEEFF"/>
          </w:tcPr>
          <w:p>
            <w:pPr>
              <w:spacing w:after="0"/>
              <w:rPr>
                <w:sz w:val="9"/>
                <w:szCs w:val="9"/>
                <w:color w:val="auto"/>
              </w:rPr>
            </w:pPr>
          </w:p>
        </w:tc>
        <w:tc>
          <w:tcPr>
            <w:tcW w:w="240" w:type="dxa"/>
            <w:vAlign w:val="bottom"/>
            <w:tcBorders>
              <w:top w:val="single" w:sz="8" w:color="auto"/>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CCEEFF"/>
            </w:tcBorders>
            <w:shd w:val="clear" w:color="auto" w:fill="CCEEFF"/>
          </w:tcPr>
          <w:p>
            <w:pPr>
              <w:spacing w:after="0"/>
              <w:rPr>
                <w:sz w:val="9"/>
                <w:szCs w:val="9"/>
                <w:color w:val="auto"/>
              </w:rPr>
            </w:pPr>
          </w:p>
        </w:tc>
      </w:tr>
    </w:tbl>
    <w:p>
      <w:pPr>
        <w:spacing w:after="0" w:line="70" w:lineRule="exact"/>
        <w:rPr>
          <w:sz w:val="20"/>
          <w:szCs w:val="20"/>
          <w:color w:val="auto"/>
        </w:rPr>
      </w:pPr>
    </w:p>
    <w:p>
      <w:pPr>
        <w:ind w:left="4"/>
        <w:spacing w:after="0"/>
        <w:rPr>
          <w:sz w:val="20"/>
          <w:szCs w:val="20"/>
          <w:color w:val="auto"/>
        </w:rPr>
      </w:pPr>
      <w:r>
        <w:rPr>
          <w:rFonts w:ascii="Arial" w:cs="Arial" w:eastAsia="Arial" w:hAnsi="Arial"/>
          <w:sz w:val="11"/>
          <w:szCs w:val="11"/>
          <w:color w:val="auto"/>
        </w:rPr>
        <w:t>(1) Interest income is not recognized on loans past due greater than 90 days or in foreclosure.</w:t>
      </w:r>
    </w:p>
    <w:p>
      <w:pPr>
        <w:spacing w:after="0" w:line="236" w:lineRule="exact"/>
        <w:rPr>
          <w:sz w:val="20"/>
          <w:szCs w:val="20"/>
          <w:color w:val="auto"/>
        </w:rPr>
      </w:pPr>
    </w:p>
    <w:p>
      <w:pPr>
        <w:ind w:left="4344"/>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824"/>
          </w:cols>
          <w:pgMar w:left="1276" w:top="347" w:right="799" w:bottom="1440" w:gutter="0" w:footer="0" w:header="0"/>
        </w:sectPr>
      </w:pPr>
    </w:p>
    <w:bookmarkStart w:id="23" w:name="page24"/>
    <w:bookmarkEnd w:id="23"/>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Impaired Mortgage Loans Held for Investment</w:t>
      </w:r>
    </w:p>
    <w:p>
      <w:pPr>
        <w:spacing w:after="0" w:line="230" w:lineRule="exact"/>
        <w:rPr>
          <w:sz w:val="20"/>
          <w:szCs w:val="20"/>
          <w:color w:val="auto"/>
        </w:rPr>
      </w:pPr>
    </w:p>
    <w:p>
      <w:pPr>
        <w:jc w:val="both"/>
        <w:ind w:left="4" w:right="319"/>
        <w:spacing w:after="0" w:line="271" w:lineRule="auto"/>
        <w:rPr>
          <w:sz w:val="20"/>
          <w:szCs w:val="20"/>
          <w:color w:val="auto"/>
        </w:rPr>
      </w:pPr>
      <w:r>
        <w:rPr>
          <w:rFonts w:ascii="Arial" w:cs="Arial" w:eastAsia="Arial" w:hAnsi="Arial"/>
          <w:sz w:val="18"/>
          <w:szCs w:val="18"/>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color w:val="auto"/>
              </w:rPr>
              <w:t>Average</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5"/>
        </w:trPr>
        <w:tc>
          <w:tcPr>
            <w:tcW w:w="2300" w:type="dxa"/>
            <w:vAlign w:val="bottom"/>
          </w:tcPr>
          <w:p>
            <w:pPr>
              <w:spacing w:after="0"/>
              <w:rPr>
                <w:sz w:val="12"/>
                <w:szCs w:val="12"/>
                <w:color w:val="auto"/>
              </w:rPr>
            </w:pPr>
          </w:p>
        </w:tc>
        <w:tc>
          <w:tcPr>
            <w:tcW w:w="1280" w:type="dxa"/>
            <w:vAlign w:val="bottom"/>
            <w:gridSpan w:val="3"/>
          </w:tcPr>
          <w:p>
            <w:pPr>
              <w:ind w:left="240"/>
              <w:spacing w:after="0" w:line="145" w:lineRule="exact"/>
              <w:rPr>
                <w:sz w:val="20"/>
                <w:szCs w:val="20"/>
                <w:color w:val="auto"/>
              </w:rPr>
            </w:pPr>
            <w:r>
              <w:rPr>
                <w:rFonts w:ascii="Arial" w:cs="Arial" w:eastAsia="Arial" w:hAnsi="Arial"/>
                <w:sz w:val="14"/>
                <w:szCs w:val="14"/>
                <w:color w:val="auto"/>
              </w:rPr>
              <w:t>Recorded</w:t>
            </w:r>
          </w:p>
        </w:tc>
        <w:tc>
          <w:tcPr>
            <w:tcW w:w="1200" w:type="dxa"/>
            <w:vAlign w:val="bottom"/>
            <w:gridSpan w:val="3"/>
          </w:tcPr>
          <w:p>
            <w:pPr>
              <w:jc w:val="center"/>
              <w:ind w:right="160"/>
              <w:spacing w:after="0" w:line="145" w:lineRule="exact"/>
              <w:rPr>
                <w:sz w:val="20"/>
                <w:szCs w:val="20"/>
                <w:color w:val="auto"/>
              </w:rPr>
            </w:pPr>
            <w:r>
              <w:rPr>
                <w:rFonts w:ascii="Arial" w:cs="Arial" w:eastAsia="Arial" w:hAnsi="Arial"/>
                <w:sz w:val="14"/>
                <w:szCs w:val="14"/>
                <w:color w:val="auto"/>
                <w:w w:val="94"/>
              </w:rPr>
              <w:t>Unpaid Principal</w:t>
            </w:r>
          </w:p>
        </w:tc>
        <w:tc>
          <w:tcPr>
            <w:tcW w:w="1220" w:type="dxa"/>
            <w:vAlign w:val="bottom"/>
            <w:gridSpan w:val="3"/>
          </w:tcPr>
          <w:p>
            <w:pPr>
              <w:jc w:val="center"/>
              <w:ind w:right="220"/>
              <w:spacing w:after="0" w:line="145" w:lineRule="exact"/>
              <w:rPr>
                <w:sz w:val="20"/>
                <w:szCs w:val="20"/>
                <w:color w:val="auto"/>
              </w:rPr>
            </w:pPr>
            <w:r>
              <w:rPr>
                <w:rFonts w:ascii="Arial" w:cs="Arial" w:eastAsia="Arial" w:hAnsi="Arial"/>
                <w:sz w:val="14"/>
                <w:szCs w:val="14"/>
                <w:color w:val="auto"/>
                <w:w w:val="91"/>
              </w:rPr>
              <w:t>Related</w:t>
            </w:r>
          </w:p>
        </w:tc>
        <w:tc>
          <w:tcPr>
            <w:tcW w:w="1300" w:type="dxa"/>
            <w:vAlign w:val="bottom"/>
            <w:gridSpan w:val="3"/>
          </w:tcPr>
          <w:p>
            <w:pPr>
              <w:ind w:left="240"/>
              <w:spacing w:after="0" w:line="145" w:lineRule="exact"/>
              <w:rPr>
                <w:sz w:val="20"/>
                <w:szCs w:val="20"/>
                <w:color w:val="auto"/>
              </w:rPr>
            </w:pPr>
            <w:r>
              <w:rPr>
                <w:rFonts w:ascii="Arial" w:cs="Arial" w:eastAsia="Arial" w:hAnsi="Arial"/>
                <w:sz w:val="14"/>
                <w:szCs w:val="14"/>
                <w:color w:val="auto"/>
              </w:rPr>
              <w:t>Recorded</w:t>
            </w:r>
          </w:p>
        </w:tc>
        <w:tc>
          <w:tcPr>
            <w:tcW w:w="980" w:type="dxa"/>
            <w:vAlign w:val="bottom"/>
          </w:tcPr>
          <w:p>
            <w:pPr>
              <w:jc w:val="right"/>
              <w:spacing w:after="0" w:line="145" w:lineRule="exact"/>
              <w:rPr>
                <w:sz w:val="20"/>
                <w:szCs w:val="20"/>
                <w:color w:val="auto"/>
              </w:rPr>
            </w:pPr>
            <w:r>
              <w:rPr>
                <w:rFonts w:ascii="Arial" w:cs="Arial" w:eastAsia="Arial" w:hAnsi="Arial"/>
                <w:sz w:val="14"/>
                <w:szCs w:val="14"/>
                <w:color w:val="auto"/>
                <w:w w:val="97"/>
              </w:rPr>
              <w:t>Interest Income</w:t>
            </w:r>
          </w:p>
        </w:tc>
        <w:tc>
          <w:tcPr>
            <w:tcW w:w="60" w:type="dxa"/>
            <w:vAlign w:val="bottom"/>
          </w:tcPr>
          <w:p>
            <w:pPr>
              <w:spacing w:after="0"/>
              <w:rPr>
                <w:sz w:val="12"/>
                <w:szCs w:val="12"/>
                <w:color w:val="auto"/>
              </w:rPr>
            </w:pPr>
          </w:p>
        </w:tc>
      </w:tr>
      <w:tr>
        <w:trPr>
          <w:trHeight w:val="177"/>
        </w:trPr>
        <w:tc>
          <w:tcPr>
            <w:tcW w:w="2300" w:type="dxa"/>
            <w:vAlign w:val="bottom"/>
          </w:tcPr>
          <w:p>
            <w:pPr>
              <w:spacing w:after="0"/>
              <w:rPr>
                <w:sz w:val="15"/>
                <w:szCs w:val="15"/>
                <w:color w:val="auto"/>
              </w:rPr>
            </w:pPr>
          </w:p>
        </w:tc>
        <w:tc>
          <w:tcPr>
            <w:tcW w:w="1280" w:type="dxa"/>
            <w:vAlign w:val="bottom"/>
            <w:gridSpan w:val="3"/>
          </w:tcPr>
          <w:p>
            <w:pPr>
              <w:ind w:left="200"/>
              <w:spacing w:after="0"/>
              <w:rPr>
                <w:sz w:val="20"/>
                <w:szCs w:val="20"/>
                <w:color w:val="auto"/>
              </w:rPr>
            </w:pPr>
            <w:r>
              <w:rPr>
                <w:rFonts w:ascii="Arial" w:cs="Arial" w:eastAsia="Arial" w:hAnsi="Arial"/>
                <w:sz w:val="14"/>
                <w:szCs w:val="14"/>
                <w:color w:val="auto"/>
              </w:rPr>
              <w:t>Investment</w:t>
            </w:r>
          </w:p>
        </w:tc>
        <w:tc>
          <w:tcPr>
            <w:tcW w:w="1200" w:type="dxa"/>
            <w:vAlign w:val="bottom"/>
            <w:gridSpan w:val="3"/>
          </w:tcPr>
          <w:p>
            <w:pPr>
              <w:jc w:val="center"/>
              <w:ind w:right="180"/>
              <w:spacing w:after="0"/>
              <w:rPr>
                <w:sz w:val="20"/>
                <w:szCs w:val="20"/>
                <w:color w:val="auto"/>
              </w:rPr>
            </w:pPr>
            <w:r>
              <w:rPr>
                <w:rFonts w:ascii="Arial" w:cs="Arial" w:eastAsia="Arial" w:hAnsi="Arial"/>
                <w:sz w:val="14"/>
                <w:szCs w:val="14"/>
                <w:color w:val="auto"/>
                <w:w w:val="90"/>
              </w:rPr>
              <w:t>Balance</w:t>
            </w:r>
          </w:p>
        </w:tc>
        <w:tc>
          <w:tcPr>
            <w:tcW w:w="1220" w:type="dxa"/>
            <w:vAlign w:val="bottom"/>
            <w:gridSpan w:val="3"/>
          </w:tcPr>
          <w:p>
            <w:pPr>
              <w:jc w:val="center"/>
              <w:ind w:right="220"/>
              <w:spacing w:after="0"/>
              <w:rPr>
                <w:sz w:val="20"/>
                <w:szCs w:val="20"/>
                <w:color w:val="auto"/>
              </w:rPr>
            </w:pPr>
            <w:r>
              <w:rPr>
                <w:rFonts w:ascii="Arial" w:cs="Arial" w:eastAsia="Arial" w:hAnsi="Arial"/>
                <w:sz w:val="14"/>
                <w:szCs w:val="14"/>
                <w:color w:val="auto"/>
                <w:w w:val="93"/>
              </w:rPr>
              <w:t>Allowance</w:t>
            </w:r>
          </w:p>
        </w:tc>
        <w:tc>
          <w:tcPr>
            <w:tcW w:w="1300" w:type="dxa"/>
            <w:vAlign w:val="bottom"/>
            <w:gridSpan w:val="3"/>
          </w:tcPr>
          <w:p>
            <w:pPr>
              <w:ind w:left="200"/>
              <w:spacing w:after="0"/>
              <w:rPr>
                <w:sz w:val="20"/>
                <w:szCs w:val="20"/>
                <w:color w:val="auto"/>
              </w:rPr>
            </w:pPr>
            <w:r>
              <w:rPr>
                <w:rFonts w:ascii="Arial" w:cs="Arial" w:eastAsia="Arial" w:hAnsi="Arial"/>
                <w:sz w:val="14"/>
                <w:szCs w:val="14"/>
                <w:color w:val="auto"/>
              </w:rPr>
              <w:t>Investment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Recognized</w:t>
            </w:r>
          </w:p>
        </w:tc>
        <w:tc>
          <w:tcPr>
            <w:tcW w:w="60" w:type="dxa"/>
            <w:vAlign w:val="bottom"/>
          </w:tcPr>
          <w:p>
            <w:pPr>
              <w:spacing w:after="0"/>
              <w:rPr>
                <w:sz w:val="15"/>
                <w:szCs w:val="15"/>
                <w:color w:val="auto"/>
              </w:rPr>
            </w:pPr>
          </w:p>
        </w:tc>
      </w:tr>
      <w:tr>
        <w:trPr>
          <w:trHeight w:val="207"/>
        </w:trPr>
        <w:tc>
          <w:tcPr>
            <w:tcW w:w="2300" w:type="dxa"/>
            <w:vAlign w:val="bottom"/>
          </w:tcPr>
          <w:p>
            <w:pPr>
              <w:spacing w:after="0"/>
              <w:rPr>
                <w:sz w:val="20"/>
                <w:szCs w:val="20"/>
                <w:color w:val="auto"/>
              </w:rPr>
            </w:pPr>
            <w:r>
              <w:rPr>
                <w:rFonts w:ascii="Arial" w:cs="Arial" w:eastAsia="Arial" w:hAnsi="Arial"/>
                <w:sz w:val="14"/>
                <w:szCs w:val="14"/>
                <w:b w:val="1"/>
                <w:bCs w:val="1"/>
                <w:color w:val="auto"/>
              </w:rPr>
              <w:t>June 30, 2020</w:t>
            </w:r>
          </w:p>
        </w:tc>
        <w:tc>
          <w:tcPr>
            <w:tcW w:w="3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222"/>
        </w:trPr>
        <w:tc>
          <w:tcPr>
            <w:tcW w:w="2300" w:type="dxa"/>
            <w:vAlign w:val="bottom"/>
          </w:tcPr>
          <w:p>
            <w:pPr>
              <w:spacing w:after="0"/>
              <w:rPr>
                <w:sz w:val="20"/>
                <w:szCs w:val="20"/>
                <w:color w:val="auto"/>
              </w:rPr>
            </w:pPr>
            <w:r>
              <w:rPr>
                <w:rFonts w:ascii="Arial" w:cs="Arial" w:eastAsia="Arial" w:hAnsi="Arial"/>
                <w:sz w:val="14"/>
                <w:szCs w:val="14"/>
                <w:color w:val="auto"/>
              </w:rPr>
              <w:t>With no related allowance recorded:</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1,039,013</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1,039,013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951,866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tcPr>
          <w:p>
            <w:pPr>
              <w:ind w:left="80"/>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4,683,807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4,683,807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3,466,388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 construction</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1,389,574</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1,389,574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694,787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172"/>
        </w:trPr>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With an allowance recorded:</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4"/>
        </w:trPr>
        <w:tc>
          <w:tcPr>
            <w:tcW w:w="2300" w:type="dxa"/>
            <w:vAlign w:val="bottom"/>
          </w:tcPr>
          <w:p>
            <w:pPr>
              <w:ind w:left="80"/>
              <w:spacing w:after="0"/>
              <w:rPr>
                <w:sz w:val="20"/>
                <w:szCs w:val="20"/>
                <w:color w:val="auto"/>
              </w:rPr>
            </w:pPr>
            <w:r>
              <w:rPr>
                <w:rFonts w:ascii="Arial" w:cs="Arial" w:eastAsia="Arial" w:hAnsi="Arial"/>
                <w:sz w:val="14"/>
                <w:szCs w:val="14"/>
                <w:color w:val="auto"/>
              </w:rPr>
              <w:t>Commercial</w:t>
            </w:r>
          </w:p>
        </w:tc>
        <w:tc>
          <w:tcPr>
            <w:tcW w:w="380" w:type="dxa"/>
            <w:vAlign w:val="bottom"/>
          </w:tcPr>
          <w:p>
            <w:pPr>
              <w:ind w:left="2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8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2,422,590</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2,422,590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427,069</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2,355,231</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tcPr>
          <w:p>
            <w:pPr>
              <w:ind w:left="80"/>
              <w:spacing w:after="0"/>
              <w:rPr>
                <w:sz w:val="20"/>
                <w:szCs w:val="20"/>
                <w:color w:val="auto"/>
              </w:rPr>
            </w:pPr>
            <w:r>
              <w:rPr>
                <w:rFonts w:ascii="Arial" w:cs="Arial" w:eastAsia="Arial" w:hAnsi="Arial"/>
                <w:sz w:val="14"/>
                <w:szCs w:val="14"/>
                <w:color w:val="auto"/>
              </w:rPr>
              <w:t>Residential construction</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72"/>
        </w:trPr>
        <w:tc>
          <w:tcPr>
            <w:tcW w:w="2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24"/>
        </w:trPr>
        <w:tc>
          <w:tcPr>
            <w:tcW w:w="2300" w:type="dxa"/>
            <w:vAlign w:val="bottom"/>
          </w:tcPr>
          <w:p>
            <w:pPr>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1,039,013</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1,039,013</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951,866</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tcPr>
          <w:p>
            <w:pPr>
              <w:ind w:left="80"/>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7,106,397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7,106,397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427,069</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5,821,619</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 construction</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1,389,574</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1,389,574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694,787</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172"/>
        </w:trPr>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2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4"/>
        </w:trPr>
        <w:tc>
          <w:tcPr>
            <w:tcW w:w="2300" w:type="dxa"/>
            <w:vAlign w:val="bottom"/>
          </w:tcPr>
          <w:p>
            <w:pPr>
              <w:spacing w:after="0"/>
              <w:rPr>
                <w:sz w:val="20"/>
                <w:szCs w:val="20"/>
                <w:color w:val="auto"/>
              </w:rPr>
            </w:pPr>
            <w:r>
              <w:rPr>
                <w:rFonts w:ascii="Arial" w:cs="Arial" w:eastAsia="Arial" w:hAnsi="Arial"/>
                <w:sz w:val="14"/>
                <w:szCs w:val="14"/>
                <w:color w:val="auto"/>
              </w:rPr>
              <w:t>With no related allowance recorded:</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4,488,719</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4,488,719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1,499,043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tcPr>
          <w:p>
            <w:pPr>
              <w:ind w:left="80"/>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2,254,189</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2,254,189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3,367,151</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 construction</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655,000</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655,000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1,457,278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172"/>
        </w:trPr>
        <w:tc>
          <w:tcPr>
            <w:tcW w:w="2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4"/>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With an allowance recorded:</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24"/>
        </w:trPr>
        <w:tc>
          <w:tcPr>
            <w:tcW w:w="2300" w:type="dxa"/>
            <w:vAlign w:val="bottom"/>
          </w:tcPr>
          <w:p>
            <w:pPr>
              <w:ind w:left="80"/>
              <w:spacing w:after="0"/>
              <w:rPr>
                <w:sz w:val="20"/>
                <w:szCs w:val="20"/>
                <w:color w:val="auto"/>
              </w:rPr>
            </w:pPr>
            <w:r>
              <w:rPr>
                <w:rFonts w:ascii="Arial" w:cs="Arial" w:eastAsia="Arial" w:hAnsi="Arial"/>
                <w:sz w:val="14"/>
                <w:szCs w:val="14"/>
                <w:color w:val="auto"/>
              </w:rPr>
              <w:t>Commercial</w:t>
            </w:r>
          </w:p>
        </w:tc>
        <w:tc>
          <w:tcPr>
            <w:tcW w:w="380" w:type="dxa"/>
            <w:vAlign w:val="bottom"/>
          </w:tcPr>
          <w:p>
            <w:pPr>
              <w:ind w:left="2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4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44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400" w:type="dxa"/>
            <w:vAlign w:val="bottom"/>
          </w:tcPr>
          <w:p>
            <w:pPr>
              <w:ind w:left="2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80" w:type="dxa"/>
            <w:vAlign w:val="bottom"/>
          </w:tcPr>
          <w:p>
            <w:pPr>
              <w:jc w:val="right"/>
              <w:ind w:right="590"/>
              <w:spacing w:after="0"/>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1,498,018</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1,498,018</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195,993</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665,270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tcPr>
          <w:p>
            <w:pPr>
              <w:ind w:left="80"/>
              <w:spacing w:after="0"/>
              <w:rPr>
                <w:sz w:val="20"/>
                <w:szCs w:val="20"/>
                <w:color w:val="auto"/>
              </w:rPr>
            </w:pPr>
            <w:r>
              <w:rPr>
                <w:rFonts w:ascii="Arial" w:cs="Arial" w:eastAsia="Arial" w:hAnsi="Arial"/>
                <w:sz w:val="14"/>
                <w:szCs w:val="14"/>
                <w:color w:val="auto"/>
              </w:rPr>
              <w:t>Residential construction</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72"/>
        </w:trPr>
        <w:tc>
          <w:tcPr>
            <w:tcW w:w="23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224"/>
        </w:trPr>
        <w:tc>
          <w:tcPr>
            <w:tcW w:w="2300" w:type="dxa"/>
            <w:vAlign w:val="bottom"/>
          </w:tcPr>
          <w:p>
            <w:pPr>
              <w:spacing w:after="0"/>
              <w:rPr>
                <w:sz w:val="20"/>
                <w:szCs w:val="20"/>
                <w:color w:val="auto"/>
              </w:rPr>
            </w:pPr>
            <w:r>
              <w:rPr>
                <w:rFonts w:ascii="Arial" w:cs="Arial" w:eastAsia="Arial" w:hAnsi="Arial"/>
                <w:sz w:val="14"/>
                <w:szCs w:val="14"/>
                <w:color w:val="auto"/>
              </w:rPr>
              <w:t>Total:</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Commercial</w:t>
            </w:r>
          </w:p>
        </w:tc>
        <w:tc>
          <w:tcPr>
            <w:tcW w:w="3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4,488,719</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4,488,719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1,499,043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tcPr>
          <w:p>
            <w:pPr>
              <w:ind w:left="80"/>
              <w:spacing w:after="0"/>
              <w:rPr>
                <w:sz w:val="20"/>
                <w:szCs w:val="20"/>
                <w:color w:val="auto"/>
              </w:rPr>
            </w:pPr>
            <w:r>
              <w:rPr>
                <w:rFonts w:ascii="Arial" w:cs="Arial" w:eastAsia="Arial" w:hAnsi="Arial"/>
                <w:sz w:val="14"/>
                <w:szCs w:val="14"/>
                <w:color w:val="auto"/>
              </w:rPr>
              <w:t>Residential</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3,752,207</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3,752,207</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195,993</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6"/>
              </w:rPr>
              <w:t>4,032,421</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24"/>
        </w:trPr>
        <w:tc>
          <w:tcPr>
            <w:tcW w:w="230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Residential construction</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655,000</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655,000</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1,457,278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8"/>
                <w:szCs w:val="8"/>
                <w:color w:val="auto"/>
                <w:w w:val="73"/>
              </w:rPr>
              <w:t>-</w:t>
            </w:r>
          </w:p>
        </w:tc>
      </w:tr>
    </w:tbl>
    <w:p>
      <w:pPr>
        <w:spacing w:after="0" w:line="221"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1440" w:gutter="0" w:footer="0" w:header="0"/>
        </w:sectPr>
      </w:pPr>
    </w:p>
    <w:bookmarkStart w:id="24" w:name="page25"/>
    <w:bookmarkEnd w:id="24"/>
    <w:p>
      <w:pPr>
        <w:jc w:val="center"/>
        <w:ind w:right="956"/>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Investments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Credit Risk Profile Based on Performance Status</w:t>
      </w:r>
    </w:p>
    <w:p>
      <w:pPr>
        <w:spacing w:after="0" w:line="230" w:lineRule="exact"/>
        <w:rPr>
          <w:sz w:val="20"/>
          <w:szCs w:val="20"/>
          <w:color w:val="auto"/>
        </w:rPr>
      </w:pPr>
    </w:p>
    <w:p>
      <w:pPr>
        <w:jc w:val="both"/>
        <w:ind w:left="4" w:right="960"/>
        <w:spacing w:after="0" w:line="256" w:lineRule="auto"/>
        <w:rPr>
          <w:sz w:val="20"/>
          <w:szCs w:val="20"/>
          <w:color w:val="auto"/>
        </w:rPr>
      </w:pPr>
      <w:r>
        <w:rPr>
          <w:rFonts w:ascii="Arial" w:cs="Arial" w:eastAsia="Arial" w:hAnsi="Arial"/>
          <w:sz w:val="19"/>
          <w:szCs w:val="19"/>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 Company’s performing and non-performing mortgage loans held for investment were as follows:</w:t>
      </w:r>
    </w:p>
    <w:p>
      <w:pPr>
        <w:spacing w:after="0" w:line="260" w:lineRule="exact"/>
        <w:rPr>
          <w:sz w:val="20"/>
          <w:szCs w:val="20"/>
          <w:color w:val="auto"/>
        </w:rPr>
      </w:pPr>
    </w:p>
    <w:tbl>
      <w:tblPr>
        <w:tblLayout w:type="fixed"/>
        <w:tblInd w:w="4" w:type="dxa"/>
        <w:tblCellMar>
          <w:top w:w="0" w:type="dxa"/>
          <w:left w:w="0" w:type="dxa"/>
          <w:bottom w:w="0" w:type="dxa"/>
          <w:right w:w="0" w:type="dxa"/>
        </w:tblCellMar>
      </w:tblPr>
      <w:tr>
        <w:trPr>
          <w:trHeight w:val="158"/>
        </w:trPr>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3"/>
          </w:tcPr>
          <w:p>
            <w:pPr>
              <w:jc w:val="right"/>
              <w:ind w:right="78"/>
              <w:spacing w:after="0"/>
              <w:rPr>
                <w:sz w:val="20"/>
                <w:szCs w:val="20"/>
                <w:color w:val="auto"/>
              </w:rPr>
            </w:pPr>
            <w:r>
              <w:rPr>
                <w:rFonts w:ascii="Arial" w:cs="Arial" w:eastAsia="Arial" w:hAnsi="Arial"/>
                <w:sz w:val="12"/>
                <w:szCs w:val="12"/>
                <w:color w:val="auto"/>
              </w:rPr>
              <w:t>Commercial</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3"/>
          </w:tcPr>
          <w:p>
            <w:pPr>
              <w:ind w:left="760"/>
              <w:spacing w:after="0"/>
              <w:rPr>
                <w:sz w:val="20"/>
                <w:szCs w:val="20"/>
                <w:color w:val="auto"/>
              </w:rPr>
            </w:pPr>
            <w:r>
              <w:rPr>
                <w:rFonts w:ascii="Arial" w:cs="Arial" w:eastAsia="Arial" w:hAnsi="Arial"/>
                <w:sz w:val="12"/>
                <w:szCs w:val="12"/>
                <w:color w:val="auto"/>
                <w:w w:val="90"/>
              </w:rPr>
              <w:t>Residential</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5"/>
          </w:tcPr>
          <w:p>
            <w:pPr>
              <w:ind w:left="120"/>
              <w:spacing w:after="0"/>
              <w:rPr>
                <w:sz w:val="20"/>
                <w:szCs w:val="20"/>
                <w:color w:val="auto"/>
              </w:rPr>
            </w:pPr>
            <w:r>
              <w:rPr>
                <w:rFonts w:ascii="Arial" w:cs="Arial" w:eastAsia="Arial" w:hAnsi="Arial"/>
                <w:sz w:val="12"/>
                <w:szCs w:val="12"/>
                <w:color w:val="auto"/>
              </w:rPr>
              <w:t>Residential Construction</w:t>
            </w:r>
          </w:p>
        </w:tc>
        <w:tc>
          <w:tcPr>
            <w:tcW w:w="980" w:type="dxa"/>
            <w:vAlign w:val="bottom"/>
          </w:tcPr>
          <w:p>
            <w:pPr>
              <w:spacing w:after="0"/>
              <w:rPr>
                <w:sz w:val="13"/>
                <w:szCs w:val="13"/>
                <w:color w:val="auto"/>
              </w:rPr>
            </w:pPr>
          </w:p>
        </w:tc>
        <w:tc>
          <w:tcPr>
            <w:tcW w:w="500" w:type="dxa"/>
            <w:vAlign w:val="bottom"/>
            <w:gridSpan w:val="2"/>
          </w:tcPr>
          <w:p>
            <w:pPr>
              <w:jc w:val="right"/>
              <w:ind w:right="158"/>
              <w:spacing w:after="0"/>
              <w:rPr>
                <w:sz w:val="20"/>
                <w:szCs w:val="20"/>
                <w:color w:val="auto"/>
              </w:rPr>
            </w:pPr>
            <w:r>
              <w:rPr>
                <w:rFonts w:ascii="Arial" w:cs="Arial" w:eastAsia="Arial" w:hAnsi="Arial"/>
                <w:sz w:val="12"/>
                <w:szCs w:val="12"/>
                <w:color w:val="auto"/>
                <w:w w:val="97"/>
              </w:rPr>
              <w:t>Total</w:t>
            </w:r>
          </w:p>
        </w:tc>
        <w:tc>
          <w:tcPr>
            <w:tcW w:w="760" w:type="dxa"/>
            <w:vAlign w:val="bottom"/>
          </w:tcPr>
          <w:p>
            <w:pPr>
              <w:spacing w:after="0"/>
              <w:rPr>
                <w:sz w:val="13"/>
                <w:szCs w:val="13"/>
                <w:color w:val="auto"/>
              </w:rPr>
            </w:pPr>
          </w:p>
        </w:tc>
      </w:tr>
      <w:tr>
        <w:trPr>
          <w:trHeight w:val="126"/>
        </w:trPr>
        <w:tc>
          <w:tcPr>
            <w:tcW w:w="900" w:type="dxa"/>
            <w:vAlign w:val="bottom"/>
          </w:tcPr>
          <w:p>
            <w:pPr>
              <w:spacing w:after="0"/>
              <w:rPr>
                <w:sz w:val="10"/>
                <w:szCs w:val="10"/>
                <w:color w:val="auto"/>
              </w:rPr>
            </w:pPr>
          </w:p>
        </w:tc>
        <w:tc>
          <w:tcPr>
            <w:tcW w:w="1100" w:type="dxa"/>
            <w:vAlign w:val="bottom"/>
            <w:tcBorders>
              <w:top w:val="single" w:sz="8" w:color="auto"/>
            </w:tcBorders>
            <w:gridSpan w:val="3"/>
          </w:tcPr>
          <w:p>
            <w:pPr>
              <w:ind w:left="320"/>
              <w:spacing w:after="0" w:line="126" w:lineRule="exact"/>
              <w:rPr>
                <w:sz w:val="20"/>
                <w:szCs w:val="20"/>
                <w:color w:val="auto"/>
              </w:rPr>
            </w:pPr>
            <w:r>
              <w:rPr>
                <w:rFonts w:ascii="Arial" w:cs="Arial" w:eastAsia="Arial" w:hAnsi="Arial"/>
                <w:sz w:val="12"/>
                <w:szCs w:val="12"/>
                <w:color w:val="auto"/>
              </w:rPr>
              <w:t>June</w:t>
            </w:r>
          </w:p>
        </w:tc>
        <w:tc>
          <w:tcPr>
            <w:tcW w:w="920" w:type="dxa"/>
            <w:vAlign w:val="bottom"/>
            <w:tcBorders>
              <w:top w:val="single" w:sz="8" w:color="auto"/>
            </w:tcBorders>
            <w:gridSpan w:val="2"/>
          </w:tcPr>
          <w:p>
            <w:pPr>
              <w:jc w:val="right"/>
              <w:ind w:right="138"/>
              <w:spacing w:after="0" w:line="126" w:lineRule="exact"/>
              <w:rPr>
                <w:sz w:val="20"/>
                <w:szCs w:val="20"/>
                <w:color w:val="auto"/>
              </w:rPr>
            </w:pPr>
            <w:r>
              <w:rPr>
                <w:rFonts w:ascii="Arial" w:cs="Arial" w:eastAsia="Arial" w:hAnsi="Arial"/>
                <w:sz w:val="12"/>
                <w:szCs w:val="12"/>
                <w:color w:val="auto"/>
              </w:rPr>
              <w:t>December</w:t>
            </w:r>
          </w:p>
        </w:tc>
        <w:tc>
          <w:tcPr>
            <w:tcW w:w="180" w:type="dxa"/>
            <w:vAlign w:val="bottom"/>
          </w:tcPr>
          <w:p>
            <w:pPr>
              <w:spacing w:after="0"/>
              <w:rPr>
                <w:sz w:val="10"/>
                <w:szCs w:val="10"/>
                <w:color w:val="auto"/>
              </w:rPr>
            </w:pPr>
          </w:p>
        </w:tc>
        <w:tc>
          <w:tcPr>
            <w:tcW w:w="1320" w:type="dxa"/>
            <w:vAlign w:val="bottom"/>
            <w:tcBorders>
              <w:top w:val="single" w:sz="8" w:color="auto"/>
            </w:tcBorders>
            <w:gridSpan w:val="3"/>
          </w:tcPr>
          <w:p>
            <w:pPr>
              <w:ind w:left="340"/>
              <w:spacing w:after="0" w:line="126" w:lineRule="exact"/>
              <w:rPr>
                <w:sz w:val="20"/>
                <w:szCs w:val="20"/>
                <w:color w:val="auto"/>
              </w:rPr>
            </w:pPr>
            <w:r>
              <w:rPr>
                <w:rFonts w:ascii="Arial" w:cs="Arial" w:eastAsia="Arial" w:hAnsi="Arial"/>
                <w:sz w:val="12"/>
                <w:szCs w:val="12"/>
                <w:color w:val="auto"/>
              </w:rPr>
              <w:t>June</w:t>
            </w:r>
          </w:p>
        </w:tc>
        <w:tc>
          <w:tcPr>
            <w:tcW w:w="740" w:type="dxa"/>
            <w:vAlign w:val="bottom"/>
            <w:tcBorders>
              <w:top w:val="single" w:sz="8" w:color="auto"/>
            </w:tcBorders>
          </w:tcPr>
          <w:p>
            <w:pPr>
              <w:jc w:val="right"/>
              <w:ind w:right="138"/>
              <w:spacing w:after="0" w:line="126" w:lineRule="exact"/>
              <w:rPr>
                <w:sz w:val="20"/>
                <w:szCs w:val="20"/>
                <w:color w:val="auto"/>
              </w:rPr>
            </w:pPr>
            <w:r>
              <w:rPr>
                <w:rFonts w:ascii="Arial" w:cs="Arial" w:eastAsia="Arial" w:hAnsi="Arial"/>
                <w:sz w:val="12"/>
                <w:szCs w:val="12"/>
                <w:color w:val="auto"/>
                <w:w w:val="93"/>
              </w:rPr>
              <w:t>December</w:t>
            </w:r>
          </w:p>
        </w:tc>
        <w:tc>
          <w:tcPr>
            <w:tcW w:w="18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40"/>
              <w:spacing w:after="0" w:line="126" w:lineRule="exact"/>
              <w:rPr>
                <w:sz w:val="20"/>
                <w:szCs w:val="20"/>
                <w:color w:val="auto"/>
              </w:rPr>
            </w:pPr>
            <w:r>
              <w:rPr>
                <w:rFonts w:ascii="Arial" w:cs="Arial" w:eastAsia="Arial" w:hAnsi="Arial"/>
                <w:sz w:val="12"/>
                <w:szCs w:val="12"/>
                <w:color w:val="auto"/>
              </w:rPr>
              <w:t>June</w:t>
            </w:r>
          </w:p>
        </w:tc>
        <w:tc>
          <w:tcPr>
            <w:tcW w:w="900" w:type="dxa"/>
            <w:vAlign w:val="bottom"/>
            <w:tcBorders>
              <w:top w:val="single" w:sz="8" w:color="auto"/>
            </w:tcBorders>
            <w:gridSpan w:val="2"/>
          </w:tcPr>
          <w:p>
            <w:pPr>
              <w:jc w:val="right"/>
              <w:ind w:right="138"/>
              <w:spacing w:after="0" w:line="126" w:lineRule="exact"/>
              <w:rPr>
                <w:sz w:val="20"/>
                <w:szCs w:val="20"/>
                <w:color w:val="auto"/>
              </w:rPr>
            </w:pPr>
            <w:r>
              <w:rPr>
                <w:rFonts w:ascii="Arial" w:cs="Arial" w:eastAsia="Arial" w:hAnsi="Arial"/>
                <w:sz w:val="12"/>
                <w:szCs w:val="12"/>
                <w:color w:val="auto"/>
              </w:rPr>
              <w:t>December</w:t>
            </w:r>
          </w:p>
        </w:tc>
        <w:tc>
          <w:tcPr>
            <w:tcW w:w="180" w:type="dxa"/>
            <w:vAlign w:val="bottom"/>
          </w:tcPr>
          <w:p>
            <w:pPr>
              <w:spacing w:after="0"/>
              <w:rPr>
                <w:sz w:val="10"/>
                <w:szCs w:val="10"/>
                <w:color w:val="auto"/>
              </w:rPr>
            </w:pPr>
          </w:p>
        </w:tc>
        <w:tc>
          <w:tcPr>
            <w:tcW w:w="980" w:type="dxa"/>
            <w:vAlign w:val="bottom"/>
            <w:tcBorders>
              <w:top w:val="single" w:sz="8" w:color="auto"/>
            </w:tcBorders>
          </w:tcPr>
          <w:p>
            <w:pPr>
              <w:jc w:val="right"/>
              <w:ind w:right="338"/>
              <w:spacing w:after="0" w:line="126" w:lineRule="exact"/>
              <w:rPr>
                <w:sz w:val="20"/>
                <w:szCs w:val="20"/>
                <w:color w:val="auto"/>
              </w:rPr>
            </w:pPr>
            <w:r>
              <w:rPr>
                <w:rFonts w:ascii="Arial" w:cs="Arial" w:eastAsia="Arial" w:hAnsi="Arial"/>
                <w:sz w:val="12"/>
                <w:szCs w:val="12"/>
                <w:color w:val="auto"/>
              </w:rPr>
              <w:t>June</w:t>
            </w: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218"/>
              <w:spacing w:after="0" w:line="126" w:lineRule="exact"/>
              <w:rPr>
                <w:sz w:val="20"/>
                <w:szCs w:val="20"/>
                <w:color w:val="auto"/>
              </w:rPr>
            </w:pPr>
            <w:r>
              <w:rPr>
                <w:rFonts w:ascii="Arial" w:cs="Arial" w:eastAsia="Arial" w:hAnsi="Arial"/>
                <w:sz w:val="12"/>
                <w:szCs w:val="12"/>
                <w:color w:val="auto"/>
              </w:rPr>
              <w:t>December</w:t>
            </w:r>
          </w:p>
        </w:tc>
      </w:tr>
      <w:tr>
        <w:trPr>
          <w:trHeight w:val="158"/>
        </w:trPr>
        <w:tc>
          <w:tcPr>
            <w:tcW w:w="900" w:type="dxa"/>
            <w:vAlign w:val="bottom"/>
          </w:tcPr>
          <w:p>
            <w:pPr>
              <w:spacing w:after="0"/>
              <w:rPr>
                <w:sz w:val="13"/>
                <w:szCs w:val="13"/>
                <w:color w:val="auto"/>
              </w:rPr>
            </w:pPr>
          </w:p>
        </w:tc>
        <w:tc>
          <w:tcPr>
            <w:tcW w:w="92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color w:val="auto"/>
              </w:rPr>
              <w:t>30, 2020</w:t>
            </w:r>
          </w:p>
        </w:tc>
        <w:tc>
          <w:tcPr>
            <w:tcW w:w="180" w:type="dxa"/>
            <w:vAlign w:val="bottom"/>
          </w:tcPr>
          <w:p>
            <w:pPr>
              <w:spacing w:after="0"/>
              <w:rPr>
                <w:sz w:val="13"/>
                <w:szCs w:val="13"/>
                <w:color w:val="auto"/>
              </w:rPr>
            </w:pPr>
          </w:p>
        </w:tc>
        <w:tc>
          <w:tcPr>
            <w:tcW w:w="920" w:type="dxa"/>
            <w:vAlign w:val="bottom"/>
            <w:tcBorders>
              <w:bottom w:val="single" w:sz="8" w:color="auto"/>
            </w:tcBorders>
            <w:gridSpan w:val="2"/>
          </w:tcPr>
          <w:p>
            <w:pPr>
              <w:ind w:left="240"/>
              <w:spacing w:after="0"/>
              <w:rPr>
                <w:sz w:val="20"/>
                <w:szCs w:val="20"/>
                <w:color w:val="auto"/>
              </w:rPr>
            </w:pPr>
            <w:r>
              <w:rPr>
                <w:rFonts w:ascii="Arial" w:cs="Arial" w:eastAsia="Arial" w:hAnsi="Arial"/>
                <w:sz w:val="12"/>
                <w:szCs w:val="12"/>
                <w:color w:val="auto"/>
              </w:rPr>
              <w:t>31, 2019</w:t>
            </w:r>
          </w:p>
        </w:tc>
        <w:tc>
          <w:tcPr>
            <w:tcW w:w="180" w:type="dxa"/>
            <w:vAlign w:val="bottom"/>
          </w:tcPr>
          <w:p>
            <w:pPr>
              <w:spacing w:after="0"/>
              <w:rPr>
                <w:sz w:val="13"/>
                <w:szCs w:val="13"/>
                <w:color w:val="auto"/>
              </w:rPr>
            </w:pPr>
          </w:p>
        </w:tc>
        <w:tc>
          <w:tcPr>
            <w:tcW w:w="9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30, 2020</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31, 2019</w:t>
            </w:r>
          </w:p>
        </w:tc>
        <w:tc>
          <w:tcPr>
            <w:tcW w:w="180" w:type="dxa"/>
            <w:vAlign w:val="bottom"/>
          </w:tcPr>
          <w:p>
            <w:pPr>
              <w:spacing w:after="0"/>
              <w:rPr>
                <w:sz w:val="13"/>
                <w:szCs w:val="13"/>
                <w:color w:val="auto"/>
              </w:rPr>
            </w:pPr>
          </w:p>
        </w:tc>
        <w:tc>
          <w:tcPr>
            <w:tcW w:w="96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2"/>
                <w:szCs w:val="12"/>
                <w:color w:val="auto"/>
              </w:rPr>
              <w:t>30, 2020</w:t>
            </w:r>
          </w:p>
        </w:tc>
        <w:tc>
          <w:tcPr>
            <w:tcW w:w="200" w:type="dxa"/>
            <w:vAlign w:val="bottom"/>
          </w:tcPr>
          <w:p>
            <w:pPr>
              <w:spacing w:after="0"/>
              <w:rPr>
                <w:sz w:val="13"/>
                <w:szCs w:val="13"/>
                <w:color w:val="auto"/>
              </w:rPr>
            </w:pPr>
          </w:p>
        </w:tc>
        <w:tc>
          <w:tcPr>
            <w:tcW w:w="900" w:type="dxa"/>
            <w:vAlign w:val="bottom"/>
            <w:tcBorders>
              <w:bottom w:val="single" w:sz="8" w:color="auto"/>
            </w:tcBorders>
            <w:gridSpan w:val="2"/>
          </w:tcPr>
          <w:p>
            <w:pPr>
              <w:jc w:val="right"/>
              <w:ind w:right="178"/>
              <w:spacing w:after="0"/>
              <w:rPr>
                <w:sz w:val="20"/>
                <w:szCs w:val="20"/>
                <w:color w:val="auto"/>
              </w:rPr>
            </w:pPr>
            <w:r>
              <w:rPr>
                <w:rFonts w:ascii="Arial" w:cs="Arial" w:eastAsia="Arial" w:hAnsi="Arial"/>
                <w:sz w:val="12"/>
                <w:szCs w:val="12"/>
                <w:color w:val="auto"/>
              </w:rPr>
              <w:t>31, 2019</w:t>
            </w:r>
          </w:p>
        </w:tc>
        <w:tc>
          <w:tcPr>
            <w:tcW w:w="180" w:type="dxa"/>
            <w:vAlign w:val="bottom"/>
          </w:tcPr>
          <w:p>
            <w:pPr>
              <w:spacing w:after="0"/>
              <w:rPr>
                <w:sz w:val="13"/>
                <w:szCs w:val="13"/>
                <w:color w:val="auto"/>
              </w:rPr>
            </w:pPr>
          </w:p>
        </w:tc>
        <w:tc>
          <w:tcPr>
            <w:tcW w:w="980" w:type="dxa"/>
            <w:vAlign w:val="bottom"/>
            <w:tcBorders>
              <w:bottom w:val="single" w:sz="8" w:color="auto"/>
            </w:tcBorders>
          </w:tcPr>
          <w:p>
            <w:pPr>
              <w:jc w:val="right"/>
              <w:ind w:right="218"/>
              <w:spacing w:after="0"/>
              <w:rPr>
                <w:sz w:val="20"/>
                <w:szCs w:val="20"/>
                <w:color w:val="auto"/>
              </w:rPr>
            </w:pPr>
            <w:r>
              <w:rPr>
                <w:rFonts w:ascii="Arial" w:cs="Arial" w:eastAsia="Arial" w:hAnsi="Arial"/>
                <w:sz w:val="12"/>
                <w:szCs w:val="12"/>
                <w:color w:val="auto"/>
              </w:rPr>
              <w:t>30, 2020</w:t>
            </w:r>
          </w:p>
        </w:tc>
        <w:tc>
          <w:tcPr>
            <w:tcW w:w="1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8"/>
              <w:spacing w:after="0"/>
              <w:rPr>
                <w:sz w:val="20"/>
                <w:szCs w:val="20"/>
                <w:color w:val="auto"/>
              </w:rPr>
            </w:pPr>
            <w:r>
              <w:rPr>
                <w:rFonts w:ascii="Arial" w:cs="Arial" w:eastAsia="Arial" w:hAnsi="Arial"/>
                <w:sz w:val="12"/>
                <w:szCs w:val="12"/>
                <w:color w:val="auto"/>
                <w:w w:val="89"/>
              </w:rPr>
              <w:t>31, 2019</w:t>
            </w:r>
          </w:p>
        </w:tc>
      </w:tr>
      <w:tr>
        <w:trPr>
          <w:trHeight w:val="153"/>
        </w:trPr>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58"/>
        </w:trPr>
        <w:tc>
          <w:tcPr>
            <w:tcW w:w="900" w:type="dxa"/>
            <w:vAlign w:val="bottom"/>
            <w:shd w:val="clear" w:color="auto" w:fill="CCEEFF"/>
          </w:tcPr>
          <w:p>
            <w:pPr>
              <w:spacing w:after="0"/>
              <w:rPr>
                <w:sz w:val="20"/>
                <w:szCs w:val="20"/>
                <w:color w:val="auto"/>
              </w:rPr>
            </w:pPr>
            <w:r>
              <w:rPr>
                <w:rFonts w:ascii="Arial" w:cs="Arial" w:eastAsia="Arial" w:hAnsi="Arial"/>
                <w:sz w:val="12"/>
                <w:szCs w:val="12"/>
                <w:color w:val="auto"/>
              </w:rPr>
              <w:t>Performing</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48,574,354</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ind w:left="26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34,229,501</w:t>
            </w: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$ 102,198,563</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$109,291,758</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5"/>
              </w:rPr>
              <w:t>105,500,792</w:t>
            </w: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6"/>
              </w:rPr>
              <w:t>88,775,237</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$ 256,273,709</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232,296,496</w:t>
            </w:r>
          </w:p>
        </w:tc>
      </w:tr>
      <w:tr>
        <w:trPr>
          <w:trHeight w:val="157"/>
        </w:trPr>
        <w:tc>
          <w:tcPr>
            <w:tcW w:w="900" w:type="dxa"/>
            <w:vAlign w:val="bottom"/>
          </w:tcPr>
          <w:p>
            <w:pPr>
              <w:spacing w:after="0"/>
              <w:rPr>
                <w:sz w:val="20"/>
                <w:szCs w:val="20"/>
                <w:color w:val="auto"/>
              </w:rPr>
            </w:pPr>
            <w:r>
              <w:rPr>
                <w:rFonts w:ascii="Arial" w:cs="Arial" w:eastAsia="Arial" w:hAnsi="Arial"/>
                <w:sz w:val="12"/>
                <w:szCs w:val="12"/>
                <w:color w:val="auto"/>
              </w:rPr>
              <w:t>Non-performing</w:t>
            </w:r>
          </w:p>
        </w:tc>
        <w:tc>
          <w:tcPr>
            <w:tcW w:w="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1,039,013</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4,488,719</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7,106,397</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3,752,207</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1,389,574</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655,000</w:t>
            </w:r>
          </w:p>
        </w:tc>
        <w:tc>
          <w:tcPr>
            <w:tcW w:w="1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9,534,984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8,895,926</w:t>
            </w:r>
          </w:p>
        </w:tc>
      </w:tr>
      <w:tr>
        <w:trPr>
          <w:trHeight w:val="160"/>
        </w:trPr>
        <w:tc>
          <w:tcPr>
            <w:tcW w:w="90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r>
      <w:tr>
        <w:trPr>
          <w:trHeight w:val="152"/>
        </w:trPr>
        <w:tc>
          <w:tcPr>
            <w:tcW w:w="900" w:type="dxa"/>
            <w:vAlign w:val="bottom"/>
          </w:tcPr>
          <w:p>
            <w:pPr>
              <w:spacing w:after="0"/>
              <w:rPr>
                <w:sz w:val="20"/>
                <w:szCs w:val="20"/>
                <w:color w:val="auto"/>
              </w:rPr>
            </w:pPr>
            <w:r>
              <w:rPr>
                <w:rFonts w:ascii="Arial" w:cs="Arial" w:eastAsia="Arial" w:hAnsi="Arial"/>
                <w:sz w:val="12"/>
                <w:szCs w:val="12"/>
                <w:color w:val="auto"/>
              </w:rPr>
              <w:t>Total</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49,613,367</w:t>
            </w:r>
          </w:p>
        </w:tc>
        <w:tc>
          <w:tcPr>
            <w:tcW w:w="18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38,718,220</w:t>
            </w:r>
          </w:p>
        </w:tc>
        <w:tc>
          <w:tcPr>
            <w:tcW w:w="1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$ 109,304,960</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$113,043,965</w:t>
            </w:r>
          </w:p>
        </w:tc>
        <w:tc>
          <w:tcPr>
            <w:tcW w:w="18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106,890,366</w:t>
            </w:r>
          </w:p>
        </w:tc>
        <w:tc>
          <w:tcPr>
            <w:tcW w:w="20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6"/>
              </w:rPr>
              <w:t>89,430,237</w:t>
            </w:r>
          </w:p>
        </w:tc>
        <w:tc>
          <w:tcPr>
            <w:tcW w:w="1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$ 265,808,693</w:t>
            </w:r>
          </w:p>
        </w:tc>
        <w:tc>
          <w:tcPr>
            <w:tcW w:w="180" w:type="dxa"/>
            <w:vAlign w:val="bottom"/>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241,192,422</w:t>
            </w:r>
          </w:p>
        </w:tc>
      </w:tr>
      <w:tr>
        <w:trPr>
          <w:trHeight w:val="20"/>
        </w:trPr>
        <w:tc>
          <w:tcPr>
            <w:tcW w:w="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Non-Accrual Mortgage Loans Held for Investment</w:t>
      </w:r>
    </w:p>
    <w:p>
      <w:pPr>
        <w:spacing w:after="0" w:line="230" w:lineRule="exact"/>
        <w:rPr>
          <w:sz w:val="20"/>
          <w:szCs w:val="20"/>
          <w:color w:val="auto"/>
        </w:rPr>
      </w:pPr>
    </w:p>
    <w:p>
      <w:pPr>
        <w:jc w:val="both"/>
        <w:ind w:left="4" w:right="960"/>
        <w:spacing w:after="0" w:line="291" w:lineRule="auto"/>
        <w:rPr>
          <w:sz w:val="20"/>
          <w:szCs w:val="20"/>
          <w:color w:val="auto"/>
        </w:rPr>
      </w:pPr>
      <w:r>
        <w:rPr>
          <w:rFonts w:ascii="Arial" w:cs="Arial" w:eastAsia="Arial" w:hAnsi="Arial"/>
          <w:sz w:val="17"/>
          <w:szCs w:val="17"/>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$384,000 and $203,000 as of June 30, 2020 and December 31, 2019, respectively.</w:t>
      </w:r>
    </w:p>
    <w:p>
      <w:pPr>
        <w:spacing w:after="0" w:line="162" w:lineRule="exact"/>
        <w:rPr>
          <w:sz w:val="20"/>
          <w:szCs w:val="20"/>
          <w:color w:val="auto"/>
        </w:rPr>
      </w:pPr>
    </w:p>
    <w:p>
      <w:pPr>
        <w:ind w:left="4" w:right="1640"/>
        <w:spacing w:after="0" w:line="277" w:lineRule="auto"/>
        <w:rPr>
          <w:sz w:val="20"/>
          <w:szCs w:val="20"/>
          <w:color w:val="auto"/>
        </w:rPr>
      </w:pPr>
      <w:r>
        <w:rPr>
          <w:rFonts w:ascii="Arial" w:cs="Arial" w:eastAsia="Arial" w:hAnsi="Arial"/>
          <w:sz w:val="19"/>
          <w:szCs w:val="19"/>
          <w:color w:val="auto"/>
        </w:rPr>
        <w:t>The following is a summary of mortgage loans held for investment on a non-accrual status for the periods presented.</w:t>
      </w:r>
    </w:p>
    <w:p>
      <w:pPr>
        <w:spacing w:after="0" w:line="16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gridSpan w:val="2"/>
          </w:tcPr>
          <w:p>
            <w:pPr>
              <w:ind w:left="260"/>
              <w:spacing w:after="0"/>
              <w:rPr>
                <w:sz w:val="20"/>
                <w:szCs w:val="20"/>
                <w:color w:val="auto"/>
              </w:rPr>
            </w:pPr>
            <w:r>
              <w:rPr>
                <w:rFonts w:ascii="Arial" w:cs="Arial" w:eastAsia="Arial" w:hAnsi="Arial"/>
                <w:sz w:val="14"/>
                <w:szCs w:val="14"/>
                <w:color w:val="auto"/>
              </w:rPr>
              <w:t>As of June 30</w:t>
            </w:r>
          </w:p>
        </w:tc>
        <w:tc>
          <w:tcPr>
            <w:tcW w:w="260" w:type="dxa"/>
            <w:vAlign w:val="bottom"/>
          </w:tcPr>
          <w:p>
            <w:pPr>
              <w:spacing w:after="0"/>
              <w:rPr>
                <w:sz w:val="14"/>
                <w:szCs w:val="14"/>
                <w:color w:val="auto"/>
              </w:rPr>
            </w:pPr>
          </w:p>
        </w:tc>
        <w:tc>
          <w:tcPr>
            <w:tcW w:w="1680" w:type="dxa"/>
            <w:vAlign w:val="bottom"/>
          </w:tcPr>
          <w:p>
            <w:pPr>
              <w:jc w:val="right"/>
              <w:ind w:right="350"/>
              <w:spacing w:after="0"/>
              <w:rPr>
                <w:sz w:val="20"/>
                <w:szCs w:val="20"/>
                <w:color w:val="auto"/>
              </w:rPr>
            </w:pPr>
            <w:r>
              <w:rPr>
                <w:rFonts w:ascii="Arial" w:cs="Arial" w:eastAsia="Arial" w:hAnsi="Arial"/>
                <w:sz w:val="14"/>
                <w:szCs w:val="14"/>
                <w:color w:val="auto"/>
              </w:rPr>
              <w:t>As of December 31</w:t>
            </w:r>
          </w:p>
        </w:tc>
      </w:tr>
      <w:tr>
        <w:trPr>
          <w:trHeight w:val="177"/>
        </w:trPr>
        <w:tc>
          <w:tcPr>
            <w:tcW w:w="2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790"/>
              <w:spacing w:after="0"/>
              <w:rPr>
                <w:sz w:val="20"/>
                <w:szCs w:val="20"/>
                <w:color w:val="auto"/>
              </w:rPr>
            </w:pPr>
            <w:r>
              <w:rPr>
                <w:rFonts w:ascii="Arial" w:cs="Arial" w:eastAsia="Arial" w:hAnsi="Arial"/>
                <w:sz w:val="14"/>
                <w:szCs w:val="14"/>
                <w:color w:val="auto"/>
              </w:rPr>
              <w:t>2020</w:t>
            </w:r>
          </w:p>
        </w:tc>
        <w:tc>
          <w:tcPr>
            <w:tcW w:w="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750"/>
              <w:spacing w:after="0"/>
              <w:rPr>
                <w:sz w:val="20"/>
                <w:szCs w:val="20"/>
                <w:color w:val="auto"/>
              </w:rPr>
            </w:pPr>
            <w:r>
              <w:rPr>
                <w:rFonts w:ascii="Arial" w:cs="Arial" w:eastAsia="Arial" w:hAnsi="Arial"/>
                <w:sz w:val="14"/>
                <w:szCs w:val="14"/>
                <w:color w:val="auto"/>
              </w:rPr>
              <w:t>2019</w:t>
            </w:r>
          </w:p>
        </w:tc>
      </w:tr>
      <w:tr>
        <w:trPr>
          <w:trHeight w:val="165"/>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36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570"/>
              <w:spacing w:after="0"/>
              <w:rPr>
                <w:sz w:val="20"/>
                <w:szCs w:val="20"/>
                <w:color w:val="auto"/>
              </w:rPr>
            </w:pPr>
            <w:r>
              <w:rPr>
                <w:rFonts w:ascii="Arial" w:cs="Arial" w:eastAsia="Arial" w:hAnsi="Arial"/>
                <w:sz w:val="14"/>
                <w:szCs w:val="14"/>
                <w:color w:val="auto"/>
              </w:rPr>
              <w:t>1,039,013</w:t>
            </w: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1680" w:type="dxa"/>
            <w:vAlign w:val="bottom"/>
            <w:shd w:val="clear" w:color="auto" w:fill="CCEEFF"/>
          </w:tcPr>
          <w:p>
            <w:pPr>
              <w:jc w:val="right"/>
              <w:ind w:right="550"/>
              <w:spacing w:after="0"/>
              <w:rPr>
                <w:sz w:val="20"/>
                <w:szCs w:val="20"/>
                <w:color w:val="auto"/>
              </w:rPr>
            </w:pPr>
            <w:r>
              <w:rPr>
                <w:rFonts w:ascii="Arial" w:cs="Arial" w:eastAsia="Arial" w:hAnsi="Arial"/>
                <w:sz w:val="14"/>
                <w:szCs w:val="14"/>
                <w:color w:val="auto"/>
              </w:rPr>
              <w:t>4,488,719</w:t>
            </w:r>
          </w:p>
        </w:tc>
      </w:tr>
      <w:tr>
        <w:trPr>
          <w:trHeight w:val="172"/>
        </w:trPr>
        <w:tc>
          <w:tcPr>
            <w:tcW w:w="2220" w:type="dxa"/>
            <w:vAlign w:val="bottom"/>
          </w:tcPr>
          <w:p>
            <w:pPr>
              <w:spacing w:after="0"/>
              <w:rPr>
                <w:sz w:val="20"/>
                <w:szCs w:val="20"/>
                <w:color w:val="auto"/>
              </w:rPr>
            </w:pPr>
            <w:r>
              <w:rPr>
                <w:rFonts w:ascii="Arial" w:cs="Arial" w:eastAsia="Arial" w:hAnsi="Arial"/>
                <w:sz w:val="14"/>
                <w:szCs w:val="14"/>
                <w:color w:val="auto"/>
              </w:rPr>
              <w:t>Residential</w:t>
            </w:r>
          </w:p>
        </w:tc>
        <w:tc>
          <w:tcPr>
            <w:tcW w:w="360" w:type="dxa"/>
            <w:vAlign w:val="bottom"/>
          </w:tcPr>
          <w:p>
            <w:pPr>
              <w:spacing w:after="0"/>
              <w:rPr>
                <w:sz w:val="14"/>
                <w:szCs w:val="14"/>
                <w:color w:val="auto"/>
              </w:rPr>
            </w:pPr>
          </w:p>
        </w:tc>
        <w:tc>
          <w:tcPr>
            <w:tcW w:w="1640" w:type="dxa"/>
            <w:vAlign w:val="bottom"/>
          </w:tcPr>
          <w:p>
            <w:pPr>
              <w:jc w:val="right"/>
              <w:ind w:right="570"/>
              <w:spacing w:after="0"/>
              <w:rPr>
                <w:sz w:val="20"/>
                <w:szCs w:val="20"/>
                <w:color w:val="auto"/>
              </w:rPr>
            </w:pPr>
            <w:r>
              <w:rPr>
                <w:rFonts w:ascii="Arial" w:cs="Arial" w:eastAsia="Arial" w:hAnsi="Arial"/>
                <w:sz w:val="14"/>
                <w:szCs w:val="14"/>
                <w:color w:val="auto"/>
              </w:rPr>
              <w:t>7,106,397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right"/>
              <w:ind w:right="550"/>
              <w:spacing w:after="0"/>
              <w:rPr>
                <w:sz w:val="20"/>
                <w:szCs w:val="20"/>
                <w:color w:val="auto"/>
              </w:rPr>
            </w:pPr>
            <w:r>
              <w:rPr>
                <w:rFonts w:ascii="Arial" w:cs="Arial" w:eastAsia="Arial" w:hAnsi="Arial"/>
                <w:sz w:val="14"/>
                <w:szCs w:val="14"/>
                <w:color w:val="auto"/>
              </w:rPr>
              <w:t>3,752,207</w:t>
            </w:r>
          </w:p>
        </w:tc>
      </w:tr>
      <w:tr>
        <w:trPr>
          <w:trHeight w:val="172"/>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Residential construction</w:t>
            </w:r>
          </w:p>
        </w:tc>
        <w:tc>
          <w:tcPr>
            <w:tcW w:w="36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4"/>
                <w:szCs w:val="14"/>
                <w:color w:val="auto"/>
              </w:rPr>
              <w:t>1,389,574</w:t>
            </w:r>
          </w:p>
        </w:tc>
        <w:tc>
          <w:tcPr>
            <w:tcW w:w="3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4"/>
                <w:szCs w:val="14"/>
                <w:color w:val="auto"/>
              </w:rPr>
              <w:t>655,000</w:t>
            </w:r>
          </w:p>
        </w:tc>
      </w:tr>
      <w:tr>
        <w:trPr>
          <w:trHeight w:val="165"/>
        </w:trPr>
        <w:tc>
          <w:tcPr>
            <w:tcW w:w="2220" w:type="dxa"/>
            <w:vAlign w:val="bottom"/>
          </w:tcPr>
          <w:p>
            <w:pPr>
              <w:spacing w:after="0"/>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color w:val="auto"/>
              </w:rPr>
              <w:t>9,534,984</w:t>
            </w:r>
          </w:p>
        </w:tc>
        <w:tc>
          <w:tcPr>
            <w:tcW w:w="300" w:type="dxa"/>
            <w:vAlign w:val="bottom"/>
          </w:tcPr>
          <w:p>
            <w:pPr>
              <w:spacing w:after="0"/>
              <w:rPr>
                <w:sz w:val="14"/>
                <w:szCs w:val="14"/>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168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color w:val="auto"/>
              </w:rPr>
              <w:t>8,895,926</w:t>
            </w:r>
          </w:p>
        </w:tc>
      </w:tr>
      <w:tr>
        <w:trPr>
          <w:trHeight w:val="20"/>
        </w:trPr>
        <w:tc>
          <w:tcPr>
            <w:tcW w:w="2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344" w:hanging="344"/>
        <w:spacing w:after="0"/>
        <w:tabs>
          <w:tab w:leader="none" w:pos="344"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Loans Held for Sale</w:t>
      </w:r>
    </w:p>
    <w:p>
      <w:pPr>
        <w:spacing w:after="0" w:line="230" w:lineRule="exact"/>
        <w:rPr>
          <w:sz w:val="20"/>
          <w:szCs w:val="20"/>
          <w:color w:val="auto"/>
        </w:rPr>
      </w:pPr>
    </w:p>
    <w:p>
      <w:pPr>
        <w:jc w:val="both"/>
        <w:ind w:left="4" w:right="960"/>
        <w:spacing w:after="0" w:line="288" w:lineRule="auto"/>
        <w:rPr>
          <w:sz w:val="20"/>
          <w:szCs w:val="20"/>
          <w:color w:val="auto"/>
        </w:rPr>
      </w:pPr>
      <w:r>
        <w:rPr>
          <w:rFonts w:ascii="Arial" w:cs="Arial" w:eastAsia="Arial" w:hAnsi="Arial"/>
          <w:sz w:val="17"/>
          <w:szCs w:val="17"/>
          <w:color w:val="auto"/>
        </w:rPr>
        <w:t>The Company has elected the fair value option for loans held for sale. Changes in the fair value of the loans are included in mortgage fee income. Interest income is recorded based on the contractual terms of the loan and in accordance with the Company’s policy on mortgage loans held for investment and is included in mortgage fee income on the condensed consolidated statement of earnings. There is one loan with an unpaid principal balance of $227,794 that is 90 or more days past due and on a nonaccrual status as of June 30, 2020. See Note 8 to the condensed consolidated financial statements for additional disclosures regarding loans held for sale.</w:t>
      </w:r>
    </w:p>
    <w:p>
      <w:pPr>
        <w:spacing w:after="0" w:line="177" w:lineRule="exact"/>
        <w:rPr>
          <w:sz w:val="20"/>
          <w:szCs w:val="20"/>
          <w:color w:val="auto"/>
        </w:rPr>
      </w:pPr>
    </w:p>
    <w:p>
      <w:pPr>
        <w:ind w:left="4344"/>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824"/>
          </w:cols>
          <w:pgMar w:left="1276" w:top="347" w:right="799" w:bottom="1440" w:gutter="0" w:footer="0" w:header="0"/>
        </w:sectPr>
      </w:pPr>
    </w:p>
    <w:bookmarkStart w:id="25" w:name="page26"/>
    <w:bookmarkEnd w:id="25"/>
    <w:p>
      <w:pPr>
        <w:jc w:val="center"/>
        <w:ind w:right="956"/>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Loans Held for Sale</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4" w:right="960"/>
        <w:spacing w:after="0" w:line="277" w:lineRule="auto"/>
        <w:rPr>
          <w:sz w:val="20"/>
          <w:szCs w:val="20"/>
          <w:color w:val="auto"/>
        </w:rPr>
      </w:pPr>
      <w:r>
        <w:rPr>
          <w:rFonts w:ascii="Arial" w:cs="Arial" w:eastAsia="Arial" w:hAnsi="Arial"/>
          <w:sz w:val="19"/>
          <w:szCs w:val="19"/>
          <w:color w:val="auto"/>
        </w:rPr>
        <w:t>The following is a summary of the aggregate fair value and the aggregate unpaid principal balance of loans held for sale for the periods presented:</w:t>
      </w:r>
    </w:p>
    <w:p>
      <w:pPr>
        <w:spacing w:after="0" w:line="16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2060" w:type="dxa"/>
            <w:vAlign w:val="bottom"/>
            <w:gridSpan w:val="2"/>
          </w:tcPr>
          <w:p>
            <w:pPr>
              <w:jc w:val="right"/>
              <w:ind w:right="670"/>
              <w:spacing w:after="0"/>
              <w:rPr>
                <w:sz w:val="20"/>
                <w:szCs w:val="20"/>
                <w:color w:val="auto"/>
              </w:rPr>
            </w:pPr>
            <w:r>
              <w:rPr>
                <w:rFonts w:ascii="Arial" w:cs="Arial" w:eastAsia="Arial" w:hAnsi="Arial"/>
                <w:sz w:val="14"/>
                <w:szCs w:val="14"/>
                <w:color w:val="auto"/>
              </w:rPr>
              <w:t>As of June 30</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7"/>
        </w:trPr>
        <w:tc>
          <w:tcPr>
            <w:tcW w:w="2260" w:type="dxa"/>
            <w:vAlign w:val="bottom"/>
          </w:tcPr>
          <w:p>
            <w:pPr>
              <w:spacing w:after="0"/>
              <w:rPr>
                <w:sz w:val="15"/>
                <w:szCs w:val="15"/>
                <w:color w:val="auto"/>
              </w:rPr>
            </w:pPr>
          </w:p>
        </w:tc>
        <w:tc>
          <w:tcPr>
            <w:tcW w:w="1160" w:type="dxa"/>
            <w:vAlign w:val="bottom"/>
            <w:tcBorders>
              <w:bottom w:val="single" w:sz="8" w:color="auto"/>
            </w:tcBorders>
          </w:tcPr>
          <w:p>
            <w:pPr>
              <w:ind w:left="820"/>
              <w:spacing w:after="0"/>
              <w:rPr>
                <w:sz w:val="20"/>
                <w:szCs w:val="20"/>
                <w:color w:val="auto"/>
              </w:rPr>
            </w:pPr>
            <w:r>
              <w:rPr>
                <w:rFonts w:ascii="Arial" w:cs="Arial" w:eastAsia="Arial" w:hAnsi="Arial"/>
                <w:sz w:val="14"/>
                <w:szCs w:val="14"/>
                <w:color w:val="auto"/>
              </w:rPr>
              <w:t>2020</w:t>
            </w:r>
          </w:p>
        </w:tc>
        <w:tc>
          <w:tcPr>
            <w:tcW w:w="9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color w:val="auto"/>
                <w:w w:val="98"/>
              </w:rPr>
              <w:t>As of December 31 2019</w:t>
            </w:r>
          </w:p>
        </w:tc>
      </w:tr>
      <w:tr>
        <w:trPr>
          <w:trHeight w:val="165"/>
        </w:trPr>
        <w:tc>
          <w:tcPr>
            <w:tcW w:w="2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Aggregate fair value</w:t>
            </w:r>
          </w:p>
        </w:tc>
        <w:tc>
          <w:tcPr>
            <w:tcW w:w="1160" w:type="dxa"/>
            <w:vAlign w:val="bottom"/>
            <w:shd w:val="clear" w:color="auto" w:fill="CCEEFF"/>
          </w:tcPr>
          <w:p>
            <w:pPr>
              <w:ind w:left="82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2"/>
              </w:rPr>
              <w:t>356,949,958</w:t>
            </w:r>
          </w:p>
        </w:tc>
        <w:tc>
          <w:tcPr>
            <w:tcW w:w="9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213,457,632</w:t>
            </w:r>
          </w:p>
        </w:tc>
      </w:tr>
      <w:tr>
        <w:trPr>
          <w:trHeight w:val="172"/>
        </w:trPr>
        <w:tc>
          <w:tcPr>
            <w:tcW w:w="2260" w:type="dxa"/>
            <w:vAlign w:val="bottom"/>
          </w:tcPr>
          <w:p>
            <w:pPr>
              <w:spacing w:after="0"/>
              <w:rPr>
                <w:sz w:val="20"/>
                <w:szCs w:val="20"/>
                <w:color w:val="auto"/>
              </w:rPr>
            </w:pPr>
            <w:r>
              <w:rPr>
                <w:rFonts w:ascii="Arial" w:cs="Arial" w:eastAsia="Arial" w:hAnsi="Arial"/>
                <w:sz w:val="14"/>
                <w:szCs w:val="14"/>
                <w:color w:val="auto"/>
              </w:rPr>
              <w:t>Unpaid principal balance</w:t>
            </w:r>
          </w:p>
        </w:tc>
        <w:tc>
          <w:tcPr>
            <w:tcW w:w="1160" w:type="dxa"/>
            <w:vAlign w:val="bottom"/>
          </w:tcPr>
          <w:p>
            <w:pPr>
              <w:spacing w:after="0"/>
              <w:rPr>
                <w:sz w:val="14"/>
                <w:szCs w:val="14"/>
                <w:color w:val="auto"/>
              </w:rPr>
            </w:pPr>
          </w:p>
        </w:tc>
        <w:tc>
          <w:tcPr>
            <w:tcW w:w="900" w:type="dxa"/>
            <w:vAlign w:val="bottom"/>
          </w:tcPr>
          <w:p>
            <w:pPr>
              <w:jc w:val="right"/>
              <w:ind w:right="90"/>
              <w:spacing w:after="0"/>
              <w:rPr>
                <w:sz w:val="20"/>
                <w:szCs w:val="20"/>
                <w:color w:val="auto"/>
              </w:rPr>
            </w:pPr>
            <w:r>
              <w:rPr>
                <w:rFonts w:ascii="Arial" w:cs="Arial" w:eastAsia="Arial" w:hAnsi="Arial"/>
                <w:sz w:val="14"/>
                <w:szCs w:val="14"/>
                <w:color w:val="auto"/>
                <w:w w:val="92"/>
              </w:rPr>
              <w:t>344,480,058</w:t>
            </w:r>
          </w:p>
        </w:tc>
        <w:tc>
          <w:tcPr>
            <w:tcW w:w="9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206,417,122</w:t>
            </w:r>
          </w:p>
        </w:tc>
      </w:tr>
      <w:tr>
        <w:trPr>
          <w:trHeight w:val="172"/>
        </w:trPr>
        <w:tc>
          <w:tcPr>
            <w:tcW w:w="2260" w:type="dxa"/>
            <w:vAlign w:val="bottom"/>
            <w:shd w:val="clear" w:color="auto" w:fill="CCEEFF"/>
          </w:tcPr>
          <w:p>
            <w:pPr>
              <w:spacing w:after="0"/>
              <w:rPr>
                <w:sz w:val="20"/>
                <w:szCs w:val="20"/>
                <w:color w:val="auto"/>
              </w:rPr>
            </w:pPr>
            <w:r>
              <w:rPr>
                <w:rFonts w:ascii="Arial" w:cs="Arial" w:eastAsia="Arial" w:hAnsi="Arial"/>
                <w:sz w:val="14"/>
                <w:szCs w:val="14"/>
                <w:color w:val="auto"/>
              </w:rPr>
              <w:t>Unrealized gain</w:t>
            </w:r>
          </w:p>
        </w:tc>
        <w:tc>
          <w:tcPr>
            <w:tcW w:w="11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12,469,900</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7,040,510</w:t>
            </w:r>
          </w:p>
        </w:tc>
      </w:tr>
    </w:tbl>
    <w:p>
      <w:pPr>
        <w:spacing w:after="0" w:line="208"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Mortgage Fee Income</w:t>
      </w:r>
    </w:p>
    <w:p>
      <w:pPr>
        <w:spacing w:after="0" w:line="125" w:lineRule="exact"/>
        <w:rPr>
          <w:sz w:val="20"/>
          <w:szCs w:val="20"/>
          <w:color w:val="auto"/>
        </w:rPr>
      </w:pPr>
    </w:p>
    <w:p>
      <w:pPr>
        <w:jc w:val="both"/>
        <w:ind w:left="4" w:right="960"/>
        <w:spacing w:after="0" w:line="277" w:lineRule="auto"/>
        <w:rPr>
          <w:sz w:val="20"/>
          <w:szCs w:val="20"/>
          <w:color w:val="auto"/>
        </w:rPr>
      </w:pPr>
      <w:r>
        <w:rPr>
          <w:rFonts w:ascii="Arial" w:cs="Arial" w:eastAsia="Arial" w:hAnsi="Arial"/>
          <w:sz w:val="19"/>
          <w:szCs w:val="19"/>
          <w:color w:val="auto"/>
        </w:rPr>
        <w:t>Mortgage fee income consists of origination fees, processing fees, interest income and certain other income related to the origination and sale of mortgage loans held for sale.</w:t>
      </w:r>
    </w:p>
    <w:p>
      <w:pPr>
        <w:spacing w:after="0" w:line="169" w:lineRule="exact"/>
        <w:rPr>
          <w:sz w:val="20"/>
          <w:szCs w:val="20"/>
          <w:color w:val="auto"/>
        </w:rPr>
      </w:pPr>
    </w:p>
    <w:p>
      <w:pPr>
        <w:ind w:left="4"/>
        <w:spacing w:after="0"/>
        <w:rPr>
          <w:sz w:val="20"/>
          <w:szCs w:val="20"/>
          <w:color w:val="auto"/>
        </w:rPr>
      </w:pPr>
      <w:r>
        <w:rPr>
          <w:rFonts w:ascii="Arial" w:cs="Arial" w:eastAsia="Arial" w:hAnsi="Arial"/>
          <w:sz w:val="19"/>
          <w:szCs w:val="19"/>
          <w:color w:val="auto"/>
        </w:rPr>
        <w:t>Major categories of mortgage fee income for loans held for sale are as follows:</w:t>
      </w:r>
    </w:p>
    <w:p>
      <w:pPr>
        <w:spacing w:after="0" w:line="295" w:lineRule="exact"/>
        <w:rPr>
          <w:sz w:val="20"/>
          <w:szCs w:val="20"/>
          <w:color w:val="auto"/>
        </w:rPr>
      </w:pPr>
    </w:p>
    <w:tbl>
      <w:tblPr>
        <w:tblLayout w:type="fixed"/>
        <w:tblInd w:w="4" w:type="dxa"/>
        <w:tblCellMar>
          <w:top w:w="0" w:type="dxa"/>
          <w:left w:w="0" w:type="dxa"/>
          <w:bottom w:w="0" w:type="dxa"/>
          <w:right w:w="0" w:type="dxa"/>
        </w:tblCellMar>
      </w:tblPr>
      <w:tr>
        <w:trPr>
          <w:trHeight w:val="177"/>
        </w:trPr>
        <w:tc>
          <w:tcPr>
            <w:tcW w:w="33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Three Months Ended June 30</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color w:val="auto"/>
                <w:w w:val="97"/>
              </w:rPr>
              <w:t>Six Months Ended June 30</w:t>
            </w:r>
          </w:p>
        </w:tc>
        <w:tc>
          <w:tcPr>
            <w:tcW w:w="720" w:type="dxa"/>
            <w:vAlign w:val="bottom"/>
            <w:tcBorders>
              <w:bottom w:val="single" w:sz="8" w:color="auto"/>
            </w:tcBorders>
          </w:tcPr>
          <w:p>
            <w:pPr>
              <w:spacing w:after="0"/>
              <w:rPr>
                <w:sz w:val="15"/>
                <w:szCs w:val="15"/>
                <w:color w:val="auto"/>
              </w:rPr>
            </w:pPr>
          </w:p>
        </w:tc>
      </w:tr>
      <w:tr>
        <w:trPr>
          <w:trHeight w:val="173"/>
        </w:trPr>
        <w:tc>
          <w:tcPr>
            <w:tcW w:w="3340" w:type="dxa"/>
            <w:vAlign w:val="bottom"/>
          </w:tcPr>
          <w:p>
            <w:pPr>
              <w:spacing w:after="0"/>
              <w:rPr>
                <w:sz w:val="15"/>
                <w:szCs w:val="15"/>
                <w:color w:val="auto"/>
              </w:rPr>
            </w:pPr>
          </w:p>
        </w:tc>
        <w:tc>
          <w:tcPr>
            <w:tcW w:w="1440" w:type="dxa"/>
            <w:vAlign w:val="bottom"/>
            <w:gridSpan w:val="2"/>
          </w:tcPr>
          <w:p>
            <w:pPr>
              <w:jc w:val="right"/>
              <w:ind w:right="510"/>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5"/>
                <w:szCs w:val="15"/>
                <w:color w:val="auto"/>
              </w:rPr>
            </w:pPr>
          </w:p>
        </w:tc>
        <w:tc>
          <w:tcPr>
            <w:tcW w:w="1440" w:type="dxa"/>
            <w:vAlign w:val="bottom"/>
            <w:gridSpan w:val="2"/>
          </w:tcPr>
          <w:p>
            <w:pPr>
              <w:jc w:val="right"/>
              <w:ind w:right="510"/>
              <w:spacing w:after="0"/>
              <w:rPr>
                <w:sz w:val="20"/>
                <w:szCs w:val="20"/>
                <w:color w:val="auto"/>
              </w:rPr>
            </w:pPr>
            <w:r>
              <w:rPr>
                <w:rFonts w:ascii="Arial" w:cs="Arial" w:eastAsia="Arial" w:hAnsi="Arial"/>
                <w:sz w:val="14"/>
                <w:szCs w:val="14"/>
                <w:color w:val="auto"/>
              </w:rPr>
              <w:t>2019</w:t>
            </w:r>
          </w:p>
        </w:tc>
        <w:tc>
          <w:tcPr>
            <w:tcW w:w="240" w:type="dxa"/>
            <w:vAlign w:val="bottom"/>
          </w:tcPr>
          <w:p>
            <w:pPr>
              <w:spacing w:after="0"/>
              <w:rPr>
                <w:sz w:val="15"/>
                <w:szCs w:val="15"/>
                <w:color w:val="auto"/>
              </w:rPr>
            </w:pPr>
          </w:p>
        </w:tc>
        <w:tc>
          <w:tcPr>
            <w:tcW w:w="1440" w:type="dxa"/>
            <w:vAlign w:val="bottom"/>
            <w:gridSpan w:val="2"/>
          </w:tcPr>
          <w:p>
            <w:pPr>
              <w:jc w:val="right"/>
              <w:ind w:right="510"/>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15"/>
                <w:szCs w:val="15"/>
                <w:color w:val="auto"/>
              </w:rPr>
            </w:pPr>
          </w:p>
        </w:tc>
        <w:tc>
          <w:tcPr>
            <w:tcW w:w="1460" w:type="dxa"/>
            <w:vAlign w:val="bottom"/>
            <w:gridSpan w:val="2"/>
          </w:tcPr>
          <w:p>
            <w:pPr>
              <w:jc w:val="right"/>
              <w:ind w:right="510"/>
              <w:spacing w:after="0"/>
              <w:rPr>
                <w:sz w:val="20"/>
                <w:szCs w:val="20"/>
                <w:color w:val="auto"/>
              </w:rPr>
            </w:pPr>
            <w:r>
              <w:rPr>
                <w:rFonts w:ascii="Arial" w:cs="Arial" w:eastAsia="Arial" w:hAnsi="Arial"/>
                <w:sz w:val="14"/>
                <w:szCs w:val="14"/>
                <w:color w:val="auto"/>
              </w:rPr>
              <w:t>2019</w:t>
            </w:r>
          </w:p>
        </w:tc>
      </w:tr>
      <w:tr>
        <w:trPr>
          <w:trHeight w:val="32"/>
        </w:trPr>
        <w:tc>
          <w:tcPr>
            <w:tcW w:w="33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4"/>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Loan fees</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15,226,536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8,626,163</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22,940,750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13,437,482</w:t>
            </w:r>
          </w:p>
        </w:tc>
      </w:tr>
      <w:tr>
        <w:trPr>
          <w:trHeight w:val="224"/>
        </w:trPr>
        <w:tc>
          <w:tcPr>
            <w:tcW w:w="3340" w:type="dxa"/>
            <w:vAlign w:val="bottom"/>
          </w:tcPr>
          <w:p>
            <w:pPr>
              <w:spacing w:after="0"/>
              <w:rPr>
                <w:sz w:val="20"/>
                <w:szCs w:val="20"/>
                <w:color w:val="auto"/>
              </w:rPr>
            </w:pPr>
            <w:r>
              <w:rPr>
                <w:rFonts w:ascii="Arial" w:cs="Arial" w:eastAsia="Arial" w:hAnsi="Arial"/>
                <w:sz w:val="14"/>
                <w:szCs w:val="14"/>
                <w:color w:val="auto"/>
              </w:rPr>
              <w:t>Interest income</w:t>
            </w: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2,601,605</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1,690,098</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4,282,063</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2,904,730</w:t>
            </w:r>
          </w:p>
        </w:tc>
      </w:tr>
      <w:tr>
        <w:trPr>
          <w:trHeight w:val="224"/>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Secondary gains</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49,422,815</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21,201,216</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77,269,683</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38,585,201</w:t>
            </w:r>
          </w:p>
        </w:tc>
      </w:tr>
      <w:tr>
        <w:trPr>
          <w:trHeight w:val="224"/>
        </w:trPr>
        <w:tc>
          <w:tcPr>
            <w:tcW w:w="3340" w:type="dxa"/>
            <w:vAlign w:val="bottom"/>
          </w:tcPr>
          <w:p>
            <w:pPr>
              <w:spacing w:after="0"/>
              <w:rPr>
                <w:sz w:val="20"/>
                <w:szCs w:val="20"/>
                <w:color w:val="auto"/>
              </w:rPr>
            </w:pPr>
            <w:r>
              <w:rPr>
                <w:rFonts w:ascii="Arial" w:cs="Arial" w:eastAsia="Arial" w:hAnsi="Arial"/>
                <w:sz w:val="14"/>
                <w:szCs w:val="14"/>
                <w:color w:val="auto"/>
              </w:rPr>
              <w:t>Change in fair value of loan commitments</w:t>
            </w: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5,278,099</w:t>
            </w: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603,797</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8,553,132</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1,536,324</w:t>
            </w:r>
          </w:p>
        </w:tc>
      </w:tr>
      <w:tr>
        <w:trPr>
          <w:trHeight w:val="224"/>
        </w:trPr>
        <w:tc>
          <w:tcPr>
            <w:tcW w:w="3340" w:type="dxa"/>
            <w:vAlign w:val="bottom"/>
            <w:shd w:val="clear" w:color="auto" w:fill="CCEEFF"/>
          </w:tcPr>
          <w:p>
            <w:pPr>
              <w:spacing w:after="0"/>
              <w:rPr>
                <w:sz w:val="20"/>
                <w:szCs w:val="20"/>
                <w:color w:val="auto"/>
              </w:rPr>
            </w:pPr>
            <w:r>
              <w:rPr>
                <w:rFonts w:ascii="Arial" w:cs="Arial" w:eastAsia="Arial" w:hAnsi="Arial"/>
                <w:sz w:val="14"/>
                <w:szCs w:val="14"/>
                <w:color w:val="auto"/>
              </w:rPr>
              <w:t>Change in fair value of loans held for sale</w:t>
            </w: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2,363,713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977,799</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2,742,010</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1,216,586</w:t>
            </w:r>
          </w:p>
        </w:tc>
      </w:tr>
      <w:tr>
        <w:trPr>
          <w:trHeight w:val="224"/>
        </w:trPr>
        <w:tc>
          <w:tcPr>
            <w:tcW w:w="33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Provision for loan loss reserve</w:t>
            </w: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(1,524,435)</w:t>
            </w:r>
          </w:p>
        </w:tc>
        <w:tc>
          <w:tcPr>
            <w:tcW w:w="24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(152,506)</w:t>
            </w:r>
          </w:p>
        </w:tc>
        <w:tc>
          <w:tcPr>
            <w:tcW w:w="24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(2,137,544)</w:t>
            </w: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(254,885)</w:t>
            </w:r>
          </w:p>
        </w:tc>
      </w:tr>
      <w:tr>
        <w:trPr>
          <w:trHeight w:val="204"/>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Mortgage fee income</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73,368,333</w:t>
            </w:r>
          </w:p>
        </w:tc>
        <w:tc>
          <w:tcPr>
            <w:tcW w:w="2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32,946,567</w:t>
            </w:r>
          </w:p>
        </w:tc>
        <w:tc>
          <w:tcPr>
            <w:tcW w:w="2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113,650,094</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57,425,438</w:t>
            </w:r>
          </w:p>
        </w:tc>
      </w:tr>
      <w:tr>
        <w:trPr>
          <w:trHeight w:val="20"/>
        </w:trPr>
        <w:tc>
          <w:tcPr>
            <w:tcW w:w="33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Loan Loss Reserve</w:t>
      </w:r>
    </w:p>
    <w:p>
      <w:pPr>
        <w:spacing w:after="0" w:line="230" w:lineRule="exact"/>
        <w:rPr>
          <w:sz w:val="20"/>
          <w:szCs w:val="20"/>
          <w:color w:val="auto"/>
        </w:rPr>
      </w:pPr>
    </w:p>
    <w:p>
      <w:pPr>
        <w:jc w:val="both"/>
        <w:ind w:left="4" w:right="960"/>
        <w:spacing w:after="0" w:line="266" w:lineRule="auto"/>
        <w:rPr>
          <w:sz w:val="20"/>
          <w:szCs w:val="20"/>
          <w:color w:val="auto"/>
        </w:rPr>
      </w:pPr>
      <w:r>
        <w:rPr>
          <w:rFonts w:ascii="Arial" w:cs="Arial" w:eastAsia="Arial" w:hAnsi="Arial"/>
          <w:sz w:val="18"/>
          <w:szCs w:val="18"/>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 following is a summary of the loan loss reserve that is included in other liabilities and accrued expenses:</w:t>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060" w:type="dxa"/>
            <w:vAlign w:val="bottom"/>
            <w:gridSpan w:val="3"/>
          </w:tcPr>
          <w:p>
            <w:pPr>
              <w:ind w:left="520"/>
              <w:spacing w:after="0"/>
              <w:rPr>
                <w:sz w:val="20"/>
                <w:szCs w:val="20"/>
                <w:color w:val="auto"/>
              </w:rPr>
            </w:pPr>
            <w:r>
              <w:rPr>
                <w:rFonts w:ascii="Arial" w:cs="Arial" w:eastAsia="Arial" w:hAnsi="Arial"/>
                <w:sz w:val="14"/>
                <w:szCs w:val="14"/>
                <w:color w:val="auto"/>
              </w:rPr>
              <w:t>As of June 30</w:t>
            </w:r>
          </w:p>
        </w:tc>
        <w:tc>
          <w:tcPr>
            <w:tcW w:w="1800" w:type="dxa"/>
            <w:vAlign w:val="bottom"/>
            <w:gridSpan w:val="2"/>
          </w:tcPr>
          <w:p>
            <w:pPr>
              <w:jc w:val="right"/>
              <w:ind w:right="290"/>
              <w:spacing w:after="0"/>
              <w:rPr>
                <w:sz w:val="20"/>
                <w:szCs w:val="20"/>
                <w:color w:val="auto"/>
              </w:rPr>
            </w:pPr>
            <w:r>
              <w:rPr>
                <w:rFonts w:ascii="Arial" w:cs="Arial" w:eastAsia="Arial" w:hAnsi="Arial"/>
                <w:sz w:val="14"/>
                <w:szCs w:val="14"/>
                <w:color w:val="auto"/>
              </w:rPr>
              <w:t>As of December 31</w:t>
            </w:r>
          </w:p>
        </w:tc>
      </w:tr>
      <w:tr>
        <w:trPr>
          <w:trHeight w:val="177"/>
        </w:trPr>
        <w:tc>
          <w:tcPr>
            <w:tcW w:w="780" w:type="dxa"/>
            <w:vAlign w:val="bottom"/>
            <w:tcBorders>
              <w:bottom w:val="single" w:sz="8" w:color="CCEEFF"/>
            </w:tcBorders>
          </w:tcPr>
          <w:p>
            <w:pPr>
              <w:spacing w:after="0"/>
              <w:rPr>
                <w:sz w:val="15"/>
                <w:szCs w:val="15"/>
                <w:color w:val="auto"/>
              </w:rPr>
            </w:pPr>
          </w:p>
        </w:tc>
        <w:tc>
          <w:tcPr>
            <w:tcW w:w="27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w w:val="96"/>
              </w:rPr>
              <w:t>2019</w:t>
            </w:r>
          </w:p>
        </w:tc>
      </w:tr>
      <w:tr>
        <w:trPr>
          <w:trHeight w:val="165"/>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beginning of period</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4,046,288</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3,604,869</w:t>
            </w:r>
          </w:p>
        </w:tc>
      </w:tr>
      <w:tr>
        <w:trPr>
          <w:trHeight w:val="172"/>
        </w:trPr>
        <w:tc>
          <w:tcPr>
            <w:tcW w:w="3480" w:type="dxa"/>
            <w:vAlign w:val="bottom"/>
            <w:gridSpan w:val="2"/>
          </w:tcPr>
          <w:p>
            <w:pPr>
              <w:spacing w:after="0"/>
              <w:rPr>
                <w:sz w:val="20"/>
                <w:szCs w:val="20"/>
                <w:color w:val="auto"/>
              </w:rPr>
            </w:pPr>
            <w:r>
              <w:rPr>
                <w:rFonts w:ascii="Arial" w:cs="Arial" w:eastAsia="Arial" w:hAnsi="Arial"/>
                <w:sz w:val="14"/>
                <w:szCs w:val="14"/>
                <w:color w:val="auto"/>
              </w:rPr>
              <w:t>Provision on current loan originations (1)</w:t>
            </w:r>
          </w:p>
        </w:tc>
        <w:tc>
          <w:tcPr>
            <w:tcW w:w="7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1,524,435</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643,284</w:t>
            </w:r>
          </w:p>
        </w:tc>
      </w:tr>
      <w:tr>
        <w:trPr>
          <w:trHeight w:val="172"/>
        </w:trPr>
        <w:tc>
          <w:tcPr>
            <w:tcW w:w="3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Charge-offs, net of recaptured amounts</w:t>
            </w:r>
          </w:p>
        </w:tc>
        <w:tc>
          <w:tcPr>
            <w:tcW w:w="7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(784,357)</w:t>
            </w:r>
          </w:p>
        </w:tc>
        <w:tc>
          <w:tcPr>
            <w:tcW w:w="24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(201,865)</w:t>
            </w:r>
          </w:p>
        </w:tc>
      </w:tr>
      <w:tr>
        <w:trPr>
          <w:trHeight w:val="205"/>
        </w:trPr>
        <w:tc>
          <w:tcPr>
            <w:tcW w:w="34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Balance, end of period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4,786,366</w:t>
            </w:r>
          </w:p>
        </w:tc>
        <w:tc>
          <w:tcPr>
            <w:tcW w:w="2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4,046,288</w:t>
            </w:r>
          </w:p>
        </w:tc>
      </w:tr>
      <w:tr>
        <w:trPr>
          <w:trHeight w:val="138"/>
        </w:trPr>
        <w:tc>
          <w:tcPr>
            <w:tcW w:w="780" w:type="dxa"/>
            <w:vAlign w:val="bottom"/>
            <w:tcBorders>
              <w:bottom w:val="single" w:sz="8" w:color="auto"/>
            </w:tcBorders>
            <w:shd w:val="clear" w:color="auto" w:fill="CCEEFF"/>
          </w:tcPr>
          <w:p>
            <w:pPr>
              <w:spacing w:after="0"/>
              <w:rPr>
                <w:sz w:val="12"/>
                <w:szCs w:val="12"/>
                <w:color w:val="auto"/>
              </w:rPr>
            </w:pPr>
          </w:p>
        </w:tc>
        <w:tc>
          <w:tcPr>
            <w:tcW w:w="270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1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r>
    </w:tbl>
    <w:p>
      <w:pPr>
        <w:ind w:left="4"/>
        <w:spacing w:after="0"/>
        <w:rPr>
          <w:sz w:val="20"/>
          <w:szCs w:val="20"/>
          <w:color w:val="auto"/>
        </w:rPr>
      </w:pPr>
      <w:r>
        <w:rPr>
          <w:rFonts w:ascii="Arial" w:cs="Arial" w:eastAsia="Arial" w:hAnsi="Arial"/>
          <w:sz w:val="14"/>
          <w:szCs w:val="14"/>
          <w:color w:val="auto"/>
        </w:rPr>
        <w:t>(1) Included in mortgage fee income</w:t>
      </w:r>
    </w:p>
    <w:p>
      <w:pPr>
        <w:spacing w:after="0" w:line="232" w:lineRule="exact"/>
        <w:rPr>
          <w:sz w:val="20"/>
          <w:szCs w:val="20"/>
          <w:color w:val="auto"/>
        </w:rPr>
      </w:pPr>
    </w:p>
    <w:p>
      <w:pPr>
        <w:ind w:left="4344"/>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824"/>
          </w:cols>
          <w:pgMar w:left="1276" w:top="347" w:right="799" w:bottom="1440" w:gutter="0" w:footer="0" w:header="0"/>
        </w:sectPr>
      </w:pPr>
    </w:p>
    <w:bookmarkStart w:id="26" w:name="page27"/>
    <w:bookmarkEnd w:id="26"/>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Loans Held for Sale</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4" w:right="319"/>
        <w:spacing w:after="0" w:line="265" w:lineRule="auto"/>
        <w:rPr>
          <w:sz w:val="20"/>
          <w:szCs w:val="20"/>
          <w:color w:val="auto"/>
        </w:rPr>
      </w:pPr>
      <w:r>
        <w:rPr>
          <w:rFonts w:ascii="Arial" w:cs="Arial" w:eastAsia="Arial" w:hAnsi="Arial"/>
          <w:sz w:val="18"/>
          <w:szCs w:val="18"/>
          <w:color w:val="auto"/>
        </w:rPr>
        <w:t>The Company maintains reserves for estimated losses on current production volumes. For the six months ended June 30, 2020, $1,768,968 in reserves were added at a rate of 8.6 basis points per loan, the equivalent of $860 per $1,000,000 in loans originated. This is an increase over the six months ended June 30, 2019, when reserves were added at a rate of 2.5 basis points per loan originated, the equivalent of $250 per $1,000,000 in loans originated. The economic impact of COVID-19 and subsequent government action has increased the potential for losses due to early payoff penalties and potential for losses due to increased delinquency. The unique nature of these current events creates significant difficulty for forecasting potential future losses. Based on the Company’s best estimate for potential loan losses and considering published industry data, a loss reserve of 8 basis points per loan originated will continue in the third quarter 2020. The Company will continue to monitor data and economic conditions in order to maintain adequate loss reserves on current production.</w:t>
      </w:r>
    </w:p>
    <w:p>
      <w:pPr>
        <w:spacing w:after="0" w:line="184" w:lineRule="exact"/>
        <w:rPr>
          <w:sz w:val="20"/>
          <w:szCs w:val="20"/>
          <w:color w:val="auto"/>
        </w:rPr>
      </w:pPr>
    </w:p>
    <w:p>
      <w:pPr>
        <w:jc w:val="both"/>
        <w:ind w:left="4" w:right="319"/>
        <w:spacing w:after="0" w:line="271" w:lineRule="auto"/>
        <w:rPr>
          <w:sz w:val="20"/>
          <w:szCs w:val="20"/>
          <w:color w:val="auto"/>
        </w:rPr>
      </w:pPr>
      <w:r>
        <w:rPr>
          <w:rFonts w:ascii="Arial" w:cs="Arial" w:eastAsia="Arial" w:hAnsi="Arial"/>
          <w:sz w:val="18"/>
          <w:szCs w:val="18"/>
          <w:color w:val="auto"/>
        </w:rPr>
        <w:t>As of June 30, 2020, the loan loss reserve includes approximately $3,000,000 for remaining losses still to be settled on loans originated between 2004 and 2007. On July 30, 2020, a settlement agreement with an investor was executed which covered all remaining anticipated claims against this population of loans. Loss reserves are sufficient to cover the settlement expense, and the reserves will be reduced by that amount during the third quarter 2020. No additional loss reserves are being held for loans originated between 2004 and 2007.</w:t>
      </w:r>
    </w:p>
    <w:p>
      <w:pPr>
        <w:spacing w:after="0" w:line="178" w:lineRule="exact"/>
        <w:rPr>
          <w:sz w:val="20"/>
          <w:szCs w:val="20"/>
          <w:color w:val="auto"/>
        </w:rPr>
      </w:pPr>
    </w:p>
    <w:p>
      <w:pPr>
        <w:jc w:val="both"/>
        <w:ind w:left="4" w:right="319"/>
        <w:spacing w:after="0" w:line="277" w:lineRule="auto"/>
        <w:rPr>
          <w:sz w:val="20"/>
          <w:szCs w:val="20"/>
          <w:color w:val="auto"/>
        </w:rPr>
      </w:pPr>
      <w:r>
        <w:rPr>
          <w:rFonts w:ascii="Arial" w:cs="Arial" w:eastAsia="Arial" w:hAnsi="Arial"/>
          <w:sz w:val="19"/>
          <w:szCs w:val="19"/>
          <w:color w:val="auto"/>
        </w:rPr>
        <w:t>Thus, the Company believes that the final loan loss reserve as of June 30, 2020, represents its best estimate for adequate loss reserves on loans sold.</w:t>
      </w:r>
    </w:p>
    <w:p>
      <w:pPr>
        <w:spacing w:after="0" w:line="182"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1440" w:gutter="0" w:footer="0" w:header="0"/>
        </w:sectPr>
      </w:pPr>
    </w:p>
    <w:bookmarkStart w:id="27" w:name="page28"/>
    <w:bookmarkEnd w:id="27"/>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211" w:lineRule="exact"/>
        <w:rPr>
          <w:sz w:val="20"/>
          <w:szCs w:val="20"/>
          <w:color w:val="auto"/>
        </w:rPr>
      </w:pPr>
    </w:p>
    <w:p>
      <w:pPr>
        <w:ind w:left="484" w:hanging="484"/>
        <w:spacing w:after="0"/>
        <w:tabs>
          <w:tab w:leader="none" w:pos="484"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Stock Compensation Plans</w:t>
      </w:r>
    </w:p>
    <w:p>
      <w:pPr>
        <w:spacing w:after="0" w:line="230" w:lineRule="exact"/>
        <w:rPr>
          <w:sz w:val="20"/>
          <w:szCs w:val="20"/>
          <w:color w:val="auto"/>
        </w:rPr>
      </w:pPr>
    </w:p>
    <w:p>
      <w:pPr>
        <w:jc w:val="both"/>
        <w:ind w:left="4" w:right="319"/>
        <w:spacing w:after="0" w:line="252" w:lineRule="auto"/>
        <w:rPr>
          <w:sz w:val="20"/>
          <w:szCs w:val="20"/>
          <w:color w:val="auto"/>
        </w:rPr>
      </w:pPr>
      <w:r>
        <w:rPr>
          <w:rFonts w:ascii="Arial" w:cs="Arial" w:eastAsia="Arial" w:hAnsi="Arial"/>
          <w:sz w:val="19"/>
          <w:szCs w:val="19"/>
          <w:color w:val="auto"/>
        </w:rPr>
        <w:t>The Company has two fixed option plans (the “2013 Plan” and the “2014 Director Plan”). Compensation expense for options issued of $101,520 and $65,037 has been recognized for these plans for the three months ended June 30, 2020 and 2019, respectively, and $167,397 and $129,741 has been recognized for these plans for the six months ended June 30, 2020 and 2019, respectively. As of June 30, 2020, the total unrecognized compensation expense related to the options issued was $227,269, which is expected to be recognized over the vesting period of one year.</w:t>
      </w:r>
    </w:p>
    <w:p>
      <w:pPr>
        <w:spacing w:after="0" w:line="195" w:lineRule="exact"/>
        <w:rPr>
          <w:sz w:val="20"/>
          <w:szCs w:val="20"/>
          <w:color w:val="auto"/>
        </w:rPr>
      </w:pPr>
    </w:p>
    <w:p>
      <w:pPr>
        <w:jc w:val="both"/>
        <w:ind w:left="4" w:right="319"/>
        <w:spacing w:after="0" w:line="271"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78" w:lineRule="exact"/>
        <w:rPr>
          <w:sz w:val="20"/>
          <w:szCs w:val="20"/>
          <w:color w:val="auto"/>
        </w:rPr>
      </w:pPr>
    </w:p>
    <w:p>
      <w:pPr>
        <w:jc w:val="both"/>
        <w:ind w:left="4" w:right="319"/>
        <w:spacing w:after="0" w:line="277" w:lineRule="auto"/>
        <w:rPr>
          <w:sz w:val="20"/>
          <w:szCs w:val="20"/>
          <w:color w:val="auto"/>
        </w:rPr>
      </w:pPr>
      <w:r>
        <w:rPr>
          <w:rFonts w:ascii="Arial" w:cs="Arial" w:eastAsia="Arial" w:hAnsi="Arial"/>
          <w:sz w:val="19"/>
          <w:szCs w:val="19"/>
          <w:color w:val="auto"/>
        </w:rPr>
        <w:t>A summary of the status of the Company’s stock compensation plans as of June 30, 2020, and the changes during the six months ended June 30, 2020, are presented below:</w:t>
      </w:r>
    </w:p>
    <w:p>
      <w:pPr>
        <w:spacing w:after="0" w:line="16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0"/>
              <w:spacing w:after="0"/>
              <w:rPr>
                <w:sz w:val="20"/>
                <w:szCs w:val="20"/>
                <w:color w:val="auto"/>
              </w:rPr>
            </w:pPr>
            <w:r>
              <w:rPr>
                <w:rFonts w:ascii="Arial" w:cs="Arial" w:eastAsia="Arial" w:hAnsi="Arial"/>
                <w:sz w:val="14"/>
                <w:szCs w:val="14"/>
                <w:color w:val="auto"/>
                <w:w w:val="91"/>
              </w:rPr>
              <w:t>Weighted</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87"/>
              </w:rPr>
              <w:t>Weighted</w:t>
            </w:r>
          </w:p>
        </w:tc>
      </w:tr>
      <w:tr>
        <w:trPr>
          <w:trHeight w:val="145"/>
        </w:trPr>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
              <w:spacing w:after="0" w:line="145" w:lineRule="exact"/>
              <w:rPr>
                <w:sz w:val="20"/>
                <w:szCs w:val="20"/>
                <w:color w:val="auto"/>
              </w:rPr>
            </w:pPr>
            <w:r>
              <w:rPr>
                <w:rFonts w:ascii="Arial" w:cs="Arial" w:eastAsia="Arial" w:hAnsi="Arial"/>
                <w:sz w:val="14"/>
                <w:szCs w:val="14"/>
                <w:color w:val="auto"/>
                <w:w w:val="88"/>
              </w:rPr>
              <w:t>Average</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Average</w:t>
            </w:r>
          </w:p>
        </w:tc>
      </w:tr>
      <w:tr>
        <w:trPr>
          <w:trHeight w:val="145"/>
        </w:trPr>
        <w:tc>
          <w:tcPr>
            <w:tcW w:w="11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40" w:type="dxa"/>
            <w:vAlign w:val="bottom"/>
          </w:tcPr>
          <w:p>
            <w:pPr>
              <w:jc w:val="right"/>
              <w:ind w:right="150"/>
              <w:spacing w:after="0" w:line="145"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880" w:type="dxa"/>
            <w:vAlign w:val="bottom"/>
            <w:gridSpan w:val="2"/>
          </w:tcPr>
          <w:p>
            <w:pPr>
              <w:jc w:val="center"/>
              <w:ind w:right="50"/>
              <w:spacing w:after="0" w:line="145" w:lineRule="exact"/>
              <w:rPr>
                <w:sz w:val="20"/>
                <w:szCs w:val="20"/>
                <w:color w:val="auto"/>
              </w:rPr>
            </w:pPr>
            <w:r>
              <w:rPr>
                <w:rFonts w:ascii="Arial" w:cs="Arial" w:eastAsia="Arial" w:hAnsi="Arial"/>
                <w:sz w:val="14"/>
                <w:szCs w:val="14"/>
                <w:color w:val="auto"/>
                <w:w w:val="89"/>
              </w:rPr>
              <w:t>Exercise</w:t>
            </w:r>
          </w:p>
        </w:tc>
        <w:tc>
          <w:tcPr>
            <w:tcW w:w="1020" w:type="dxa"/>
            <w:vAlign w:val="bottom"/>
          </w:tcPr>
          <w:p>
            <w:pPr>
              <w:jc w:val="right"/>
              <w:ind w:right="130"/>
              <w:spacing w:after="0" w:line="145" w:lineRule="exact"/>
              <w:rPr>
                <w:sz w:val="20"/>
                <w:szCs w:val="20"/>
                <w:color w:val="auto"/>
              </w:rPr>
            </w:pPr>
            <w:r>
              <w:rPr>
                <w:rFonts w:ascii="Arial" w:cs="Arial" w:eastAsia="Arial" w:hAnsi="Arial"/>
                <w:sz w:val="14"/>
                <w:szCs w:val="14"/>
                <w:color w:val="auto"/>
              </w:rPr>
              <w:t>Number of</w:t>
            </w:r>
          </w:p>
        </w:tc>
        <w:tc>
          <w:tcPr>
            <w:tcW w:w="180" w:type="dxa"/>
            <w:vAlign w:val="bottom"/>
          </w:tcPr>
          <w:p>
            <w:pPr>
              <w:spacing w:after="0"/>
              <w:rPr>
                <w:sz w:val="12"/>
                <w:szCs w:val="12"/>
                <w:color w:val="auto"/>
              </w:rPr>
            </w:pPr>
          </w:p>
        </w:tc>
        <w:tc>
          <w:tcPr>
            <w:tcW w:w="76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9"/>
              </w:rPr>
              <w:t>Exercise</w:t>
            </w:r>
          </w:p>
        </w:tc>
      </w:tr>
      <w:tr>
        <w:trPr>
          <w:trHeight w:val="177"/>
        </w:trPr>
        <w:tc>
          <w:tcPr>
            <w:tcW w:w="1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5"/>
              </w:rPr>
              <w:t>Class A Shares</w:t>
            </w:r>
          </w:p>
        </w:tc>
        <w:tc>
          <w:tcPr>
            <w:tcW w:w="80" w:type="dxa"/>
            <w:vAlign w:val="bottom"/>
          </w:tcPr>
          <w:p>
            <w:pPr>
              <w:spacing w:after="0"/>
              <w:rPr>
                <w:sz w:val="15"/>
                <w:szCs w:val="15"/>
                <w:color w:val="auto"/>
              </w:rPr>
            </w:pPr>
          </w:p>
        </w:tc>
        <w:tc>
          <w:tcPr>
            <w:tcW w:w="8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Price</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4"/>
              </w:rPr>
              <w:t>Class C Shares</w:t>
            </w:r>
          </w:p>
        </w:tc>
        <w:tc>
          <w:tcPr>
            <w:tcW w:w="180" w:type="dxa"/>
            <w:vAlign w:val="bottom"/>
          </w:tcPr>
          <w:p>
            <w:pPr>
              <w:spacing w:after="0"/>
              <w:rPr>
                <w:sz w:val="15"/>
                <w:szCs w:val="15"/>
                <w:color w:val="auto"/>
              </w:rPr>
            </w:pPr>
          </w:p>
        </w:tc>
        <w:tc>
          <w:tcPr>
            <w:tcW w:w="7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Price</w:t>
            </w:r>
          </w:p>
        </w:tc>
      </w:tr>
      <w:tr>
        <w:trPr>
          <w:trHeight w:val="165"/>
        </w:trPr>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64"/>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Outstanding at January 1, 2020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1,086,053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4.41</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594,132</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r>
      <w:tr>
        <w:trPr>
          <w:trHeight w:val="264"/>
        </w:trPr>
        <w:tc>
          <w:tcPr>
            <w:tcW w:w="3560" w:type="dxa"/>
            <w:vAlign w:val="bottom"/>
            <w:gridSpan w:val="2"/>
          </w:tcPr>
          <w:p>
            <w:pPr>
              <w:spacing w:after="0"/>
              <w:rPr>
                <w:sz w:val="20"/>
                <w:szCs w:val="20"/>
                <w:color w:val="auto"/>
              </w:rPr>
            </w:pPr>
            <w:r>
              <w:rPr>
                <w:rFonts w:ascii="Arial" w:cs="Arial" w:eastAsia="Arial" w:hAnsi="Arial"/>
                <w:sz w:val="14"/>
                <w:szCs w:val="14"/>
                <w:color w:val="auto"/>
              </w:rPr>
              <w:t>Adjustment for effect of stock dividends</w:t>
            </w:r>
          </w:p>
        </w:tc>
        <w:tc>
          <w:tcPr>
            <w:tcW w:w="1040" w:type="dxa"/>
            <w:vAlign w:val="bottom"/>
          </w:tcPr>
          <w:p>
            <w:pPr>
              <w:jc w:val="right"/>
              <w:spacing w:after="0"/>
              <w:rPr>
                <w:sz w:val="20"/>
                <w:szCs w:val="20"/>
                <w:color w:val="auto"/>
              </w:rPr>
            </w:pPr>
            <w:r>
              <w:rPr>
                <w:rFonts w:ascii="Arial" w:cs="Arial" w:eastAsia="Arial" w:hAnsi="Arial"/>
                <w:sz w:val="14"/>
                <w:szCs w:val="14"/>
                <w:color w:val="auto"/>
              </w:rPr>
              <w:t>29,099</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22,544</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64"/>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Granted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77,000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180,000</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64"/>
        </w:trPr>
        <w:tc>
          <w:tcPr>
            <w:tcW w:w="3560" w:type="dxa"/>
            <w:vAlign w:val="bottom"/>
            <w:gridSpan w:val="2"/>
          </w:tcPr>
          <w:p>
            <w:pPr>
              <w:spacing w:after="0"/>
              <w:rPr>
                <w:sz w:val="20"/>
                <w:szCs w:val="20"/>
                <w:color w:val="auto"/>
              </w:rPr>
            </w:pPr>
            <w:r>
              <w:rPr>
                <w:rFonts w:ascii="Arial" w:cs="Arial" w:eastAsia="Arial" w:hAnsi="Arial"/>
                <w:sz w:val="14"/>
                <w:szCs w:val="14"/>
                <w:color w:val="auto"/>
              </w:rPr>
              <w:t>Exercised</w:t>
            </w:r>
          </w:p>
        </w:tc>
        <w:tc>
          <w:tcPr>
            <w:tcW w:w="1040" w:type="dxa"/>
            <w:vAlign w:val="bottom"/>
          </w:tcPr>
          <w:p>
            <w:pPr>
              <w:jc w:val="right"/>
              <w:spacing w:after="0"/>
              <w:rPr>
                <w:sz w:val="20"/>
                <w:szCs w:val="20"/>
                <w:color w:val="auto"/>
              </w:rPr>
            </w:pPr>
            <w:r>
              <w:rPr>
                <w:rFonts w:ascii="Arial" w:cs="Arial" w:eastAsia="Arial" w:hAnsi="Arial"/>
                <w:sz w:val="14"/>
                <w:szCs w:val="14"/>
                <w:color w:val="auto"/>
              </w:rPr>
              <w:t>(78,803)</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64"/>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Cancelled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84"/>
        </w:trPr>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Outstanding at June 30, 2020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1,113,349</w:t>
            </w:r>
          </w:p>
        </w:tc>
        <w:tc>
          <w:tcPr>
            <w:tcW w:w="48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tcPr>
          <w:p>
            <w:pPr>
              <w:jc w:val="right"/>
              <w:ind w:right="50"/>
              <w:spacing w:after="0"/>
              <w:rPr>
                <w:sz w:val="20"/>
                <w:szCs w:val="20"/>
                <w:color w:val="auto"/>
              </w:rPr>
            </w:pPr>
            <w:r>
              <w:rPr>
                <w:rFonts w:ascii="Arial" w:cs="Arial" w:eastAsia="Arial" w:hAnsi="Arial"/>
                <w:sz w:val="14"/>
                <w:szCs w:val="14"/>
                <w:color w:val="auto"/>
              </w:rPr>
              <w:t>4.27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796,676</w:t>
            </w:r>
          </w:p>
        </w:tc>
        <w:tc>
          <w:tcPr>
            <w:tcW w:w="580" w:type="dxa"/>
            <w:vAlign w:val="bottom"/>
            <w:tcBorders>
              <w:bottom w:val="single" w:sz="8" w:color="CCEEFF"/>
            </w:tcBorders>
            <w:gridSpan w:val="2"/>
          </w:tcPr>
          <w:p>
            <w:pPr>
              <w:ind w:left="4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4.87</w:t>
            </w:r>
          </w:p>
        </w:tc>
      </w:tr>
      <w:tr>
        <w:trPr>
          <w:trHeight w:val="151"/>
        </w:trPr>
        <w:tc>
          <w:tcPr>
            <w:tcW w:w="11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264"/>
        </w:trPr>
        <w:tc>
          <w:tcPr>
            <w:tcW w:w="3560" w:type="dxa"/>
            <w:vAlign w:val="bottom"/>
            <w:gridSpan w:val="2"/>
          </w:tcPr>
          <w:p>
            <w:pPr>
              <w:spacing w:after="0"/>
              <w:rPr>
                <w:sz w:val="20"/>
                <w:szCs w:val="20"/>
                <w:color w:val="auto"/>
              </w:rPr>
            </w:pPr>
            <w:r>
              <w:rPr>
                <w:rFonts w:ascii="Arial" w:cs="Arial" w:eastAsia="Arial" w:hAnsi="Arial"/>
                <w:sz w:val="14"/>
                <w:szCs w:val="14"/>
                <w:color w:val="auto"/>
              </w:rPr>
              <w:t>As of June 30, 2020:</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6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Options exercisable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1,013,955</w:t>
            </w:r>
          </w:p>
        </w:tc>
        <w:tc>
          <w:tcPr>
            <w:tcW w:w="4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4.27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561,440</w:t>
            </w:r>
          </w:p>
        </w:tc>
        <w:tc>
          <w:tcPr>
            <w:tcW w:w="5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w:t>
            </w:r>
          </w:p>
        </w:tc>
      </w:tr>
      <w:tr>
        <w:trPr>
          <w:trHeight w:val="20"/>
        </w:trPr>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1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64"/>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 of June 30, 2020:</w:t>
            </w: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304"/>
        </w:trPr>
        <w:tc>
          <w:tcPr>
            <w:tcW w:w="35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Available options for future grant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325,372</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266,500</w:t>
            </w: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r>
      <w:tr>
        <w:trPr>
          <w:trHeight w:val="151"/>
        </w:trPr>
        <w:tc>
          <w:tcPr>
            <w:tcW w:w="114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r>
        <w:trPr>
          <w:trHeight w:val="264"/>
        </w:trPr>
        <w:tc>
          <w:tcPr>
            <w:tcW w:w="3560" w:type="dxa"/>
            <w:vAlign w:val="bottom"/>
            <w:gridSpan w:val="2"/>
          </w:tcPr>
          <w:p>
            <w:pPr>
              <w:spacing w:after="0"/>
              <w:rPr>
                <w:sz w:val="20"/>
                <w:szCs w:val="20"/>
                <w:color w:val="auto"/>
              </w:rPr>
            </w:pPr>
            <w:r>
              <w:rPr>
                <w:rFonts w:ascii="Arial" w:cs="Arial" w:eastAsia="Arial" w:hAnsi="Arial"/>
                <w:sz w:val="14"/>
                <w:szCs w:val="14"/>
                <w:color w:val="auto"/>
              </w:rPr>
              <w:t>Weighted average contractual term of options</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64"/>
        </w:trPr>
        <w:tc>
          <w:tcPr>
            <w:tcW w:w="3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outstanding at June 30, 2020</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 years</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 years</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172"/>
        </w:trPr>
        <w:tc>
          <w:tcPr>
            <w:tcW w:w="11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64"/>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contractual term of options</w:t>
            </w: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64"/>
        </w:trPr>
        <w:tc>
          <w:tcPr>
            <w:tcW w:w="3560" w:type="dxa"/>
            <w:vAlign w:val="bottom"/>
            <w:gridSpan w:val="2"/>
          </w:tcPr>
          <w:p>
            <w:pPr>
              <w:ind w:left="160"/>
              <w:spacing w:after="0"/>
              <w:rPr>
                <w:sz w:val="20"/>
                <w:szCs w:val="20"/>
                <w:color w:val="auto"/>
              </w:rPr>
            </w:pPr>
            <w:r>
              <w:rPr>
                <w:rFonts w:ascii="Arial" w:cs="Arial" w:eastAsia="Arial" w:hAnsi="Arial"/>
                <w:sz w:val="14"/>
                <w:szCs w:val="14"/>
                <w:color w:val="auto"/>
              </w:rPr>
              <w:t>exercisable at June 30, 2020</w:t>
            </w:r>
          </w:p>
        </w:tc>
        <w:tc>
          <w:tcPr>
            <w:tcW w:w="1040" w:type="dxa"/>
            <w:vAlign w:val="bottom"/>
          </w:tcPr>
          <w:p>
            <w:pPr>
              <w:jc w:val="right"/>
              <w:spacing w:after="0"/>
              <w:rPr>
                <w:sz w:val="20"/>
                <w:szCs w:val="20"/>
                <w:color w:val="auto"/>
              </w:rPr>
            </w:pPr>
            <w:r>
              <w:rPr>
                <w:rFonts w:ascii="Arial" w:cs="Arial" w:eastAsia="Arial" w:hAnsi="Arial"/>
                <w:sz w:val="14"/>
                <w:szCs w:val="14"/>
                <w:color w:val="auto"/>
              </w:rPr>
              <w:t>5.61 years</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5.32 years</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172"/>
        </w:trPr>
        <w:tc>
          <w:tcPr>
            <w:tcW w:w="114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r>
      <w:tr>
        <w:trPr>
          <w:trHeight w:val="264"/>
        </w:trPr>
        <w:tc>
          <w:tcPr>
            <w:tcW w:w="3560" w:type="dxa"/>
            <w:vAlign w:val="bottom"/>
            <w:gridSpan w:val="2"/>
          </w:tcPr>
          <w:p>
            <w:pPr>
              <w:spacing w:after="0"/>
              <w:rPr>
                <w:sz w:val="20"/>
                <w:szCs w:val="20"/>
                <w:color w:val="auto"/>
              </w:rPr>
            </w:pPr>
            <w:r>
              <w:rPr>
                <w:rFonts w:ascii="Arial" w:cs="Arial" w:eastAsia="Arial" w:hAnsi="Arial"/>
                <w:sz w:val="14"/>
                <w:szCs w:val="14"/>
                <w:color w:val="auto"/>
              </w:rPr>
              <w:t>Aggregated intrinsic value of options</w:t>
            </w: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64"/>
        </w:trPr>
        <w:tc>
          <w:tcPr>
            <w:tcW w:w="35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outstanding at June 30, 2020 (1)</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$2,568,502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$1,360,855</w:t>
            </w:r>
          </w:p>
        </w:tc>
        <w:tc>
          <w:tcPr>
            <w:tcW w:w="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r>
      <w:tr>
        <w:trPr>
          <w:trHeight w:val="20"/>
        </w:trPr>
        <w:tc>
          <w:tcPr>
            <w:tcW w:w="11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1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64"/>
        </w:trPr>
        <w:tc>
          <w:tcPr>
            <w:tcW w:w="3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Aggregated intrinsic value of options</w:t>
            </w: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78"/>
        </w:trPr>
        <w:tc>
          <w:tcPr>
            <w:tcW w:w="3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exercisable at June 30, 2020 (1)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$2,338,090</w:t>
            </w: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$823,712</w:t>
            </w: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r>
      <w:tr>
        <w:trPr>
          <w:trHeight w:val="178"/>
        </w:trPr>
        <w:tc>
          <w:tcPr>
            <w:tcW w:w="1140" w:type="dxa"/>
            <w:vAlign w:val="bottom"/>
            <w:tcBorders>
              <w:bottom w:val="single" w:sz="8" w:color="auto"/>
            </w:tcBorders>
            <w:shd w:val="clear" w:color="auto" w:fill="CCEEFF"/>
          </w:tcPr>
          <w:p>
            <w:pPr>
              <w:spacing w:after="0"/>
              <w:rPr>
                <w:sz w:val="15"/>
                <w:szCs w:val="15"/>
                <w:color w:val="auto"/>
              </w:rPr>
            </w:pPr>
          </w:p>
        </w:tc>
        <w:tc>
          <w:tcPr>
            <w:tcW w:w="24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4779010" cy="167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79010" cy="167640"/>
                    </a:xfrm>
                    <a:prstGeom prst="rect">
                      <a:avLst/>
                    </a:prstGeom>
                    <a:noFill/>
                  </pic:spPr>
                </pic:pic>
              </a:graphicData>
            </a:graphic>
          </wp:anchor>
        </w:drawing>
      </w:r>
    </w:p>
    <w:p>
      <w:pPr>
        <w:spacing w:after="0" w:line="239" w:lineRule="exact"/>
        <w:rPr>
          <w:sz w:val="20"/>
          <w:szCs w:val="20"/>
          <w:color w:val="auto"/>
        </w:rPr>
      </w:pPr>
    </w:p>
    <w:p>
      <w:pPr>
        <w:ind w:left="4"/>
        <w:spacing w:after="0"/>
        <w:rPr>
          <w:sz w:val="20"/>
          <w:szCs w:val="20"/>
          <w:color w:val="auto"/>
        </w:rPr>
      </w:pPr>
      <w:r>
        <w:rPr>
          <w:rFonts w:ascii="Arial" w:cs="Arial" w:eastAsia="Arial" w:hAnsi="Arial"/>
          <w:sz w:val="14"/>
          <w:szCs w:val="14"/>
          <w:color w:val="auto"/>
        </w:rPr>
        <w:t>(1) The Company used a stock price of $6.58 as of June 30, 2020 to derive intrinsic value.</w:t>
      </w:r>
    </w:p>
    <w:p>
      <w:pPr>
        <w:spacing w:after="0" w:line="237"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1440" w:gutter="0" w:footer="0" w:header="0"/>
        </w:sectPr>
      </w:pPr>
    </w:p>
    <w:bookmarkStart w:id="28" w:name="page29"/>
    <w:bookmarkEnd w:id="28"/>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6" w:lineRule="exact"/>
        <w:rPr>
          <w:sz w:val="20"/>
          <w:szCs w:val="20"/>
          <w:color w:val="auto"/>
        </w:rPr>
      </w:pPr>
    </w:p>
    <w:p>
      <w:pPr>
        <w:ind w:left="484" w:hanging="484"/>
        <w:spacing w:after="0"/>
        <w:tabs>
          <w:tab w:leader="none" w:pos="484"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Stock Compensation Plans</w:t>
      </w:r>
      <w:r>
        <w:rPr>
          <w:rFonts w:ascii="Arial" w:cs="Arial" w:eastAsia="Arial" w:hAnsi="Arial"/>
          <w:sz w:val="19"/>
          <w:szCs w:val="19"/>
          <w:color w:val="auto"/>
        </w:rPr>
        <w:t xml:space="preserve"> (Continued)</w:t>
      </w:r>
    </w:p>
    <w:p>
      <w:pPr>
        <w:spacing w:after="0" w:line="257" w:lineRule="exact"/>
        <w:rPr>
          <w:sz w:val="20"/>
          <w:szCs w:val="20"/>
          <w:color w:val="auto"/>
        </w:rPr>
      </w:pPr>
    </w:p>
    <w:p>
      <w:pPr>
        <w:ind w:left="4" w:right="319"/>
        <w:spacing w:after="0" w:line="277" w:lineRule="auto"/>
        <w:rPr>
          <w:sz w:val="20"/>
          <w:szCs w:val="20"/>
          <w:color w:val="auto"/>
        </w:rPr>
      </w:pPr>
      <w:r>
        <w:rPr>
          <w:rFonts w:ascii="Arial" w:cs="Arial" w:eastAsia="Arial" w:hAnsi="Arial"/>
          <w:sz w:val="19"/>
          <w:szCs w:val="19"/>
          <w:color w:val="auto"/>
        </w:rPr>
        <w:t>A summary of the status of the Company’s stock compensation plans as of June 30, 2019, and the changes during the three months ended June 30, 2019, are presented below:</w:t>
      </w:r>
    </w:p>
    <w:p>
      <w:pPr>
        <w:spacing w:after="0" w:line="20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30"/>
              <w:spacing w:after="0"/>
              <w:rPr>
                <w:sz w:val="20"/>
                <w:szCs w:val="20"/>
                <w:color w:val="auto"/>
              </w:rPr>
            </w:pPr>
            <w:r>
              <w:rPr>
                <w:rFonts w:ascii="Arial" w:cs="Arial" w:eastAsia="Arial" w:hAnsi="Arial"/>
                <w:sz w:val="14"/>
                <w:szCs w:val="14"/>
                <w:color w:val="auto"/>
                <w:w w:val="91"/>
              </w:rPr>
              <w:t>Weighted</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color w:val="auto"/>
                <w:w w:val="87"/>
              </w:rPr>
              <w:t>Weighted</w:t>
            </w:r>
          </w:p>
        </w:tc>
      </w:tr>
      <w:tr>
        <w:trPr>
          <w:trHeight w:val="145"/>
        </w:trPr>
        <w:tc>
          <w:tcPr>
            <w:tcW w:w="35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0"/>
              <w:spacing w:after="0" w:line="145" w:lineRule="exact"/>
              <w:rPr>
                <w:sz w:val="20"/>
                <w:szCs w:val="20"/>
                <w:color w:val="auto"/>
              </w:rPr>
            </w:pPr>
            <w:r>
              <w:rPr>
                <w:rFonts w:ascii="Arial" w:cs="Arial" w:eastAsia="Arial" w:hAnsi="Arial"/>
                <w:sz w:val="14"/>
                <w:szCs w:val="14"/>
                <w:color w:val="auto"/>
                <w:w w:val="88"/>
              </w:rPr>
              <w:t>Average</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Average</w:t>
            </w:r>
          </w:p>
        </w:tc>
      </w:tr>
      <w:tr>
        <w:trPr>
          <w:trHeight w:val="145"/>
        </w:trPr>
        <w:tc>
          <w:tcPr>
            <w:tcW w:w="3560" w:type="dxa"/>
            <w:vAlign w:val="bottom"/>
          </w:tcPr>
          <w:p>
            <w:pPr>
              <w:spacing w:after="0"/>
              <w:rPr>
                <w:sz w:val="12"/>
                <w:szCs w:val="12"/>
                <w:color w:val="auto"/>
              </w:rPr>
            </w:pPr>
          </w:p>
        </w:tc>
        <w:tc>
          <w:tcPr>
            <w:tcW w:w="1040" w:type="dxa"/>
            <w:vAlign w:val="bottom"/>
          </w:tcPr>
          <w:p>
            <w:pPr>
              <w:jc w:val="right"/>
              <w:ind w:right="150"/>
              <w:spacing w:after="0" w:line="145" w:lineRule="exact"/>
              <w:rPr>
                <w:sz w:val="20"/>
                <w:szCs w:val="20"/>
                <w:color w:val="auto"/>
              </w:rPr>
            </w:pPr>
            <w:r>
              <w:rPr>
                <w:rFonts w:ascii="Arial" w:cs="Arial" w:eastAsia="Arial" w:hAnsi="Arial"/>
                <w:sz w:val="14"/>
                <w:szCs w:val="14"/>
                <w:color w:val="auto"/>
              </w:rPr>
              <w:t>Number of</w:t>
            </w:r>
          </w:p>
        </w:tc>
        <w:tc>
          <w:tcPr>
            <w:tcW w:w="80" w:type="dxa"/>
            <w:vAlign w:val="bottom"/>
          </w:tcPr>
          <w:p>
            <w:pPr>
              <w:spacing w:after="0"/>
              <w:rPr>
                <w:sz w:val="12"/>
                <w:szCs w:val="12"/>
                <w:color w:val="auto"/>
              </w:rPr>
            </w:pPr>
          </w:p>
        </w:tc>
        <w:tc>
          <w:tcPr>
            <w:tcW w:w="880" w:type="dxa"/>
            <w:vAlign w:val="bottom"/>
            <w:gridSpan w:val="2"/>
          </w:tcPr>
          <w:p>
            <w:pPr>
              <w:jc w:val="center"/>
              <w:ind w:right="50"/>
              <w:spacing w:after="0" w:line="145" w:lineRule="exact"/>
              <w:rPr>
                <w:sz w:val="20"/>
                <w:szCs w:val="20"/>
                <w:color w:val="auto"/>
              </w:rPr>
            </w:pPr>
            <w:r>
              <w:rPr>
                <w:rFonts w:ascii="Arial" w:cs="Arial" w:eastAsia="Arial" w:hAnsi="Arial"/>
                <w:sz w:val="14"/>
                <w:szCs w:val="14"/>
                <w:color w:val="auto"/>
                <w:w w:val="89"/>
              </w:rPr>
              <w:t>Exercise</w:t>
            </w:r>
          </w:p>
        </w:tc>
        <w:tc>
          <w:tcPr>
            <w:tcW w:w="1020" w:type="dxa"/>
            <w:vAlign w:val="bottom"/>
          </w:tcPr>
          <w:p>
            <w:pPr>
              <w:jc w:val="right"/>
              <w:ind w:right="130"/>
              <w:spacing w:after="0" w:line="145" w:lineRule="exact"/>
              <w:rPr>
                <w:sz w:val="20"/>
                <w:szCs w:val="20"/>
                <w:color w:val="auto"/>
              </w:rPr>
            </w:pPr>
            <w:r>
              <w:rPr>
                <w:rFonts w:ascii="Arial" w:cs="Arial" w:eastAsia="Arial" w:hAnsi="Arial"/>
                <w:sz w:val="14"/>
                <w:szCs w:val="14"/>
                <w:color w:val="auto"/>
              </w:rPr>
              <w:t>Number of</w:t>
            </w:r>
          </w:p>
        </w:tc>
        <w:tc>
          <w:tcPr>
            <w:tcW w:w="180" w:type="dxa"/>
            <w:vAlign w:val="bottom"/>
          </w:tcPr>
          <w:p>
            <w:pPr>
              <w:spacing w:after="0"/>
              <w:rPr>
                <w:sz w:val="12"/>
                <w:szCs w:val="12"/>
                <w:color w:val="auto"/>
              </w:rPr>
            </w:pPr>
          </w:p>
        </w:tc>
        <w:tc>
          <w:tcPr>
            <w:tcW w:w="76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89"/>
              </w:rPr>
              <w:t>Exercise</w:t>
            </w:r>
          </w:p>
        </w:tc>
      </w:tr>
      <w:tr>
        <w:trPr>
          <w:trHeight w:val="177"/>
        </w:trPr>
        <w:tc>
          <w:tcPr>
            <w:tcW w:w="3560" w:type="dxa"/>
            <w:vAlign w:val="bottom"/>
          </w:tcPr>
          <w:p>
            <w:pPr>
              <w:spacing w:after="0"/>
              <w:rPr>
                <w:sz w:val="15"/>
                <w:szCs w:val="15"/>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w w:val="95"/>
              </w:rPr>
              <w:t>Class A Shares</w:t>
            </w:r>
          </w:p>
        </w:tc>
        <w:tc>
          <w:tcPr>
            <w:tcW w:w="80" w:type="dxa"/>
            <w:vAlign w:val="bottom"/>
          </w:tcPr>
          <w:p>
            <w:pPr>
              <w:spacing w:after="0"/>
              <w:rPr>
                <w:sz w:val="15"/>
                <w:szCs w:val="15"/>
                <w:color w:val="auto"/>
              </w:rPr>
            </w:pPr>
          </w:p>
        </w:tc>
        <w:tc>
          <w:tcPr>
            <w:tcW w:w="8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Price</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w w:val="94"/>
              </w:rPr>
              <w:t>Class C Shares</w:t>
            </w:r>
          </w:p>
        </w:tc>
        <w:tc>
          <w:tcPr>
            <w:tcW w:w="180" w:type="dxa"/>
            <w:vAlign w:val="bottom"/>
          </w:tcPr>
          <w:p>
            <w:pPr>
              <w:spacing w:after="0"/>
              <w:rPr>
                <w:sz w:val="15"/>
                <w:szCs w:val="15"/>
                <w:color w:val="auto"/>
              </w:rPr>
            </w:pPr>
          </w:p>
        </w:tc>
        <w:tc>
          <w:tcPr>
            <w:tcW w:w="7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Price</w:t>
            </w:r>
          </w:p>
        </w:tc>
      </w:tr>
      <w:tr>
        <w:trPr>
          <w:trHeight w:val="165"/>
        </w:trPr>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64"/>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January 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1,011,274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4.49</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577,280</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w:t>
            </w:r>
          </w:p>
        </w:tc>
      </w:tr>
      <w:tr>
        <w:trPr>
          <w:trHeight w:val="264"/>
        </w:trPr>
        <w:tc>
          <w:tcPr>
            <w:tcW w:w="3560" w:type="dxa"/>
            <w:vAlign w:val="bottom"/>
          </w:tcPr>
          <w:p>
            <w:pPr>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rPr>
                <w:sz w:val="20"/>
                <w:szCs w:val="20"/>
                <w:color w:val="auto"/>
              </w:rPr>
            </w:pPr>
            <w:r>
              <w:rPr>
                <w:rFonts w:ascii="Arial" w:cs="Arial" w:eastAsia="Arial" w:hAnsi="Arial"/>
                <w:sz w:val="14"/>
                <w:szCs w:val="14"/>
                <w:color w:val="auto"/>
              </w:rPr>
              <w:t>2,000</w:t>
            </w: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64"/>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(15,328)</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264"/>
        </w:trPr>
        <w:tc>
          <w:tcPr>
            <w:tcW w:w="35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Cancelled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4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r>
      <w:tr>
        <w:trPr>
          <w:trHeight w:val="244"/>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June 30, 2019</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997,946</w:t>
            </w:r>
          </w:p>
        </w:tc>
        <w:tc>
          <w:tcPr>
            <w:tcW w:w="4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4.50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577,280</w:t>
            </w:r>
          </w:p>
        </w:tc>
        <w:tc>
          <w:tcPr>
            <w:tcW w:w="58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w:t>
            </w:r>
          </w:p>
        </w:tc>
      </w:tr>
      <w:tr>
        <w:trPr>
          <w:trHeight w:val="20"/>
        </w:trPr>
        <w:tc>
          <w:tcPr>
            <w:tcW w:w="35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51"/>
        </w:trPr>
        <w:tc>
          <w:tcPr>
            <w:tcW w:w="3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r>
      <w:tr>
        <w:trPr>
          <w:trHeight w:val="264"/>
        </w:trPr>
        <w:tc>
          <w:tcPr>
            <w:tcW w:w="3560" w:type="dxa"/>
            <w:vAlign w:val="bottom"/>
            <w:shd w:val="clear" w:color="auto" w:fill="CCEEFF"/>
          </w:tcPr>
          <w:p>
            <w:pPr>
              <w:spacing w:after="0"/>
              <w:rPr>
                <w:sz w:val="20"/>
                <w:szCs w:val="20"/>
                <w:color w:val="auto"/>
              </w:rPr>
            </w:pPr>
            <w:r>
              <w:rPr>
                <w:rFonts w:ascii="Arial" w:cs="Arial" w:eastAsia="Arial" w:hAnsi="Arial"/>
                <w:sz w:val="14"/>
                <w:szCs w:val="14"/>
                <w:color w:val="auto"/>
              </w:rPr>
              <w:t>As of June 30, 2019:</w:t>
            </w: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r>
      <w:tr>
        <w:trPr>
          <w:trHeight w:val="304"/>
        </w:trPr>
        <w:tc>
          <w:tcPr>
            <w:tcW w:w="35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Options exercisable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921,895</w:t>
            </w:r>
          </w:p>
        </w:tc>
        <w:tc>
          <w:tcPr>
            <w:tcW w:w="480" w:type="dxa"/>
            <w:vAlign w:val="bottom"/>
            <w:tcBorders>
              <w:bottom w:val="single" w:sz="8" w:color="CCEEFF"/>
            </w:tcBorders>
            <w:gridSpan w:val="2"/>
          </w:tcPr>
          <w:p>
            <w:pPr>
              <w:ind w:left="30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tcPr>
          <w:p>
            <w:pPr>
              <w:jc w:val="right"/>
              <w:ind w:right="50"/>
              <w:spacing w:after="0"/>
              <w:rPr>
                <w:sz w:val="20"/>
                <w:szCs w:val="20"/>
                <w:color w:val="auto"/>
              </w:rPr>
            </w:pPr>
            <w:r>
              <w:rPr>
                <w:rFonts w:ascii="Arial" w:cs="Arial" w:eastAsia="Arial" w:hAnsi="Arial"/>
                <w:sz w:val="14"/>
                <w:szCs w:val="14"/>
                <w:color w:val="auto"/>
              </w:rPr>
              <w:t>4.42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530,030</w:t>
            </w:r>
          </w:p>
        </w:tc>
        <w:tc>
          <w:tcPr>
            <w:tcW w:w="580" w:type="dxa"/>
            <w:vAlign w:val="bottom"/>
            <w:tcBorders>
              <w:bottom w:val="single" w:sz="8" w:color="CCEEFF"/>
            </w:tcBorders>
            <w:gridSpan w:val="2"/>
          </w:tcPr>
          <w:p>
            <w:pPr>
              <w:ind w:left="40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5.14</w:t>
            </w:r>
          </w:p>
        </w:tc>
      </w:tr>
      <w:tr>
        <w:trPr>
          <w:trHeight w:val="151"/>
        </w:trPr>
        <w:tc>
          <w:tcPr>
            <w:tcW w:w="35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r>
    </w:tbl>
    <w:p>
      <w:pPr>
        <w:spacing w:after="0" w:line="87" w:lineRule="exact"/>
        <w:rPr>
          <w:sz w:val="20"/>
          <w:szCs w:val="20"/>
          <w:color w:val="auto"/>
        </w:rPr>
      </w:pPr>
    </w:p>
    <w:p>
      <w:pPr>
        <w:ind w:left="4"/>
        <w:spacing w:after="0"/>
        <w:rPr>
          <w:sz w:val="20"/>
          <w:szCs w:val="20"/>
          <w:color w:val="auto"/>
        </w:rPr>
      </w:pPr>
      <w:r>
        <w:rPr>
          <w:rFonts w:ascii="Arial" w:cs="Arial" w:eastAsia="Arial" w:hAnsi="Arial"/>
          <w:sz w:val="14"/>
          <w:szCs w:val="14"/>
          <w:color w:val="auto"/>
        </w:rPr>
        <w:t>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4779010" cy="175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79010" cy="175895"/>
                    </a:xfrm>
                    <a:prstGeom prst="rect">
                      <a:avLst/>
                    </a:prstGeom>
                    <a:noFill/>
                  </pic:spPr>
                </pic:pic>
              </a:graphicData>
            </a:graphic>
          </wp:anchor>
        </w:drawing>
      </w:r>
    </w:p>
    <w:p>
      <w:pPr>
        <w:sectPr>
          <w:pgSz w:w="11900" w:h="16838" w:orient="portrait"/>
          <w:cols w:equalWidth="0" w:num="1">
            <w:col w:w="9183"/>
          </w:cols>
          <w:pgMar w:left="1276" w:top="347" w:right="1440" w:bottom="1440" w:gutter="0" w:footer="0" w:header="0"/>
        </w:sectPr>
      </w:pPr>
    </w:p>
    <w:p>
      <w:pPr>
        <w:spacing w:after="0" w:line="116" w:lineRule="exact"/>
        <w:rPr>
          <w:sz w:val="20"/>
          <w:szCs w:val="20"/>
          <w:color w:val="auto"/>
        </w:rPr>
      </w:pPr>
    </w:p>
    <w:p>
      <w:pPr>
        <w:ind w:left="4"/>
        <w:spacing w:after="0"/>
        <w:rPr>
          <w:sz w:val="20"/>
          <w:szCs w:val="20"/>
          <w:color w:val="auto"/>
        </w:rPr>
      </w:pPr>
      <w:r>
        <w:rPr>
          <w:rFonts w:ascii="Arial" w:cs="Arial" w:eastAsia="Arial" w:hAnsi="Arial"/>
          <w:sz w:val="14"/>
          <w:szCs w:val="14"/>
          <w:color w:val="auto"/>
        </w:rPr>
        <w:t>Available options for future grant</w:t>
      </w:r>
    </w:p>
    <w:p>
      <w:pPr>
        <w:spacing w:after="0" w:line="301" w:lineRule="exact"/>
        <w:rPr>
          <w:sz w:val="20"/>
          <w:szCs w:val="20"/>
          <w:color w:val="auto"/>
        </w:rPr>
      </w:pPr>
    </w:p>
    <w:p>
      <w:pPr>
        <w:ind w:left="164" w:right="700" w:hanging="140"/>
        <w:spacing w:after="0" w:line="421" w:lineRule="auto"/>
        <w:rPr>
          <w:sz w:val="20"/>
          <w:szCs w:val="20"/>
          <w:color w:val="auto"/>
        </w:rPr>
      </w:pPr>
      <w:r>
        <w:rPr>
          <w:rFonts w:ascii="Arial" w:cs="Arial" w:eastAsia="Arial" w:hAnsi="Arial"/>
          <w:sz w:val="14"/>
          <w:szCs w:val="14"/>
          <w:color w:val="auto"/>
        </w:rPr>
        <w:t>Weighted average contractual term of options outstanding at June 30, 2019</w:t>
      </w:r>
    </w:p>
    <w:p>
      <w:pPr>
        <w:spacing w:after="0" w:line="135" w:lineRule="exact"/>
        <w:rPr>
          <w:sz w:val="20"/>
          <w:szCs w:val="20"/>
          <w:color w:val="auto"/>
        </w:rPr>
      </w:pPr>
    </w:p>
    <w:p>
      <w:pPr>
        <w:ind w:left="164" w:right="700" w:hanging="140"/>
        <w:spacing w:after="0" w:line="421" w:lineRule="auto"/>
        <w:rPr>
          <w:sz w:val="20"/>
          <w:szCs w:val="20"/>
          <w:color w:val="auto"/>
        </w:rPr>
      </w:pPr>
      <w:r>
        <w:rPr>
          <w:rFonts w:ascii="Arial" w:cs="Arial" w:eastAsia="Arial" w:hAnsi="Arial"/>
          <w:sz w:val="14"/>
          <w:szCs w:val="14"/>
          <w:color w:val="auto"/>
        </w:rPr>
        <w:t>Weighted average contractual term of options exercisable at June 30, 2019</w:t>
      </w:r>
    </w:p>
    <w:p>
      <w:pPr>
        <w:spacing w:after="0" w:line="135" w:lineRule="exact"/>
        <w:rPr>
          <w:sz w:val="20"/>
          <w:szCs w:val="20"/>
          <w:color w:val="auto"/>
        </w:rPr>
      </w:pPr>
    </w:p>
    <w:p>
      <w:pPr>
        <w:jc w:val="center"/>
        <w:ind w:right="1176"/>
        <w:spacing w:after="0"/>
        <w:rPr>
          <w:sz w:val="20"/>
          <w:szCs w:val="20"/>
          <w:color w:val="auto"/>
        </w:rPr>
      </w:pPr>
      <w:r>
        <w:rPr>
          <w:rFonts w:ascii="Arial" w:cs="Arial" w:eastAsia="Arial" w:hAnsi="Arial"/>
          <w:sz w:val="13"/>
          <w:szCs w:val="13"/>
          <w:color w:val="auto"/>
        </w:rPr>
        <w:t>Aggregated intrinsic value of options</w:t>
      </w:r>
    </w:p>
    <w:p>
      <w:pPr>
        <w:spacing w:after="0" w:line="128" w:lineRule="exact"/>
        <w:rPr>
          <w:sz w:val="20"/>
          <w:szCs w:val="20"/>
          <w:color w:val="auto"/>
        </w:rPr>
      </w:pPr>
    </w:p>
    <w:p>
      <w:pPr>
        <w:jc w:val="center"/>
        <w:ind w:right="1176"/>
        <w:spacing w:after="0"/>
        <w:rPr>
          <w:sz w:val="20"/>
          <w:szCs w:val="20"/>
          <w:color w:val="auto"/>
        </w:rPr>
      </w:pPr>
      <w:r>
        <w:rPr>
          <w:rFonts w:ascii="Arial" w:cs="Arial" w:eastAsia="Arial" w:hAnsi="Arial"/>
          <w:sz w:val="14"/>
          <w:szCs w:val="14"/>
          <w:color w:val="auto"/>
        </w:rPr>
        <w:t>outstanding at June 30, 2019 (1)</w:t>
      </w:r>
    </w:p>
    <w:p>
      <w:pPr>
        <w:spacing w:after="0" w:line="301" w:lineRule="exact"/>
        <w:rPr>
          <w:sz w:val="20"/>
          <w:szCs w:val="20"/>
          <w:color w:val="auto"/>
        </w:rPr>
      </w:pPr>
    </w:p>
    <w:p>
      <w:pPr>
        <w:ind w:left="4"/>
        <w:spacing w:after="0"/>
        <w:rPr>
          <w:sz w:val="20"/>
          <w:szCs w:val="20"/>
          <w:color w:val="auto"/>
        </w:rPr>
      </w:pPr>
      <w:r>
        <w:rPr>
          <w:rFonts w:ascii="Arial" w:cs="Arial" w:eastAsia="Arial" w:hAnsi="Arial"/>
          <w:sz w:val="14"/>
          <w:szCs w:val="14"/>
          <w:color w:val="auto"/>
        </w:rPr>
        <w:t>Aggregated intrinsic value of options</w:t>
      </w:r>
    </w:p>
    <w:p>
      <w:pPr>
        <w:spacing w:after="0" w:line="90" w:lineRule="exact"/>
        <w:rPr>
          <w:sz w:val="20"/>
          <w:szCs w:val="20"/>
          <w:color w:val="auto"/>
        </w:rPr>
      </w:pPr>
    </w:p>
    <w:p>
      <w:pPr>
        <w:ind w:left="164"/>
        <w:spacing w:after="0"/>
        <w:rPr>
          <w:sz w:val="20"/>
          <w:szCs w:val="20"/>
          <w:color w:val="auto"/>
        </w:rPr>
      </w:pPr>
      <w:r>
        <w:rPr>
          <w:rFonts w:ascii="Arial" w:cs="Arial" w:eastAsia="Arial" w:hAnsi="Arial"/>
          <w:sz w:val="14"/>
          <w:szCs w:val="14"/>
          <w:color w:val="auto"/>
        </w:rPr>
        <w:t>exercisable at June 30, 2019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2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2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560"/>
        <w:spacing w:after="0"/>
        <w:rPr>
          <w:sz w:val="20"/>
          <w:szCs w:val="20"/>
          <w:color w:val="auto"/>
        </w:rPr>
      </w:pPr>
      <w:r>
        <w:rPr>
          <w:rFonts w:ascii="Arial" w:cs="Arial" w:eastAsia="Arial" w:hAnsi="Arial"/>
          <w:sz w:val="12"/>
          <w:szCs w:val="12"/>
          <w:color w:val="auto"/>
        </w:rPr>
        <w:t>299,351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158750</wp:posOffset>
            </wp:positionV>
            <wp:extent cx="4779010" cy="167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779010" cy="16764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41275</wp:posOffset>
            </wp:positionV>
            <wp:extent cx="6540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5.65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24765</wp:posOffset>
            </wp:positionV>
            <wp:extent cx="4779010" cy="109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779010" cy="109220"/>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301625</wp:posOffset>
            </wp:positionV>
            <wp:extent cx="4779010" cy="167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79010" cy="1676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680"/>
        <w:spacing w:after="0"/>
        <w:rPr>
          <w:sz w:val="20"/>
          <w:szCs w:val="20"/>
          <w:color w:val="auto"/>
        </w:rPr>
      </w:pPr>
      <w:r>
        <w:rPr>
          <w:rFonts w:ascii="Arial" w:cs="Arial" w:eastAsia="Arial" w:hAnsi="Arial"/>
          <w:sz w:val="12"/>
          <w:szCs w:val="12"/>
          <w:color w:val="auto"/>
        </w:rPr>
        <w:t>5.53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133985</wp:posOffset>
            </wp:positionV>
            <wp:extent cx="4779010" cy="167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79010" cy="16764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620"/>
        <w:spacing w:after="0"/>
        <w:rPr>
          <w:sz w:val="20"/>
          <w:szCs w:val="20"/>
          <w:color w:val="auto"/>
        </w:rPr>
      </w:pPr>
      <w:r>
        <w:rPr>
          <w:rFonts w:ascii="Arial" w:cs="Arial" w:eastAsia="Arial" w:hAnsi="Arial"/>
          <w:sz w:val="12"/>
          <w:szCs w:val="12"/>
          <w:color w:val="auto"/>
        </w:rPr>
        <w:t>$822,875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326390</wp:posOffset>
            </wp:positionV>
            <wp:extent cx="4779010" cy="159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779010" cy="159385"/>
                    </a:xfrm>
                    <a:prstGeom prst="rect">
                      <a:avLst/>
                    </a:prstGeom>
                    <a:noFill/>
                  </pic:spPr>
                </pic:pic>
              </a:graphicData>
            </a:graphic>
          </wp:anchor>
        </w:drawing>
        <w:drawing>
          <wp:anchor simplePos="0" relativeHeight="251657728" behindDoc="1" locked="0" layoutInCell="0" allowOverlap="1">
            <wp:simplePos x="0" y="0"/>
            <wp:positionH relativeFrom="column">
              <wp:posOffset>-2541905</wp:posOffset>
            </wp:positionH>
            <wp:positionV relativeFrom="paragraph">
              <wp:posOffset>24765</wp:posOffset>
            </wp:positionV>
            <wp:extent cx="4779010" cy="133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779010" cy="13398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620"/>
        <w:spacing w:after="0"/>
        <w:rPr>
          <w:sz w:val="20"/>
          <w:szCs w:val="20"/>
          <w:color w:val="auto"/>
        </w:rPr>
      </w:pPr>
      <w:r>
        <w:rPr>
          <w:rFonts w:ascii="Arial" w:cs="Arial" w:eastAsia="Arial" w:hAnsi="Arial"/>
          <w:sz w:val="12"/>
          <w:szCs w:val="12"/>
          <w:color w:val="auto"/>
        </w:rPr>
        <w:t>$822,875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-2541905</wp:posOffset>
            </wp:positionH>
            <wp:positionV relativeFrom="paragraph">
              <wp:posOffset>209550</wp:posOffset>
            </wp:positionV>
            <wp:extent cx="4779010" cy="109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79010" cy="109220"/>
                    </a:xfrm>
                    <a:prstGeom prst="rect">
                      <a:avLst/>
                    </a:prstGeom>
                    <a:noFill/>
                  </pic:spPr>
                </pic:pic>
              </a:graphicData>
            </a:graphic>
          </wp:anchor>
        </w:drawing>
        <w:drawing>
          <wp:anchor simplePos="0" relativeHeight="251657728" behindDoc="1" locked="0" layoutInCell="0" allowOverlap="1">
            <wp:simplePos x="0" y="0"/>
            <wp:positionH relativeFrom="column">
              <wp:posOffset>-278130</wp:posOffset>
            </wp:positionH>
            <wp:positionV relativeFrom="paragraph">
              <wp:posOffset>41275</wp:posOffset>
            </wp:positionV>
            <wp:extent cx="6540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40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right"/>
        <w:ind w:right="2619"/>
        <w:spacing w:after="0"/>
        <w:rPr>
          <w:sz w:val="20"/>
          <w:szCs w:val="20"/>
          <w:color w:val="auto"/>
        </w:rPr>
      </w:pPr>
      <w:r>
        <w:rPr>
          <w:rFonts w:ascii="Arial" w:cs="Arial" w:eastAsia="Arial" w:hAnsi="Arial"/>
          <w:sz w:val="14"/>
          <w:szCs w:val="14"/>
          <w:color w:val="auto"/>
        </w:rPr>
        <w:t>146,425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26670</wp:posOffset>
            </wp:positionV>
            <wp:extent cx="6375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754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2"/>
          <w:szCs w:val="12"/>
          <w:color w:val="auto"/>
        </w:rPr>
        <w:t>3.46 years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2"/>
          <w:szCs w:val="12"/>
          <w:color w:val="auto"/>
        </w:rPr>
        <w:t>2.93 years</w:t>
      </w:r>
    </w:p>
    <w:p>
      <w:pPr>
        <w:spacing w:after="0" w:line="200" w:lineRule="exact"/>
        <w:rPr>
          <w:sz w:val="20"/>
          <w:szCs w:val="20"/>
          <w:color w:val="auto"/>
        </w:rPr>
      </w:pPr>
    </w:p>
    <w:p>
      <w:pPr>
        <w:spacing w:after="0" w:line="362" w:lineRule="exact"/>
        <w:rPr>
          <w:sz w:val="20"/>
          <w:szCs w:val="20"/>
          <w:color w:val="auto"/>
        </w:rPr>
      </w:pPr>
    </w:p>
    <w:p>
      <w:pPr>
        <w:ind w:left="60"/>
        <w:spacing w:after="0"/>
        <w:rPr>
          <w:sz w:val="20"/>
          <w:szCs w:val="20"/>
          <w:color w:val="auto"/>
        </w:rPr>
      </w:pPr>
      <w:r>
        <w:rPr>
          <w:rFonts w:ascii="Arial" w:cs="Arial" w:eastAsia="Arial" w:hAnsi="Arial"/>
          <w:sz w:val="12"/>
          <w:szCs w:val="12"/>
          <w:color w:val="auto"/>
        </w:rPr>
        <w:t>$218,010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24765</wp:posOffset>
            </wp:positionV>
            <wp:extent cx="6375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754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2"/>
          <w:szCs w:val="12"/>
          <w:color w:val="auto"/>
        </w:rPr>
        <w:t>$218,010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41275</wp:posOffset>
            </wp:positionV>
            <wp:extent cx="6375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7540"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3">
            <w:col w:w="3284" w:space="720"/>
            <w:col w:w="1260" w:space="720"/>
            <w:col w:w="3199"/>
          </w:cols>
          <w:pgMar w:left="1276" w:top="347" w:right="1440" w:bottom="1440" w:gutter="0" w:footer="0" w:header="0"/>
          <w:type w:val="continuous"/>
        </w:sectPr>
      </w:pPr>
    </w:p>
    <w:p>
      <w:pPr>
        <w:spacing w:after="0" w:line="352" w:lineRule="exact"/>
        <w:rPr>
          <w:sz w:val="20"/>
          <w:szCs w:val="20"/>
          <w:color w:val="auto"/>
        </w:rPr>
      </w:pPr>
    </w:p>
    <w:p>
      <w:pPr>
        <w:ind w:left="4"/>
        <w:spacing w:after="0"/>
        <w:rPr>
          <w:sz w:val="20"/>
          <w:szCs w:val="20"/>
          <w:color w:val="auto"/>
        </w:rPr>
      </w:pPr>
      <w:r>
        <w:rPr>
          <w:rFonts w:ascii="Arial" w:cs="Arial" w:eastAsia="Arial" w:hAnsi="Arial"/>
          <w:sz w:val="14"/>
          <w:szCs w:val="14"/>
          <w:color w:val="auto"/>
        </w:rPr>
        <w:t>(1) The Company used a stock price of $5.02 as of June 30, 2019 to derive intrinsic value.</w:t>
      </w:r>
    </w:p>
    <w:p>
      <w:pPr>
        <w:spacing w:after="0" w:line="224" w:lineRule="exact"/>
        <w:rPr>
          <w:sz w:val="20"/>
          <w:szCs w:val="20"/>
          <w:color w:val="auto"/>
        </w:rPr>
      </w:pPr>
    </w:p>
    <w:p>
      <w:pPr>
        <w:jc w:val="both"/>
        <w:ind w:left="4" w:right="319"/>
        <w:spacing w:after="0" w:line="261" w:lineRule="auto"/>
        <w:rPr>
          <w:sz w:val="20"/>
          <w:szCs w:val="20"/>
          <w:color w:val="auto"/>
        </w:rPr>
      </w:pPr>
      <w:r>
        <w:rPr>
          <w:rFonts w:ascii="Arial" w:cs="Arial" w:eastAsia="Arial" w:hAnsi="Arial"/>
          <w:sz w:val="19"/>
          <w:szCs w:val="19"/>
          <w:color w:val="auto"/>
        </w:rPr>
        <w:t>The total intrinsic value (which is the amount by which the fair value of the underlying stock exceeds the exercise price of an option on the exercise date) of stock options exercised during the six months June 30, 2020 and 2019 was $191,656 and $15,220, respectively.</w:t>
      </w:r>
    </w:p>
    <w:p>
      <w:pPr>
        <w:spacing w:after="0" w:line="198"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347" w:right="1440" w:bottom="1440" w:gutter="0" w:footer="0" w:header="0"/>
          <w:type w:val="continuous"/>
        </w:sectPr>
      </w:pPr>
    </w:p>
    <w:bookmarkStart w:id="29" w:name="page30"/>
    <w:bookmarkEnd w:id="29"/>
    <w:p>
      <w:pPr>
        <w:jc w:val="center"/>
        <w:ind w:left="1280" w:right="1280"/>
        <w:spacing w:after="0" w:line="261"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211" w:lineRule="exact"/>
        <w:rPr>
          <w:sz w:val="20"/>
          <w:szCs w:val="20"/>
          <w:color w:val="auto"/>
        </w:rPr>
      </w:pPr>
    </w:p>
    <w:p>
      <w:pPr>
        <w:ind w:left="484" w:hanging="484"/>
        <w:spacing w:after="0"/>
        <w:tabs>
          <w:tab w:leader="none" w:pos="484"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Earnings Per Share</w:t>
      </w:r>
    </w:p>
    <w:p>
      <w:pPr>
        <w:spacing w:after="0" w:line="230" w:lineRule="exact"/>
        <w:rPr>
          <w:sz w:val="20"/>
          <w:szCs w:val="20"/>
          <w:color w:val="auto"/>
        </w:rPr>
      </w:pPr>
    </w:p>
    <w:p>
      <w:pPr>
        <w:ind w:left="4"/>
        <w:spacing w:after="0"/>
        <w:rPr>
          <w:sz w:val="20"/>
          <w:szCs w:val="20"/>
          <w:color w:val="auto"/>
        </w:rPr>
      </w:pPr>
      <w:r>
        <w:rPr>
          <w:rFonts w:ascii="Arial" w:cs="Arial" w:eastAsia="Arial" w:hAnsi="Arial"/>
          <w:sz w:val="19"/>
          <w:szCs w:val="19"/>
          <w:color w:val="auto"/>
        </w:rPr>
        <w:t>The basic and diluted earnings per share amounts were calculated as follows:</w:t>
      </w:r>
    </w:p>
    <w:p>
      <w:pPr>
        <w:spacing w:after="0" w:line="38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280" w:type="dxa"/>
            <w:vAlign w:val="bottom"/>
            <w:gridSpan w:val="5"/>
          </w:tcPr>
          <w:p>
            <w:pPr>
              <w:jc w:val="center"/>
              <w:ind w:right="160"/>
              <w:spacing w:after="0"/>
              <w:rPr>
                <w:sz w:val="20"/>
                <w:szCs w:val="20"/>
                <w:color w:val="auto"/>
              </w:rPr>
            </w:pPr>
            <w:r>
              <w:rPr>
                <w:rFonts w:ascii="Arial" w:cs="Arial" w:eastAsia="Arial" w:hAnsi="Arial"/>
                <w:sz w:val="14"/>
                <w:szCs w:val="14"/>
                <w:color w:val="auto"/>
                <w:w w:val="91"/>
              </w:rPr>
              <w:t>Three Months Ended</w:t>
            </w:r>
          </w:p>
        </w:tc>
        <w:tc>
          <w:tcPr>
            <w:tcW w:w="2380" w:type="dxa"/>
            <w:vAlign w:val="bottom"/>
            <w:gridSpan w:val="5"/>
          </w:tcPr>
          <w:p>
            <w:pPr>
              <w:jc w:val="right"/>
              <w:ind w:right="610"/>
              <w:spacing w:after="0"/>
              <w:rPr>
                <w:sz w:val="20"/>
                <w:szCs w:val="20"/>
                <w:color w:val="auto"/>
              </w:rPr>
            </w:pPr>
            <w:r>
              <w:rPr>
                <w:rFonts w:ascii="Arial" w:cs="Arial" w:eastAsia="Arial" w:hAnsi="Arial"/>
                <w:sz w:val="14"/>
                <w:szCs w:val="14"/>
                <w:color w:val="auto"/>
              </w:rPr>
              <w:t>Six Months Ended</w:t>
            </w:r>
          </w:p>
        </w:tc>
      </w:tr>
      <w:tr>
        <w:trPr>
          <w:trHeight w:val="177"/>
        </w:trPr>
        <w:tc>
          <w:tcPr>
            <w:tcW w:w="3940" w:type="dxa"/>
            <w:vAlign w:val="bottom"/>
          </w:tcPr>
          <w:p>
            <w:pPr>
              <w:spacing w:after="0"/>
              <w:rPr>
                <w:sz w:val="15"/>
                <w:szCs w:val="15"/>
                <w:color w:val="auto"/>
              </w:rPr>
            </w:pPr>
          </w:p>
        </w:tc>
        <w:tc>
          <w:tcPr>
            <w:tcW w:w="136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4"/>
                <w:szCs w:val="14"/>
                <w:color w:val="auto"/>
                <w:w w:val="88"/>
              </w:rPr>
              <w:t>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color w:val="auto"/>
                <w:w w:val="92"/>
              </w:rPr>
              <w:t>June 30</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04"/>
        </w:trPr>
        <w:tc>
          <w:tcPr>
            <w:tcW w:w="3940" w:type="dxa"/>
            <w:vAlign w:val="bottom"/>
          </w:tcPr>
          <w:p>
            <w:pPr>
              <w:spacing w:after="0"/>
              <w:rPr>
                <w:sz w:val="17"/>
                <w:szCs w:val="17"/>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2020</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rPr>
              <w:t>2020</w:t>
            </w:r>
          </w:p>
        </w:tc>
        <w:tc>
          <w:tcPr>
            <w:tcW w:w="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w w:val="96"/>
              </w:rPr>
              <w:t>2019</w:t>
            </w:r>
          </w:p>
        </w:tc>
      </w:tr>
      <w:tr>
        <w:trPr>
          <w:trHeight w:val="204"/>
        </w:trPr>
        <w:tc>
          <w:tcPr>
            <w:tcW w:w="3940" w:type="dxa"/>
            <w:vAlign w:val="bottom"/>
          </w:tcPr>
          <w:p>
            <w:pPr>
              <w:spacing w:after="0"/>
              <w:rPr>
                <w:sz w:val="20"/>
                <w:szCs w:val="20"/>
                <w:color w:val="auto"/>
              </w:rPr>
            </w:pPr>
            <w:r>
              <w:rPr>
                <w:rFonts w:ascii="Arial" w:cs="Arial" w:eastAsia="Arial" w:hAnsi="Arial"/>
                <w:sz w:val="14"/>
                <w:szCs w:val="14"/>
                <w:color w:val="auto"/>
              </w:rPr>
              <w:t>Numerator:</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8"/>
        </w:trPr>
        <w:tc>
          <w:tcPr>
            <w:tcW w:w="3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earnings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$ 20,557,047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  3,480,054</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21,981,496</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5,410,372</w:t>
            </w:r>
          </w:p>
        </w:tc>
      </w:tr>
      <w:tr>
        <w:trPr>
          <w:trHeight w:val="238"/>
        </w:trPr>
        <w:tc>
          <w:tcPr>
            <w:tcW w:w="3940" w:type="dxa"/>
            <w:vAlign w:val="bottom"/>
          </w:tcPr>
          <w:p>
            <w:pPr>
              <w:spacing w:after="0"/>
              <w:rPr>
                <w:sz w:val="20"/>
                <w:szCs w:val="20"/>
                <w:color w:val="auto"/>
              </w:rPr>
            </w:pPr>
            <w:r>
              <w:rPr>
                <w:rFonts w:ascii="Arial" w:cs="Arial" w:eastAsia="Arial" w:hAnsi="Arial"/>
                <w:sz w:val="14"/>
                <w:szCs w:val="14"/>
                <w:color w:val="auto"/>
              </w:rPr>
              <w:t>Denominator:</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4"/>
        </w:trPr>
        <w:tc>
          <w:tcPr>
            <w:tcW w:w="3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Basic weighted-average shares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18,764,831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18,576,031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18,703,390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18,567,907</w:t>
            </w:r>
          </w:p>
        </w:tc>
      </w:tr>
      <w:tr>
        <w:trPr>
          <w:trHeight w:val="224"/>
        </w:trPr>
        <w:tc>
          <w:tcPr>
            <w:tcW w:w="3940" w:type="dxa"/>
            <w:vAlign w:val="bottom"/>
          </w:tcPr>
          <w:p>
            <w:pPr>
              <w:spacing w:after="0"/>
              <w:rPr>
                <w:sz w:val="20"/>
                <w:szCs w:val="20"/>
                <w:color w:val="auto"/>
              </w:rPr>
            </w:pPr>
            <w:r>
              <w:rPr>
                <w:rFonts w:ascii="Arial" w:cs="Arial" w:eastAsia="Arial" w:hAnsi="Arial"/>
                <w:sz w:val="14"/>
                <w:szCs w:val="14"/>
                <w:color w:val="auto"/>
              </w:rPr>
              <w:t>Effect of dilutive securities:</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4"/>
        </w:trPr>
        <w:tc>
          <w:tcPr>
            <w:tcW w:w="39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Employee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418,660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234,245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332,859</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239,669</w:t>
            </w:r>
          </w:p>
        </w:tc>
      </w:tr>
      <w:tr>
        <w:trPr>
          <w:trHeight w:val="172"/>
        </w:trPr>
        <w:tc>
          <w:tcPr>
            <w:tcW w:w="39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204"/>
        </w:trPr>
        <w:tc>
          <w:tcPr>
            <w:tcW w:w="3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Diluted weighted-average shares outstanding</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19,183,491</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18,810,276</w:t>
            </w: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19,036,249</w:t>
            </w: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18,807,576</w:t>
            </w: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1"/>
        </w:trPr>
        <w:tc>
          <w:tcPr>
            <w:tcW w:w="3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4"/>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Basic net earnings per share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w:t>
            </w: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51"/>
        </w:trPr>
        <w:tc>
          <w:tcPr>
            <w:tcW w:w="3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24"/>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Diluted net earnings per share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$0.19</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w:t>
            </w:r>
          </w:p>
        </w:tc>
      </w:tr>
      <w:tr>
        <w:trPr>
          <w:trHeight w:val="20"/>
        </w:trPr>
        <w:tc>
          <w:tcPr>
            <w:tcW w:w="39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left="4" w:right="319"/>
        <w:spacing w:after="0" w:line="256" w:lineRule="auto"/>
        <w:rPr>
          <w:sz w:val="20"/>
          <w:szCs w:val="20"/>
          <w:color w:val="auto"/>
        </w:rPr>
      </w:pPr>
      <w:r>
        <w:rPr>
          <w:rFonts w:ascii="Arial" w:cs="Arial" w:eastAsia="Arial" w:hAnsi="Arial"/>
          <w:sz w:val="19"/>
          <w:szCs w:val="19"/>
          <w:color w:val="auto"/>
        </w:rPr>
        <w:t>Net earnings per share amounts have been retroactively adjusted for the effect of annual stock dividends. For the six months June 30, 2020 and 2019, there were -0- and 857,227 of anti-dilutive employee stock option shares, respectively, that were not included in the computation of diluted net earnings per common share as their effect would be anti-dilutive.</w:t>
      </w:r>
    </w:p>
    <w:p>
      <w:pPr>
        <w:spacing w:after="0" w:line="190" w:lineRule="exact"/>
        <w:rPr>
          <w:sz w:val="20"/>
          <w:szCs w:val="20"/>
          <w:color w:val="auto"/>
        </w:rPr>
      </w:pPr>
    </w:p>
    <w:p>
      <w:pPr>
        <w:ind w:left="4" w:right="5339" w:hanging="4"/>
        <w:spacing w:after="0" w:line="551" w:lineRule="auto"/>
        <w:tabs>
          <w:tab w:leader="none" w:pos="479"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Business Segment Information Description of Products and Services by Segment</w:t>
      </w:r>
    </w:p>
    <w:p>
      <w:pPr>
        <w:jc w:val="both"/>
        <w:ind w:left="4" w:right="319"/>
        <w:spacing w:after="0" w:line="265" w:lineRule="auto"/>
        <w:rPr>
          <w:sz w:val="20"/>
          <w:szCs w:val="20"/>
          <w:color w:val="auto"/>
        </w:rPr>
      </w:pPr>
      <w:r>
        <w:rPr>
          <w:rFonts w:ascii="Arial" w:cs="Arial" w:eastAsia="Arial" w:hAnsi="Arial"/>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Measurement of Segment Profit or Loss and Segment Assets</w:t>
      </w:r>
    </w:p>
    <w:p>
      <w:pPr>
        <w:spacing w:after="0" w:line="230" w:lineRule="exact"/>
        <w:rPr>
          <w:sz w:val="20"/>
          <w:szCs w:val="20"/>
          <w:color w:val="auto"/>
        </w:rPr>
      </w:pPr>
    </w:p>
    <w:p>
      <w:pPr>
        <w:jc w:val="both"/>
        <w:ind w:left="4" w:right="319"/>
        <w:spacing w:after="0" w:line="261" w:lineRule="auto"/>
        <w:rPr>
          <w:sz w:val="20"/>
          <w:szCs w:val="20"/>
          <w:color w:val="auto"/>
        </w:rPr>
      </w:pPr>
      <w:r>
        <w:rPr>
          <w:rFonts w:ascii="Arial" w:cs="Arial" w:eastAsia="Arial" w:hAnsi="Arial"/>
          <w:sz w:val="19"/>
          <w:szCs w:val="19"/>
          <w:color w:val="auto"/>
        </w:rPr>
        <w:t>The accounting policies of the reportable segments are the same as those described in the Significant Accounting Principles of the Form 10-K for the year ended December 31, 2019. Intersegment revenues are recorded at cost plus an agreed upon intercompany profit, and are eliminated upon consolidation.</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9"/>
          <w:szCs w:val="19"/>
          <w:u w:val="single" w:color="auto"/>
          <w:color w:val="auto"/>
        </w:rPr>
        <w:t>Factors Management Used to Identify the Enterprise’s Reportable Segments</w:t>
      </w:r>
    </w:p>
    <w:p>
      <w:pPr>
        <w:spacing w:after="0" w:line="230" w:lineRule="exact"/>
        <w:rPr>
          <w:sz w:val="20"/>
          <w:szCs w:val="20"/>
          <w:color w:val="auto"/>
        </w:rPr>
      </w:pPr>
    </w:p>
    <w:p>
      <w:pPr>
        <w:jc w:val="both"/>
        <w:ind w:left="4" w:right="319"/>
        <w:spacing w:after="0" w:line="306" w:lineRule="auto"/>
        <w:rPr>
          <w:sz w:val="20"/>
          <w:szCs w:val="20"/>
          <w:color w:val="auto"/>
        </w:rPr>
      </w:pPr>
      <w:r>
        <w:rPr>
          <w:rFonts w:ascii="Arial" w:cs="Arial" w:eastAsia="Arial" w:hAnsi="Arial"/>
          <w:sz w:val="17"/>
          <w:szCs w:val="17"/>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63" w:lineRule="exact"/>
        <w:rPr>
          <w:sz w:val="20"/>
          <w:szCs w:val="20"/>
          <w:color w:val="auto"/>
        </w:rPr>
      </w:pPr>
    </w:p>
    <w:p>
      <w:pPr>
        <w:jc w:val="center"/>
        <w:ind w:right="316"/>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183"/>
          </w:cols>
          <w:pgMar w:left="1276" w:top="413" w:right="1440" w:bottom="1440" w:gutter="0" w:footer="0" w:header="0"/>
        </w:sectPr>
      </w:pPr>
    </w:p>
    <w:bookmarkStart w:id="30" w:name="page31"/>
    <w:bookmarkEnd w:id="30"/>
    <w:p>
      <w:pPr>
        <w:jc w:val="center"/>
        <w:ind w:right="1037"/>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34"/>
        </w:numPr>
        <w:rPr>
          <w:rFonts w:ascii="Arial" w:cs="Arial" w:eastAsia="Arial" w:hAnsi="Arial"/>
          <w:sz w:val="19"/>
          <w:szCs w:val="19"/>
          <w:color w:val="auto"/>
        </w:rPr>
      </w:pPr>
      <w:r>
        <w:rPr>
          <w:rFonts w:ascii="Arial" w:cs="Arial" w:eastAsia="Arial" w:hAnsi="Arial"/>
          <w:sz w:val="19"/>
          <w:szCs w:val="19"/>
          <w:u w:val="single" w:color="auto"/>
          <w:color w:val="auto"/>
        </w:rPr>
        <w:t>Business Segment Information</w:t>
      </w:r>
      <w:r>
        <w:rPr>
          <w:rFonts w:ascii="Arial" w:cs="Arial" w:eastAsia="Arial" w:hAnsi="Arial"/>
          <w:sz w:val="19"/>
          <w:szCs w:val="19"/>
          <w:color w:val="auto"/>
        </w:rPr>
        <w:t xml:space="preserve"> (Continued)</w:t>
      </w:r>
    </w:p>
    <w:p>
      <w:pPr>
        <w:spacing w:after="0" w:line="253"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color w:val="auto"/>
                <w:w w:val="89"/>
              </w:rPr>
              <w:t>Cemetery/</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Intercompany</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7"/>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360" w:type="dxa"/>
            <w:vAlign w:val="bottom"/>
            <w:gridSpan w:val="3"/>
          </w:tcPr>
          <w:p>
            <w:pPr>
              <w:ind w:left="140"/>
              <w:spacing w:after="0"/>
              <w:rPr>
                <w:sz w:val="20"/>
                <w:szCs w:val="20"/>
                <w:color w:val="auto"/>
              </w:rPr>
            </w:pPr>
            <w:r>
              <w:rPr>
                <w:rFonts w:ascii="Arial" w:cs="Arial" w:eastAsia="Arial" w:hAnsi="Arial"/>
                <w:sz w:val="14"/>
                <w:szCs w:val="14"/>
                <w:color w:val="auto"/>
              </w:rPr>
              <w:t>Life Insurance</w:t>
            </w: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color w:val="auto"/>
                <w:w w:val="97"/>
              </w:rPr>
              <w:t>Mortuary</w:t>
            </w:r>
          </w:p>
        </w:tc>
        <w:tc>
          <w:tcPr>
            <w:tcW w:w="1520" w:type="dxa"/>
            <w:vAlign w:val="bottom"/>
            <w:gridSpan w:val="3"/>
          </w:tcPr>
          <w:p>
            <w:pPr>
              <w:ind w:left="360"/>
              <w:spacing w:after="0"/>
              <w:rPr>
                <w:sz w:val="20"/>
                <w:szCs w:val="20"/>
                <w:color w:val="auto"/>
              </w:rPr>
            </w:pPr>
            <w:r>
              <w:rPr>
                <w:rFonts w:ascii="Arial" w:cs="Arial" w:eastAsia="Arial" w:hAnsi="Arial"/>
                <w:sz w:val="14"/>
                <w:szCs w:val="14"/>
                <w:color w:val="auto"/>
              </w:rPr>
              <w:t>Mortgage</w:t>
            </w:r>
          </w:p>
        </w:tc>
        <w:tc>
          <w:tcPr>
            <w:tcW w:w="980" w:type="dxa"/>
            <w:vAlign w:val="bottom"/>
          </w:tcPr>
          <w:p>
            <w:pPr>
              <w:jc w:val="right"/>
              <w:ind w:right="10"/>
              <w:spacing w:after="0"/>
              <w:rPr>
                <w:sz w:val="20"/>
                <w:szCs w:val="20"/>
                <w:color w:val="auto"/>
              </w:rPr>
            </w:pPr>
            <w:r>
              <w:rPr>
                <w:rFonts w:ascii="Arial" w:cs="Arial" w:eastAsia="Arial" w:hAnsi="Arial"/>
                <w:sz w:val="14"/>
                <w:szCs w:val="14"/>
                <w:color w:val="auto"/>
              </w:rPr>
              <w:t>Eliminations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70"/>
              <w:spacing w:after="0"/>
              <w:rPr>
                <w:sz w:val="20"/>
                <w:szCs w:val="20"/>
                <w:color w:val="auto"/>
              </w:rPr>
            </w:pPr>
            <w:r>
              <w:rPr>
                <w:rFonts w:ascii="Arial" w:cs="Arial" w:eastAsia="Arial" w:hAnsi="Arial"/>
                <w:sz w:val="14"/>
                <w:szCs w:val="14"/>
                <w:color w:val="auto"/>
              </w:rPr>
              <w:t>Consolidated</w:t>
            </w:r>
          </w:p>
        </w:tc>
      </w:tr>
      <w:tr>
        <w:trPr>
          <w:trHeight w:val="167"/>
        </w:trPr>
        <w:tc>
          <w:tcPr>
            <w:tcW w:w="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For the Three Months Ended</w:t>
            </w:r>
          </w:p>
        </w:tc>
        <w:tc>
          <w:tcPr>
            <w:tcW w:w="3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June 30, 2020</w:t>
            </w: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Revenues from external customers</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37,788,593</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5,306,305</w:t>
            </w: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75,566,844</w:t>
            </w: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118,661,742</w:t>
            </w:r>
          </w:p>
        </w:tc>
      </w:tr>
      <w:tr>
        <w:trPr>
          <w:trHeight w:val="185"/>
        </w:trPr>
        <w:tc>
          <w:tcPr>
            <w:tcW w:w="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Intersegment revenues</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1,816,185</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89,799</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190,701</w:t>
            </w:r>
          </w:p>
        </w:tc>
        <w:tc>
          <w:tcPr>
            <w:tcW w:w="2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(2,096,685)</w:t>
            </w: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profit before income taxes</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3,670,369</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1,548,452</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21,974,935</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27,193,756</w:t>
            </w:r>
          </w:p>
        </w:tc>
      </w:tr>
      <w:tr>
        <w:trPr>
          <w:trHeight w:val="17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85"/>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 the Three Months Ended</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72"/>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2019</w:t>
            </w: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Revenues from external customers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28,607,056</w:t>
            </w:r>
          </w:p>
        </w:tc>
        <w:tc>
          <w:tcPr>
            <w:tcW w:w="2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4,543,007</w:t>
            </w:r>
          </w:p>
        </w:tc>
        <w:tc>
          <w:tcPr>
            <w:tcW w:w="2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35,295,119</w:t>
            </w:r>
          </w:p>
        </w:tc>
        <w:tc>
          <w:tcPr>
            <w:tcW w:w="260" w:type="dxa"/>
            <w:vAlign w:val="bottom"/>
          </w:tcPr>
          <w:p>
            <w:pPr>
              <w:spacing w:after="0"/>
              <w:rPr>
                <w:sz w:val="17"/>
                <w:szCs w:val="17"/>
                <w:color w:val="auto"/>
              </w:rPr>
            </w:pPr>
          </w:p>
        </w:tc>
        <w:tc>
          <w:tcPr>
            <w:tcW w:w="98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68,445,182</w:t>
            </w:r>
          </w:p>
        </w:tc>
      </w:tr>
      <w:tr>
        <w:trPr>
          <w:trHeight w:val="185"/>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Intersegment revenues</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1,080,347</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113,622</w:t>
            </w: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124,921</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(1,318,890)</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20" w:type="dxa"/>
            <w:vAlign w:val="bottom"/>
          </w:tcPr>
          <w:p>
            <w:pPr>
              <w:spacing w:after="0"/>
              <w:rPr>
                <w:sz w:val="14"/>
                <w:szCs w:val="14"/>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Segment profit before income taxes</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1,219,001</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1,023,782</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2,381,060</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4,623,843</w:t>
            </w:r>
          </w:p>
        </w:tc>
      </w:tr>
      <w:tr>
        <w:trPr>
          <w:trHeight w:val="172"/>
        </w:trPr>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For the Six Months Ended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2"/>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2020</w:t>
            </w: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Revenues from external customers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70,994,355</w:t>
            </w:r>
          </w:p>
        </w:tc>
        <w:tc>
          <w:tcPr>
            <w:tcW w:w="2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9,320,001</w:t>
            </w: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89"/>
              </w:rPr>
              <w:t>117,956,335</w:t>
            </w:r>
          </w:p>
        </w:tc>
        <w:tc>
          <w:tcPr>
            <w:tcW w:w="260" w:type="dxa"/>
            <w:vAlign w:val="bottom"/>
          </w:tcPr>
          <w:p>
            <w:pPr>
              <w:spacing w:after="0"/>
              <w:rPr>
                <w:sz w:val="15"/>
                <w:szCs w:val="15"/>
                <w:color w:val="auto"/>
              </w:rPr>
            </w:pPr>
          </w:p>
        </w:tc>
        <w:tc>
          <w:tcPr>
            <w:tcW w:w="98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198,270,691</w:t>
            </w:r>
          </w:p>
        </w:tc>
      </w:tr>
      <w:tr>
        <w:trPr>
          <w:trHeight w:val="185"/>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Intersegment revenues</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2,724,353</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193,313</w:t>
            </w: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391,033</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(3,308,699)</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Segment profit before income taxes</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601,202</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1,653,253</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26,413,535</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28,667,990</w:t>
            </w:r>
          </w:p>
        </w:tc>
      </w:tr>
      <w:tr>
        <w:trPr>
          <w:trHeight w:val="172"/>
        </w:trPr>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Identifiable Assets</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1,206,815,231</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75,048,428</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9"/>
              </w:rPr>
              <w:t>346,286,603</w:t>
            </w:r>
          </w:p>
        </w:tc>
        <w:tc>
          <w:tcPr>
            <w:tcW w:w="2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(110,608,108)</w:t>
            </w:r>
          </w:p>
        </w:tc>
        <w:tc>
          <w:tcPr>
            <w:tcW w:w="2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1,517,542,154</w:t>
            </w:r>
          </w:p>
        </w:tc>
      </w:tr>
      <w:tr>
        <w:trPr>
          <w:trHeight w:val="185"/>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2,765,570</w:t>
            </w:r>
          </w:p>
        </w:tc>
        <w:tc>
          <w:tcPr>
            <w:tcW w:w="24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754,018</w:t>
            </w:r>
          </w:p>
        </w:tc>
        <w:tc>
          <w:tcPr>
            <w:tcW w:w="2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3,519,588</w:t>
            </w:r>
          </w:p>
        </w:tc>
      </w:tr>
      <w:tr>
        <w:trPr>
          <w:trHeight w:val="205"/>
        </w:trPr>
        <w:tc>
          <w:tcPr>
            <w:tcW w:w="2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Assets</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1,209,580,801</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75,802,446</w:t>
            </w:r>
          </w:p>
        </w:tc>
        <w:tc>
          <w:tcPr>
            <w:tcW w:w="2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346,286,603</w:t>
            </w:r>
          </w:p>
        </w:tc>
        <w:tc>
          <w:tcPr>
            <w:tcW w:w="2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(110,608,108)</w:t>
            </w:r>
          </w:p>
        </w:tc>
        <w:tc>
          <w:tcPr>
            <w:tcW w:w="2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1,521,061,742</w:t>
            </w:r>
          </w:p>
        </w:tc>
      </w:tr>
      <w:tr>
        <w:trPr>
          <w:trHeight w:val="151"/>
        </w:trPr>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85"/>
        </w:trPr>
        <w:tc>
          <w:tcPr>
            <w:tcW w:w="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For the Six Months Ended</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72"/>
        </w:trPr>
        <w:tc>
          <w:tcPr>
            <w:tcW w:w="2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June 30, 2019</w:t>
            </w: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Revenues from external customers</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59,112,424</w:t>
            </w:r>
          </w:p>
        </w:tc>
        <w:tc>
          <w:tcPr>
            <w:tcW w:w="2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8,902,292</w:t>
            </w:r>
          </w:p>
        </w:tc>
        <w:tc>
          <w:tcPr>
            <w:tcW w:w="2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w w:val="99"/>
              </w:rPr>
              <w:t>61,924,301</w:t>
            </w:r>
          </w:p>
        </w:tc>
        <w:tc>
          <w:tcPr>
            <w:tcW w:w="260" w:type="dxa"/>
            <w:vAlign w:val="bottom"/>
          </w:tcPr>
          <w:p>
            <w:pPr>
              <w:spacing w:after="0"/>
              <w:rPr>
                <w:sz w:val="16"/>
                <w:szCs w:val="16"/>
                <w:color w:val="auto"/>
              </w:rPr>
            </w:pPr>
          </w:p>
        </w:tc>
        <w:tc>
          <w:tcPr>
            <w:tcW w:w="98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2"/>
              </w:rPr>
              <w:t>129,939,017</w:t>
            </w:r>
          </w:p>
        </w:tc>
      </w:tr>
      <w:tr>
        <w:trPr>
          <w:trHeight w:val="185"/>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Intersegment revenues</w:t>
            </w:r>
          </w:p>
        </w:tc>
        <w:tc>
          <w:tcPr>
            <w:tcW w:w="3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1,975,719</w:t>
            </w: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230,273</w:t>
            </w: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251,279</w:t>
            </w:r>
          </w:p>
        </w:tc>
        <w:tc>
          <w:tcPr>
            <w:tcW w:w="2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(2,457,271)</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Segment profit before income taxes</w:t>
            </w: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3,304,342</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2,208,647</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1,543,013</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7,056,002</w:t>
            </w:r>
          </w:p>
        </w:tc>
      </w:tr>
      <w:tr>
        <w:trPr>
          <w:trHeight w:val="172"/>
        </w:trPr>
        <w:tc>
          <w:tcPr>
            <w:tcW w:w="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spacing w:after="0"/>
              <w:rPr>
                <w:sz w:val="14"/>
                <w:szCs w:val="14"/>
                <w:color w:val="auto"/>
              </w:rPr>
            </w:pPr>
          </w:p>
        </w:tc>
      </w:tr>
      <w:tr>
        <w:trPr>
          <w:trHeight w:val="185"/>
        </w:trPr>
        <w:tc>
          <w:tcPr>
            <w:tcW w:w="20" w:type="dxa"/>
            <w:vAlign w:val="bottom"/>
          </w:tcPr>
          <w:p>
            <w:pPr>
              <w:spacing w:after="0"/>
              <w:rPr>
                <w:sz w:val="16"/>
                <w:szCs w:val="16"/>
                <w:color w:val="auto"/>
              </w:rPr>
            </w:pPr>
          </w:p>
        </w:tc>
        <w:tc>
          <w:tcPr>
            <w:tcW w:w="3020" w:type="dxa"/>
            <w:vAlign w:val="bottom"/>
            <w:gridSpan w:val="2"/>
          </w:tcPr>
          <w:p>
            <w:pPr>
              <w:spacing w:after="0"/>
              <w:rPr>
                <w:sz w:val="20"/>
                <w:szCs w:val="20"/>
                <w:color w:val="auto"/>
              </w:rPr>
            </w:pPr>
            <w:r>
              <w:rPr>
                <w:rFonts w:ascii="Arial" w:cs="Arial" w:eastAsia="Arial" w:hAnsi="Arial"/>
                <w:sz w:val="14"/>
                <w:szCs w:val="14"/>
                <w:color w:val="auto"/>
              </w:rPr>
              <w:t>Identifiable Assets</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9"/>
              </w:rPr>
              <w:t>929,442,236</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87,450,987</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89"/>
              </w:rPr>
              <w:t>202,723,000</w:t>
            </w:r>
          </w:p>
        </w:tc>
        <w:tc>
          <w:tcPr>
            <w:tcW w:w="2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(116,673,063)</w:t>
            </w:r>
          </w:p>
        </w:tc>
        <w:tc>
          <w:tcPr>
            <w:tcW w:w="280" w:type="dxa"/>
            <w:vAlign w:val="bottom"/>
          </w:tcPr>
          <w:p>
            <w:pPr>
              <w:spacing w:after="0"/>
              <w:rPr>
                <w:sz w:val="16"/>
                <w:szCs w:val="16"/>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1,102,943,160</w:t>
            </w:r>
          </w:p>
        </w:tc>
      </w:tr>
      <w:tr>
        <w:trPr>
          <w:trHeight w:val="185"/>
        </w:trPr>
        <w:tc>
          <w:tcPr>
            <w:tcW w:w="20" w:type="dxa"/>
            <w:vAlign w:val="bottom"/>
            <w:shd w:val="clear" w:color="auto" w:fill="CCEEFF"/>
          </w:tcPr>
          <w:p>
            <w:pPr>
              <w:spacing w:after="0"/>
              <w:rPr>
                <w:sz w:val="16"/>
                <w:szCs w:val="16"/>
                <w:color w:val="auto"/>
              </w:rPr>
            </w:pPr>
          </w:p>
        </w:tc>
        <w:tc>
          <w:tcPr>
            <w:tcW w:w="30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Goodwill</w:t>
            </w:r>
          </w:p>
        </w:tc>
        <w:tc>
          <w:tcPr>
            <w:tcW w:w="3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2,765,570</w:t>
            </w:r>
          </w:p>
        </w:tc>
        <w:tc>
          <w:tcPr>
            <w:tcW w:w="24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754,018</w:t>
            </w:r>
          </w:p>
        </w:tc>
        <w:tc>
          <w:tcPr>
            <w:tcW w:w="2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3,519,588</w:t>
            </w:r>
          </w:p>
        </w:tc>
      </w:tr>
      <w:tr>
        <w:trPr>
          <w:trHeight w:val="205"/>
        </w:trPr>
        <w:tc>
          <w:tcPr>
            <w:tcW w:w="20" w:type="dxa"/>
            <w:vAlign w:val="bottom"/>
            <w:tcBorders>
              <w:bottom w:val="single" w:sz="8" w:color="CCEEFF"/>
            </w:tcBorders>
          </w:tcPr>
          <w:p>
            <w:pPr>
              <w:spacing w:after="0"/>
              <w:rPr>
                <w:sz w:val="17"/>
                <w:szCs w:val="17"/>
                <w:color w:val="auto"/>
              </w:rPr>
            </w:pPr>
          </w:p>
        </w:tc>
        <w:tc>
          <w:tcPr>
            <w:tcW w:w="30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932,207,806</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88,205,005</w:t>
            </w:r>
          </w:p>
        </w:tc>
        <w:tc>
          <w:tcPr>
            <w:tcW w:w="2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202,723,000</w:t>
            </w:r>
          </w:p>
        </w:tc>
        <w:tc>
          <w:tcPr>
            <w:tcW w:w="26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(116,673,063)</w:t>
            </w:r>
          </w:p>
        </w:tc>
        <w:tc>
          <w:tcPr>
            <w:tcW w:w="2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1,106,462,748</w:t>
            </w:r>
          </w:p>
        </w:tc>
      </w:tr>
      <w:tr>
        <w:trPr>
          <w:trHeight w:val="151"/>
        </w:trPr>
        <w:tc>
          <w:tcPr>
            <w:tcW w:w="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bl>
    <w:p>
      <w:pPr>
        <w:spacing w:after="0" w:line="221" w:lineRule="exact"/>
        <w:rPr>
          <w:sz w:val="20"/>
          <w:szCs w:val="20"/>
          <w:color w:val="auto"/>
        </w:rPr>
      </w:pPr>
    </w:p>
    <w:p>
      <w:pPr>
        <w:ind w:left="4343"/>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903"/>
          </w:cols>
          <w:pgMar w:left="1197" w:top="122" w:right="799" w:bottom="1440" w:gutter="0" w:footer="0" w:header="0"/>
        </w:sectPr>
      </w:pPr>
    </w:p>
    <w:bookmarkStart w:id="31" w:name="page32"/>
    <w:bookmarkEnd w:id="31"/>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210" w:lineRule="exact"/>
        <w:rPr>
          <w:sz w:val="20"/>
          <w:szCs w:val="20"/>
          <w:color w:val="auto"/>
        </w:rPr>
      </w:pPr>
    </w:p>
    <w:p>
      <w:pPr>
        <w:ind w:left="483" w:hanging="483"/>
        <w:spacing w:after="0"/>
        <w:tabs>
          <w:tab w:leader="none" w:pos="483"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p>
    <w:p>
      <w:pPr>
        <w:spacing w:after="0" w:line="230" w:lineRule="exact"/>
        <w:rPr>
          <w:sz w:val="20"/>
          <w:szCs w:val="20"/>
          <w:color w:val="auto"/>
        </w:rPr>
      </w:pPr>
    </w:p>
    <w:p>
      <w:pPr>
        <w:jc w:val="both"/>
        <w:ind w:left="3" w:right="399"/>
        <w:spacing w:after="0" w:line="252" w:lineRule="auto"/>
        <w:rPr>
          <w:sz w:val="20"/>
          <w:szCs w:val="20"/>
          <w:color w:val="auto"/>
        </w:rPr>
      </w:pPr>
      <w:r>
        <w:rPr>
          <w:rFonts w:ascii="Arial" w:cs="Arial" w:eastAsia="Arial" w:hAnsi="Arial"/>
          <w:sz w:val="19"/>
          <w:szCs w:val="19"/>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95" w:lineRule="exact"/>
        <w:rPr>
          <w:sz w:val="20"/>
          <w:szCs w:val="20"/>
          <w:color w:val="auto"/>
        </w:rPr>
      </w:pPr>
    </w:p>
    <w:p>
      <w:pPr>
        <w:jc w:val="both"/>
        <w:ind w:left="3" w:right="399"/>
        <w:spacing w:after="0" w:line="277" w:lineRule="auto"/>
        <w:rPr>
          <w:sz w:val="20"/>
          <w:szCs w:val="20"/>
          <w:color w:val="auto"/>
        </w:rPr>
      </w:pPr>
      <w:r>
        <w:rPr>
          <w:rFonts w:ascii="Arial" w:cs="Arial" w:eastAsia="Arial" w:hAnsi="Arial"/>
          <w:sz w:val="19"/>
          <w:szCs w:val="19"/>
          <w:i w:val="1"/>
          <w:iCs w:val="1"/>
          <w:color w:val="auto"/>
        </w:rPr>
        <w:t xml:space="preserve">Level 1: </w:t>
      </w:r>
      <w:r>
        <w:rPr>
          <w:rFonts w:ascii="Arial" w:cs="Arial" w:eastAsia="Arial" w:hAnsi="Arial"/>
          <w:sz w:val="19"/>
          <w:szCs w:val="19"/>
          <w:color w:val="auto"/>
        </w:rPr>
        <w:t>Financial assets and financial liabilities whose values are based on unadjusted quoted prices for identical</w:t>
      </w:r>
      <w:r>
        <w:rPr>
          <w:rFonts w:ascii="Arial" w:cs="Arial" w:eastAsia="Arial" w:hAnsi="Arial"/>
          <w:sz w:val="19"/>
          <w:szCs w:val="19"/>
          <w:i w:val="1"/>
          <w:iCs w:val="1"/>
          <w:color w:val="auto"/>
        </w:rPr>
        <w:t xml:space="preserve"> </w:t>
      </w:r>
      <w:r>
        <w:rPr>
          <w:rFonts w:ascii="Arial" w:cs="Arial" w:eastAsia="Arial" w:hAnsi="Arial"/>
          <w:sz w:val="19"/>
          <w:szCs w:val="19"/>
          <w:color w:val="auto"/>
        </w:rPr>
        <w:t>assets or liabilities in an active market that the Company can access.</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9"/>
          <w:szCs w:val="19"/>
          <w:i w:val="1"/>
          <w:iCs w:val="1"/>
          <w:color w:val="auto"/>
        </w:rPr>
        <w:t xml:space="preserve">Level 2: </w:t>
      </w:r>
      <w:r>
        <w:rPr>
          <w:rFonts w:ascii="Arial" w:cs="Arial" w:eastAsia="Arial" w:hAnsi="Arial"/>
          <w:sz w:val="19"/>
          <w:szCs w:val="19"/>
          <w:color w:val="auto"/>
        </w:rPr>
        <w:t>Financial assets and financial liabilities whose values are based on the following:</w:t>
      </w:r>
    </w:p>
    <w:p>
      <w:pPr>
        <w:spacing w:after="0" w:line="22" w:lineRule="exact"/>
        <w:rPr>
          <w:sz w:val="20"/>
          <w:szCs w:val="20"/>
          <w:color w:val="auto"/>
        </w:rPr>
      </w:pPr>
    </w:p>
    <w:p>
      <w:pPr>
        <w:ind w:left="943" w:hanging="203"/>
        <w:spacing w:after="0"/>
        <w:tabs>
          <w:tab w:leader="none" w:pos="943" w:val="left"/>
        </w:tabs>
        <w:numPr>
          <w:ilvl w:val="0"/>
          <w:numId w:val="36"/>
        </w:numPr>
        <w:rPr>
          <w:rFonts w:ascii="Arial" w:cs="Arial" w:eastAsia="Arial" w:hAnsi="Arial"/>
          <w:sz w:val="19"/>
          <w:szCs w:val="19"/>
          <w:color w:val="auto"/>
        </w:rPr>
      </w:pPr>
      <w:r>
        <w:rPr>
          <w:rFonts w:ascii="Arial" w:cs="Arial" w:eastAsia="Arial" w:hAnsi="Arial"/>
          <w:sz w:val="19"/>
          <w:szCs w:val="19"/>
          <w:color w:val="auto"/>
        </w:rPr>
        <w:t>Quoted prices for similar assets or liabilities in active markets;</w:t>
      </w:r>
    </w:p>
    <w:p>
      <w:pPr>
        <w:spacing w:after="0" w:line="5" w:lineRule="exact"/>
        <w:rPr>
          <w:rFonts w:ascii="Arial" w:cs="Arial" w:eastAsia="Arial" w:hAnsi="Arial"/>
          <w:sz w:val="19"/>
          <w:szCs w:val="19"/>
          <w:color w:val="auto"/>
        </w:rPr>
      </w:pPr>
    </w:p>
    <w:p>
      <w:pPr>
        <w:ind w:left="943" w:hanging="203"/>
        <w:spacing w:after="0"/>
        <w:tabs>
          <w:tab w:leader="none" w:pos="943" w:val="left"/>
        </w:tabs>
        <w:numPr>
          <w:ilvl w:val="0"/>
          <w:numId w:val="36"/>
        </w:numPr>
        <w:rPr>
          <w:rFonts w:ascii="Arial" w:cs="Arial" w:eastAsia="Arial" w:hAnsi="Arial"/>
          <w:sz w:val="19"/>
          <w:szCs w:val="19"/>
          <w:color w:val="auto"/>
        </w:rPr>
      </w:pPr>
      <w:r>
        <w:rPr>
          <w:rFonts w:ascii="Arial" w:cs="Arial" w:eastAsia="Arial" w:hAnsi="Arial"/>
          <w:sz w:val="19"/>
          <w:szCs w:val="19"/>
          <w:color w:val="auto"/>
        </w:rPr>
        <w:t>Quoted prices for identical or similar assets or liabilities in non-active markets; or</w:t>
      </w:r>
    </w:p>
    <w:p>
      <w:pPr>
        <w:spacing w:after="0" w:line="5" w:lineRule="exact"/>
        <w:rPr>
          <w:rFonts w:ascii="Arial" w:cs="Arial" w:eastAsia="Arial" w:hAnsi="Arial"/>
          <w:sz w:val="19"/>
          <w:szCs w:val="19"/>
          <w:color w:val="auto"/>
        </w:rPr>
      </w:pPr>
    </w:p>
    <w:p>
      <w:pPr>
        <w:ind w:left="943" w:right="399" w:hanging="203"/>
        <w:spacing w:after="0" w:line="259" w:lineRule="auto"/>
        <w:tabs>
          <w:tab w:leader="none" w:pos="943" w:val="left"/>
        </w:tabs>
        <w:numPr>
          <w:ilvl w:val="0"/>
          <w:numId w:val="36"/>
        </w:numPr>
        <w:rPr>
          <w:rFonts w:ascii="Arial" w:cs="Arial" w:eastAsia="Arial" w:hAnsi="Arial"/>
          <w:sz w:val="19"/>
          <w:szCs w:val="19"/>
          <w:color w:val="auto"/>
        </w:rPr>
      </w:pPr>
      <w:r>
        <w:rPr>
          <w:rFonts w:ascii="Arial" w:cs="Arial" w:eastAsia="Arial" w:hAnsi="Arial"/>
          <w:sz w:val="19"/>
          <w:szCs w:val="19"/>
          <w:color w:val="auto"/>
        </w:rPr>
        <w:t>Valuation models whose inputs are observable, directly or indirectly, for substantially the full term of the asset or liability.</w:t>
      </w:r>
    </w:p>
    <w:p>
      <w:pPr>
        <w:spacing w:after="0" w:line="186" w:lineRule="exact"/>
        <w:rPr>
          <w:sz w:val="20"/>
          <w:szCs w:val="20"/>
          <w:color w:val="auto"/>
        </w:rPr>
      </w:pPr>
    </w:p>
    <w:p>
      <w:pPr>
        <w:jc w:val="both"/>
        <w:ind w:left="3" w:right="379"/>
        <w:spacing w:after="0" w:line="256" w:lineRule="auto"/>
        <w:rPr>
          <w:sz w:val="20"/>
          <w:szCs w:val="20"/>
          <w:color w:val="auto"/>
        </w:rPr>
      </w:pPr>
      <w:r>
        <w:rPr>
          <w:rFonts w:ascii="Arial" w:cs="Arial" w:eastAsia="Arial" w:hAnsi="Arial"/>
          <w:sz w:val="19"/>
          <w:szCs w:val="19"/>
          <w:i w:val="1"/>
          <w:iCs w:val="1"/>
          <w:color w:val="auto"/>
        </w:rPr>
        <w:t xml:space="preserve">Level 3: </w:t>
      </w:r>
      <w:r>
        <w:rPr>
          <w:rFonts w:ascii="Arial" w:cs="Arial" w:eastAsia="Arial" w:hAnsi="Arial"/>
          <w:sz w:val="19"/>
          <w:szCs w:val="19"/>
          <w:color w:val="auto"/>
        </w:rPr>
        <w:t>Financial assets and financial liabilities whose values are based on prices or valuation techniques that</w:t>
      </w:r>
      <w:r>
        <w:rPr>
          <w:rFonts w:ascii="Arial" w:cs="Arial" w:eastAsia="Arial" w:hAnsi="Arial"/>
          <w:sz w:val="19"/>
          <w:szCs w:val="19"/>
          <w:i w:val="1"/>
          <w:iCs w:val="1"/>
          <w:color w:val="auto"/>
        </w:rPr>
        <w:t xml:space="preserve"> </w:t>
      </w:r>
      <w:r>
        <w:rPr>
          <w:rFonts w:ascii="Arial" w:cs="Arial" w:eastAsia="Arial" w:hAnsi="Arial"/>
          <w:sz w:val="19"/>
          <w:szCs w:val="19"/>
          <w:color w:val="auto"/>
        </w:rPr>
        <w:t>require inputs that are both unobservable and significant to the overall fair value measurement. These inputs may reflect the Company’s estimates of the assumptions that market participants would use in valuing the financial assets and financial liabilities.</w:t>
      </w:r>
    </w:p>
    <w:p>
      <w:pPr>
        <w:spacing w:after="0" w:line="190" w:lineRule="exact"/>
        <w:rPr>
          <w:sz w:val="20"/>
          <w:szCs w:val="20"/>
          <w:color w:val="auto"/>
        </w:rPr>
      </w:pPr>
    </w:p>
    <w:p>
      <w:pPr>
        <w:jc w:val="both"/>
        <w:ind w:left="3" w:right="399"/>
        <w:spacing w:after="0" w:line="277" w:lineRule="auto"/>
        <w:rPr>
          <w:sz w:val="20"/>
          <w:szCs w:val="20"/>
          <w:color w:val="auto"/>
        </w:rPr>
      </w:pPr>
      <w:r>
        <w:rPr>
          <w:rFonts w:ascii="Arial" w:cs="Arial" w:eastAsia="Arial" w:hAnsi="Arial"/>
          <w:sz w:val="19"/>
          <w:szCs w:val="19"/>
          <w:color w:val="auto"/>
        </w:rPr>
        <w:t>The Company utilizes a combination of third-party valuation service providers, brokers, and internal valuation models to determine fair value.</w:t>
      </w:r>
    </w:p>
    <w:p>
      <w:pPr>
        <w:spacing w:after="0" w:line="169" w:lineRule="exact"/>
        <w:rPr>
          <w:sz w:val="20"/>
          <w:szCs w:val="20"/>
          <w:color w:val="auto"/>
        </w:rPr>
      </w:pPr>
    </w:p>
    <w:p>
      <w:pPr>
        <w:jc w:val="both"/>
        <w:ind w:left="3" w:right="399"/>
        <w:spacing w:after="0" w:line="277" w:lineRule="auto"/>
        <w:rPr>
          <w:sz w:val="20"/>
          <w:szCs w:val="20"/>
          <w:color w:val="auto"/>
        </w:rPr>
      </w:pPr>
      <w:r>
        <w:rPr>
          <w:rFonts w:ascii="Arial" w:cs="Arial" w:eastAsia="Arial" w:hAnsi="Arial"/>
          <w:sz w:val="19"/>
          <w:szCs w:val="19"/>
          <w:color w:val="auto"/>
        </w:rPr>
        <w:t>The following methods and assumptions were used by the Company in estimating the fair value disclosures related to significant financial instruments.</w:t>
      </w:r>
    </w:p>
    <w:p>
      <w:pPr>
        <w:spacing w:after="0" w:line="169" w:lineRule="exact"/>
        <w:rPr>
          <w:sz w:val="20"/>
          <w:szCs w:val="20"/>
          <w:color w:val="auto"/>
        </w:rPr>
      </w:pPr>
    </w:p>
    <w:p>
      <w:pPr>
        <w:ind w:left="3"/>
        <w:spacing w:after="0"/>
        <w:rPr>
          <w:sz w:val="20"/>
          <w:szCs w:val="20"/>
          <w:color w:val="auto"/>
        </w:rPr>
      </w:pPr>
      <w:r>
        <w:rPr>
          <w:rFonts w:ascii="Arial" w:cs="Arial" w:eastAsia="Arial" w:hAnsi="Arial"/>
          <w:sz w:val="19"/>
          <w:szCs w:val="19"/>
          <w:color w:val="auto"/>
        </w:rPr>
        <w:t>The items shown under Level 1 and Level 2 are valued as follows:</w:t>
      </w:r>
    </w:p>
    <w:p>
      <w:pPr>
        <w:spacing w:after="0" w:line="230" w:lineRule="exact"/>
        <w:rPr>
          <w:sz w:val="20"/>
          <w:szCs w:val="20"/>
          <w:color w:val="auto"/>
        </w:rPr>
      </w:pPr>
    </w:p>
    <w:p>
      <w:pPr>
        <w:jc w:val="both"/>
        <w:ind w:left="3" w:right="379"/>
        <w:spacing w:after="0" w:line="254" w:lineRule="auto"/>
        <w:rPr>
          <w:sz w:val="20"/>
          <w:szCs w:val="20"/>
          <w:color w:val="auto"/>
        </w:rPr>
      </w:pPr>
      <w:r>
        <w:rPr>
          <w:rFonts w:ascii="Arial" w:cs="Arial" w:eastAsia="Arial" w:hAnsi="Arial"/>
          <w:sz w:val="19"/>
          <w:szCs w:val="19"/>
          <w:i w:val="1"/>
          <w:iCs w:val="1"/>
          <w:u w:val="single" w:color="auto"/>
          <w:color w:val="auto"/>
        </w:rPr>
        <w:t>Fixed Maturity Securities Available for Sale</w:t>
      </w:r>
      <w:r>
        <w:rPr>
          <w:rFonts w:ascii="Arial" w:cs="Arial" w:eastAsia="Arial" w:hAnsi="Arial"/>
          <w:sz w:val="19"/>
          <w:szCs w:val="19"/>
          <w:i w:val="1"/>
          <w:iCs w:val="1"/>
          <w:color w:val="auto"/>
        </w:rPr>
        <w:t xml:space="preserve">: </w:t>
      </w:r>
      <w:r>
        <w:rPr>
          <w:rFonts w:ascii="Arial" w:cs="Arial" w:eastAsia="Arial" w:hAnsi="Arial"/>
          <w:sz w:val="19"/>
          <w:szCs w:val="19"/>
          <w:color w:val="auto"/>
        </w:rPr>
        <w:t>The fair values of fixed maturity securities are based on quoted</w:t>
      </w:r>
      <w:r>
        <w:rPr>
          <w:rFonts w:ascii="Arial" w:cs="Arial" w:eastAsia="Arial" w:hAnsi="Arial"/>
          <w:sz w:val="19"/>
          <w:szCs w:val="19"/>
          <w:i w:val="1"/>
          <w:iCs w:val="1"/>
          <w:color w:val="auto"/>
        </w:rPr>
        <w:t xml:space="preserve"> </w:t>
      </w:r>
      <w:r>
        <w:rPr>
          <w:rFonts w:ascii="Arial" w:cs="Arial" w:eastAsia="Arial" w:hAnsi="Arial"/>
          <w:sz w:val="19"/>
          <w:szCs w:val="19"/>
          <w:color w:val="auto"/>
        </w:rPr>
        <w:t>market prices, when available. For fixed maturity securities not actively traded, fair values are estimated using values obtained from independent pricing services, or in the case of private placements (considered Level 3 investments), are estimated by discounting expected future cash flows using a current market value applicable to the coupon rate, credit and maturity of the investments.</w:t>
      </w:r>
    </w:p>
    <w:p>
      <w:pPr>
        <w:spacing w:after="0" w:line="191" w:lineRule="exact"/>
        <w:rPr>
          <w:sz w:val="20"/>
          <w:szCs w:val="20"/>
          <w:color w:val="auto"/>
        </w:rPr>
      </w:pPr>
    </w:p>
    <w:p>
      <w:pPr>
        <w:ind w:left="3"/>
        <w:spacing w:after="0"/>
        <w:rPr>
          <w:sz w:val="20"/>
          <w:szCs w:val="20"/>
          <w:color w:val="auto"/>
        </w:rPr>
      </w:pPr>
      <w:r>
        <w:rPr>
          <w:rFonts w:ascii="Arial" w:cs="Arial" w:eastAsia="Arial" w:hAnsi="Arial"/>
          <w:sz w:val="19"/>
          <w:szCs w:val="19"/>
          <w:i w:val="1"/>
          <w:iCs w:val="1"/>
          <w:u w:val="single" w:color="auto"/>
          <w:color w:val="auto"/>
        </w:rPr>
        <w:t>Equity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The fair values for equity securities are based on quoted market prices.</w:t>
      </w:r>
    </w:p>
    <w:p>
      <w:pPr>
        <w:spacing w:after="0" w:line="230"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i w:val="1"/>
          <w:iCs w:val="1"/>
          <w:u w:val="single" w:color="auto"/>
          <w:color w:val="auto"/>
        </w:rPr>
        <w:t>Loans Held for Sale</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elected the fair value option for loans held for sale. The fair value is based on</w:t>
      </w:r>
      <w:r>
        <w:rPr>
          <w:rFonts w:ascii="Arial" w:cs="Arial" w:eastAsia="Arial" w:hAnsi="Arial"/>
          <w:sz w:val="19"/>
          <w:szCs w:val="19"/>
          <w:i w:val="1"/>
          <w:iCs w:val="1"/>
          <w:color w:val="auto"/>
        </w:rPr>
        <w:t xml:space="preserve"> </w:t>
      </w:r>
      <w:r>
        <w:rPr>
          <w:rFonts w:ascii="Arial" w:cs="Arial" w:eastAsia="Arial" w:hAnsi="Arial"/>
          <w:sz w:val="19"/>
          <w:szCs w:val="19"/>
          <w:color w:val="auto"/>
        </w:rPr>
        <w:t>quoted market prices, when available. When a quoted market price is not readily available, the Company uses the market price from its last sale of similar assets.</w:t>
      </w:r>
    </w:p>
    <w:p>
      <w:pPr>
        <w:spacing w:after="0" w:line="185" w:lineRule="exact"/>
        <w:rPr>
          <w:sz w:val="20"/>
          <w:szCs w:val="20"/>
          <w:color w:val="auto"/>
        </w:rPr>
      </w:pPr>
    </w:p>
    <w:p>
      <w:pPr>
        <w:jc w:val="both"/>
        <w:ind w:left="3" w:right="399"/>
        <w:spacing w:after="0" w:line="254" w:lineRule="auto"/>
        <w:rPr>
          <w:sz w:val="20"/>
          <w:szCs w:val="20"/>
          <w:color w:val="auto"/>
        </w:rPr>
      </w:pPr>
      <w:r>
        <w:rPr>
          <w:rFonts w:ascii="Arial" w:cs="Arial" w:eastAsia="Arial" w:hAnsi="Arial"/>
          <w:sz w:val="19"/>
          <w:szCs w:val="19"/>
          <w:i w:val="1"/>
          <w:iCs w:val="1"/>
          <w:u w:val="single" w:color="auto"/>
          <w:color w:val="auto"/>
        </w:rPr>
        <w:t>Restricted Assets</w:t>
      </w:r>
      <w:r>
        <w:rPr>
          <w:rFonts w:ascii="Arial" w:cs="Arial" w:eastAsia="Arial" w:hAnsi="Arial"/>
          <w:sz w:val="19"/>
          <w:szCs w:val="19"/>
          <w:i w:val="1"/>
          <w:iCs w:val="1"/>
          <w:color w:val="auto"/>
        </w:rPr>
        <w:t xml:space="preserve">: </w:t>
      </w:r>
      <w:r>
        <w:rPr>
          <w:rFonts w:ascii="Arial" w:cs="Arial" w:eastAsia="Arial" w:hAnsi="Arial"/>
          <w:sz w:val="19"/>
          <w:szCs w:val="19"/>
          <w:color w:val="auto"/>
        </w:rPr>
        <w:t>A portion of these assets include mutual funds and equity securities and fixed maturity</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that have quoted market prices that are used to determine fair value. 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85" w:lineRule="exact"/>
        <w:rPr>
          <w:sz w:val="20"/>
          <w:szCs w:val="20"/>
          <w:color w:val="auto"/>
        </w:rPr>
      </w:pPr>
    </w:p>
    <w:p>
      <w:pPr>
        <w:jc w:val="both"/>
        <w:ind w:left="3" w:right="399"/>
        <w:spacing w:after="0" w:line="275" w:lineRule="auto"/>
        <w:rPr>
          <w:sz w:val="20"/>
          <w:szCs w:val="20"/>
          <w:color w:val="auto"/>
        </w:rPr>
      </w:pPr>
      <w:r>
        <w:rPr>
          <w:rFonts w:ascii="Arial" w:cs="Arial" w:eastAsia="Arial" w:hAnsi="Arial"/>
          <w:sz w:val="18"/>
          <w:szCs w:val="18"/>
          <w:i w:val="1"/>
          <w:iCs w:val="1"/>
          <w:u w:val="single" w:color="auto"/>
          <w:color w:val="auto"/>
        </w:rPr>
        <w:t>Cemetery Endowment Care Trust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 portion of these assets include equity securities and fixed</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securities that have quoted market prices that are used to determine fair value. Also included are cash and cash equivalents. The carrying amounts reported in the accompanying condensed consolidated balance sheets for these financial instruments approximate their fair values due to their short-term nature.</w:t>
      </w:r>
    </w:p>
    <w:p>
      <w:pPr>
        <w:spacing w:after="0" w:line="68" w:lineRule="exact"/>
        <w:rPr>
          <w:sz w:val="20"/>
          <w:szCs w:val="20"/>
          <w:color w:val="auto"/>
        </w:rPr>
      </w:pPr>
    </w:p>
    <w:p>
      <w:pPr>
        <w:ind w:left="3"/>
        <w:spacing w:after="0"/>
        <w:rPr>
          <w:sz w:val="20"/>
          <w:szCs w:val="20"/>
          <w:color w:val="auto"/>
        </w:rPr>
      </w:pPr>
      <w:r>
        <w:rPr>
          <w:rFonts w:ascii="Arial" w:cs="Arial" w:eastAsia="Arial" w:hAnsi="Arial"/>
          <w:sz w:val="18"/>
          <w:szCs w:val="18"/>
          <w:i w:val="1"/>
          <w:iCs w:val="1"/>
          <w:u w:val="single" w:color="auto"/>
          <w:color w:val="auto"/>
        </w:rPr>
        <w:t>Call and Put Option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call and put options are based on quoted market prices.</w:t>
      </w:r>
    </w:p>
    <w:p>
      <w:pPr>
        <w:sectPr>
          <w:pgSz w:w="11900" w:h="16838" w:orient="portrait"/>
          <w:cols w:equalWidth="0" w:num="1">
            <w:col w:w="9262"/>
          </w:cols>
          <w:pgMar w:left="1197" w:top="121" w:right="1440" w:bottom="1440" w:gutter="0" w:footer="0" w:header="0"/>
        </w:sectPr>
      </w:pPr>
    </w:p>
    <w:p>
      <w:pPr>
        <w:spacing w:after="0" w:line="255" w:lineRule="exact"/>
        <w:rPr>
          <w:sz w:val="20"/>
          <w:szCs w:val="20"/>
          <w:color w:val="auto"/>
        </w:rPr>
      </w:pPr>
    </w:p>
    <w:p>
      <w:pPr>
        <w:jc w:val="center"/>
        <w:ind w:right="376"/>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634355" cy="336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1" w:right="1440" w:bottom="1440" w:gutter="0" w:footer="0" w:header="0"/>
          <w:type w:val="continuous"/>
        </w:sectPr>
      </w:pPr>
    </w:p>
    <w:bookmarkStart w:id="32" w:name="page33"/>
    <w:bookmarkEnd w:id="32"/>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jc w:val="both"/>
        <w:ind w:left="3" w:right="5059" w:hanging="3"/>
        <w:spacing w:after="0" w:line="567" w:lineRule="auto"/>
        <w:tabs>
          <w:tab w:leader="none" w:pos="478"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Fair Value of Financial Instruments</w:t>
      </w:r>
      <w:r>
        <w:rPr>
          <w:rFonts w:ascii="Arial" w:cs="Arial" w:eastAsia="Arial" w:hAnsi="Arial"/>
          <w:sz w:val="17"/>
          <w:szCs w:val="17"/>
          <w:color w:val="auto"/>
        </w:rPr>
        <w:t xml:space="preserve"> (Continued) The items shown under Level 3 are valued as follows:</w:t>
      </w:r>
    </w:p>
    <w:p>
      <w:pPr>
        <w:spacing w:after="0" w:line="1" w:lineRule="exact"/>
        <w:rPr>
          <w:sz w:val="20"/>
          <w:szCs w:val="20"/>
          <w:color w:val="auto"/>
        </w:rPr>
      </w:pPr>
    </w:p>
    <w:p>
      <w:pPr>
        <w:jc w:val="both"/>
        <w:ind w:left="3" w:right="399"/>
        <w:spacing w:after="0" w:line="251" w:lineRule="auto"/>
        <w:rPr>
          <w:sz w:val="20"/>
          <w:szCs w:val="20"/>
          <w:color w:val="auto"/>
        </w:rPr>
      </w:pPr>
      <w:r>
        <w:rPr>
          <w:rFonts w:ascii="Arial" w:cs="Arial" w:eastAsia="Arial" w:hAnsi="Arial"/>
          <w:sz w:val="19"/>
          <w:szCs w:val="19"/>
          <w:i w:val="1"/>
          <w:iCs w:val="1"/>
          <w:u w:val="single" w:color="auto"/>
          <w:color w:val="auto"/>
        </w:rPr>
        <w:t>Loan Commitments and Forward Sale Commitments</w:t>
      </w:r>
      <w:r>
        <w:rPr>
          <w:rFonts w:ascii="Arial" w:cs="Arial" w:eastAsia="Arial" w:hAnsi="Arial"/>
          <w:sz w:val="19"/>
          <w:szCs w:val="19"/>
          <w:color w:val="auto"/>
        </w:rPr>
        <w:t>: The Company’s mortgage segment enters into loan</w:t>
      </w:r>
      <w:r>
        <w:rPr>
          <w:rFonts w:ascii="Arial" w:cs="Arial" w:eastAsia="Arial" w:hAnsi="Arial"/>
          <w:sz w:val="19"/>
          <w:szCs w:val="19"/>
          <w:i w:val="1"/>
          <w:iCs w:val="1"/>
          <w:color w:val="auto"/>
        </w:rPr>
        <w:t xml:space="preserve"> </w:t>
      </w:r>
      <w:r>
        <w:rPr>
          <w:rFonts w:ascii="Arial" w:cs="Arial" w:eastAsia="Arial" w:hAnsi="Arial"/>
          <w:sz w:val="19"/>
          <w:szCs w:val="19"/>
          <w:color w:val="auto"/>
        </w:rPr>
        <w:t>commitments with potential borrowers and forward 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96" w:lineRule="exact"/>
        <w:rPr>
          <w:sz w:val="20"/>
          <w:szCs w:val="20"/>
          <w:color w:val="auto"/>
        </w:rPr>
      </w:pPr>
    </w:p>
    <w:p>
      <w:pPr>
        <w:jc w:val="both"/>
        <w:ind w:left="3" w:right="399"/>
        <w:spacing w:after="0" w:line="250" w:lineRule="auto"/>
        <w:rPr>
          <w:sz w:val="20"/>
          <w:szCs w:val="20"/>
          <w:color w:val="auto"/>
        </w:rPr>
      </w:pPr>
      <w:r>
        <w:rPr>
          <w:rFonts w:ascii="Arial" w:cs="Arial" w:eastAsia="Arial" w:hAnsi="Arial"/>
          <w:sz w:val="19"/>
          <w:szCs w:val="19"/>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00" w:lineRule="exact"/>
        <w:rPr>
          <w:sz w:val="20"/>
          <w:szCs w:val="20"/>
          <w:color w:val="auto"/>
        </w:rPr>
      </w:pPr>
    </w:p>
    <w:p>
      <w:pPr>
        <w:jc w:val="both"/>
        <w:ind w:left="3" w:right="379"/>
        <w:spacing w:after="0" w:line="267" w:lineRule="auto"/>
        <w:rPr>
          <w:sz w:val="20"/>
          <w:szCs w:val="20"/>
          <w:color w:val="auto"/>
        </w:rPr>
      </w:pPr>
      <w:r>
        <w:rPr>
          <w:rFonts w:ascii="Arial" w:cs="Arial" w:eastAsia="Arial" w:hAnsi="Arial"/>
          <w:sz w:val="18"/>
          <w:szCs w:val="18"/>
          <w:i w:val="1"/>
          <w:iCs w:val="1"/>
          <w:u w:val="single" w:color="auto"/>
          <w:color w:val="auto"/>
        </w:rPr>
        <w:t>Impaired Mortgage Loans Held for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believes that the fair value of these nonperforming</w:t>
      </w:r>
      <w:r>
        <w:rPr>
          <w:rFonts w:ascii="Arial" w:cs="Arial" w:eastAsia="Arial" w:hAnsi="Arial"/>
          <w:sz w:val="18"/>
          <w:szCs w:val="18"/>
          <w:i w:val="1"/>
          <w:iCs w:val="1"/>
          <w:color w:val="auto"/>
        </w:rPr>
        <w:t xml:space="preserve"> </w:t>
      </w:r>
      <w:r>
        <w:rPr>
          <w:rFonts w:ascii="Arial" w:cs="Arial" w:eastAsia="Arial" w:hAnsi="Arial"/>
          <w:sz w:val="18"/>
          <w:szCs w:val="18"/>
          <w:color w:val="auto"/>
        </w:rPr>
        <w:t>loans will approximate the unpaid principal 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84" w:lineRule="exact"/>
        <w:rPr>
          <w:sz w:val="20"/>
          <w:szCs w:val="20"/>
          <w:color w:val="auto"/>
        </w:rPr>
      </w:pPr>
    </w:p>
    <w:p>
      <w:pPr>
        <w:jc w:val="both"/>
        <w:ind w:left="3" w:right="379"/>
        <w:spacing w:after="0" w:line="254" w:lineRule="auto"/>
        <w:rPr>
          <w:sz w:val="20"/>
          <w:szCs w:val="20"/>
          <w:color w:val="auto"/>
        </w:rPr>
      </w:pPr>
      <w:r>
        <w:rPr>
          <w:rFonts w:ascii="Arial" w:cs="Arial" w:eastAsia="Arial" w:hAnsi="Arial"/>
          <w:sz w:val="19"/>
          <w:szCs w:val="19"/>
          <w:i w:val="1"/>
          <w:iCs w:val="1"/>
          <w:u w:val="single" w:color="auto"/>
          <w:color w:val="auto"/>
        </w:rPr>
        <w:t>Real Estate Held for Investment</w:t>
      </w:r>
      <w:r>
        <w:rPr>
          <w:rFonts w:ascii="Arial" w:cs="Arial" w:eastAsia="Arial" w:hAnsi="Arial"/>
          <w:sz w:val="19"/>
          <w:szCs w:val="19"/>
          <w:color w:val="auto"/>
        </w:rPr>
        <w:t>: The Company believes that in an orderly market, fair value will approximate the</w:t>
      </w:r>
      <w:r>
        <w:rPr>
          <w:rFonts w:ascii="Arial" w:cs="Arial" w:eastAsia="Arial" w:hAnsi="Arial"/>
          <w:sz w:val="19"/>
          <w:szCs w:val="19"/>
          <w:i w:val="1"/>
          <w:iCs w:val="1"/>
          <w:color w:val="auto"/>
        </w:rPr>
        <w:t xml:space="preserve"> </w:t>
      </w:r>
      <w:r>
        <w:rPr>
          <w:rFonts w:ascii="Arial" w:cs="Arial" w:eastAsia="Arial" w:hAnsi="Arial"/>
          <w:sz w:val="19"/>
          <w:szCs w:val="19"/>
          <w:color w:val="auto"/>
        </w:rPr>
        <w:t>replacement cost of a home and the rental 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191" w:lineRule="exact"/>
        <w:rPr>
          <w:sz w:val="20"/>
          <w:szCs w:val="20"/>
          <w:color w:val="auto"/>
        </w:rPr>
      </w:pPr>
    </w:p>
    <w:p>
      <w:pPr>
        <w:jc w:val="both"/>
        <w:ind w:left="3" w:right="379"/>
        <w:spacing w:after="0" w:line="254" w:lineRule="auto"/>
        <w:rPr>
          <w:sz w:val="20"/>
          <w:szCs w:val="20"/>
          <w:color w:val="auto"/>
        </w:rPr>
      </w:pPr>
      <w:r>
        <w:rPr>
          <w:rFonts w:ascii="Arial" w:cs="Arial" w:eastAsia="Arial" w:hAnsi="Arial"/>
          <w:sz w:val="19"/>
          <w:szCs w:val="19"/>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191"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185"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i w:val="1"/>
          <w:iCs w:val="1"/>
          <w:u w:val="single" w:color="auto"/>
          <w:color w:val="auto"/>
        </w:rPr>
        <w:t>Mortgage Servicing Rights</w:t>
      </w:r>
      <w:r>
        <w:rPr>
          <w:rFonts w:ascii="Arial" w:cs="Arial" w:eastAsia="Arial" w:hAnsi="Arial"/>
          <w:sz w:val="19"/>
          <w:szCs w:val="19"/>
          <w:color w:val="auto"/>
        </w:rPr>
        <w:t>: The Company initially recognizes Mortgage Servicing Rights (“MSRs”) at their</w:t>
      </w:r>
      <w:r>
        <w:rPr>
          <w:rFonts w:ascii="Arial" w:cs="Arial" w:eastAsia="Arial" w:hAnsi="Arial"/>
          <w:sz w:val="19"/>
          <w:szCs w:val="19"/>
          <w:i w:val="1"/>
          <w:iCs w:val="1"/>
          <w:color w:val="auto"/>
        </w:rPr>
        <w:t xml:space="preserve"> </w:t>
      </w:r>
      <w:r>
        <w:rPr>
          <w:rFonts w:ascii="Arial" w:cs="Arial" w:eastAsia="Arial" w:hAnsi="Arial"/>
          <w:sz w:val="19"/>
          <w:szCs w:val="19"/>
          <w:color w:val="auto"/>
        </w:rPr>
        <w:t>estimated fair values derived from the net cash flows associated with the servicing contracts, where the Company assumes the obligation to service the loan in the sale transaction.</w:t>
      </w:r>
    </w:p>
    <w:p>
      <w:pPr>
        <w:spacing w:after="0" w:line="198"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1" w:right="1440" w:bottom="1440" w:gutter="0" w:footer="0" w:header="0"/>
        </w:sectPr>
      </w:pPr>
    </w:p>
    <w:bookmarkStart w:id="33" w:name="page34"/>
    <w:bookmarkEnd w:id="33"/>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00" w:lineRule="exact"/>
        <w:rPr>
          <w:sz w:val="20"/>
          <w:szCs w:val="20"/>
          <w:color w:val="auto"/>
        </w:rPr>
      </w:pPr>
    </w:p>
    <w:p>
      <w:pPr>
        <w:spacing w:after="0" w:line="281" w:lineRule="exact"/>
        <w:rPr>
          <w:sz w:val="20"/>
          <w:szCs w:val="20"/>
          <w:color w:val="auto"/>
        </w:rPr>
      </w:pPr>
    </w:p>
    <w:p>
      <w:pPr>
        <w:ind w:left="3" w:right="379"/>
        <w:spacing w:after="0" w:line="306"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June 30, 2020.</w:t>
      </w:r>
    </w:p>
    <w:p>
      <w:pPr>
        <w:spacing w:after="0" w:line="234"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Quoted Prices in</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80"/>
              <w:spacing w:after="0" w:line="145" w:lineRule="exact"/>
              <w:rPr>
                <w:sz w:val="20"/>
                <w:szCs w:val="20"/>
                <w:color w:val="auto"/>
              </w:rPr>
            </w:pPr>
            <w:r>
              <w:rPr>
                <w:rFonts w:ascii="Arial" w:cs="Arial" w:eastAsia="Arial" w:hAnsi="Arial"/>
                <w:sz w:val="14"/>
                <w:szCs w:val="14"/>
                <w:color w:val="auto"/>
                <w:w w:val="94"/>
              </w:rPr>
              <w:t>Active Markets for</w:t>
            </w:r>
          </w:p>
        </w:tc>
        <w:tc>
          <w:tcPr>
            <w:tcW w:w="1380" w:type="dxa"/>
            <w:vAlign w:val="bottom"/>
            <w:gridSpan w:val="3"/>
          </w:tcPr>
          <w:p>
            <w:pPr>
              <w:jc w:val="center"/>
              <w:ind w:right="80"/>
              <w:spacing w:after="0" w:line="145" w:lineRule="exact"/>
              <w:rPr>
                <w:sz w:val="20"/>
                <w:szCs w:val="20"/>
                <w:color w:val="auto"/>
              </w:rPr>
            </w:pPr>
            <w:r>
              <w:rPr>
                <w:rFonts w:ascii="Arial" w:cs="Arial" w:eastAsia="Arial" w:hAnsi="Arial"/>
                <w:sz w:val="14"/>
                <w:szCs w:val="14"/>
                <w:color w:val="auto"/>
                <w:w w:val="95"/>
              </w:rPr>
              <w:t>Significant</w:t>
            </w:r>
          </w:p>
        </w:tc>
        <w:tc>
          <w:tcPr>
            <w:tcW w:w="1340" w:type="dxa"/>
            <w:vAlign w:val="bottom"/>
            <w:gridSpan w:val="2"/>
          </w:tcPr>
          <w:p>
            <w:pPr>
              <w:jc w:val="right"/>
              <w:ind w:right="290"/>
              <w:spacing w:after="0" w:line="145" w:lineRule="exact"/>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5"/>
        </w:trPr>
        <w:tc>
          <w:tcPr>
            <w:tcW w:w="3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ind w:left="200"/>
              <w:spacing w:after="0" w:line="145" w:lineRule="exact"/>
              <w:rPr>
                <w:sz w:val="20"/>
                <w:szCs w:val="20"/>
                <w:color w:val="auto"/>
              </w:rPr>
            </w:pPr>
            <w:r>
              <w:rPr>
                <w:rFonts w:ascii="Arial" w:cs="Arial" w:eastAsia="Arial" w:hAnsi="Arial"/>
                <w:sz w:val="14"/>
                <w:szCs w:val="14"/>
                <w:color w:val="auto"/>
              </w:rPr>
              <w:t>Identical Assets</w:t>
            </w:r>
          </w:p>
        </w:tc>
        <w:tc>
          <w:tcPr>
            <w:tcW w:w="13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Observable Inputs</w:t>
            </w:r>
          </w:p>
        </w:tc>
        <w:tc>
          <w:tcPr>
            <w:tcW w:w="134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w w:val="94"/>
              </w:rPr>
              <w:t>Unobservable Inputs</w:t>
            </w:r>
          </w:p>
        </w:tc>
        <w:tc>
          <w:tcPr>
            <w:tcW w:w="0" w:type="dxa"/>
            <w:vAlign w:val="bottom"/>
          </w:tcPr>
          <w:p>
            <w:pPr>
              <w:spacing w:after="0"/>
              <w:rPr>
                <w:sz w:val="1"/>
                <w:szCs w:val="1"/>
                <w:color w:val="auto"/>
              </w:rPr>
            </w:pPr>
          </w:p>
        </w:tc>
      </w:tr>
      <w:tr>
        <w:trPr>
          <w:trHeight w:val="177"/>
        </w:trPr>
        <w:tc>
          <w:tcPr>
            <w:tcW w:w="3360" w:type="dxa"/>
            <w:vAlign w:val="bottom"/>
            <w:vMerge w:val="restart"/>
          </w:tcPr>
          <w:p>
            <w:pPr>
              <w:ind w:left="20"/>
              <w:spacing w:after="0"/>
              <w:rPr>
                <w:sz w:val="20"/>
                <w:szCs w:val="20"/>
                <w:color w:val="auto"/>
              </w:rPr>
            </w:pPr>
            <w:r>
              <w:rPr>
                <w:rFonts w:ascii="Arial" w:cs="Arial" w:eastAsia="Arial" w:hAnsi="Arial"/>
                <w:sz w:val="14"/>
                <w:szCs w:val="14"/>
                <w:color w:val="auto"/>
              </w:rPr>
              <w:t>Assets accounted for at fair value on a</w:t>
            </w: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w w:val="91"/>
              </w:rPr>
              <w:t>(Level 1)</w:t>
            </w: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5"/>
              </w:rPr>
              <w:t>(Level 2)</w:t>
            </w:r>
          </w:p>
        </w:tc>
        <w:tc>
          <w:tcPr>
            <w:tcW w:w="13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20"/>
        </w:trPr>
        <w:tc>
          <w:tcPr>
            <w:tcW w:w="33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360" w:type="dxa"/>
            <w:vAlign w:val="bottom"/>
          </w:tcPr>
          <w:p>
            <w:pPr>
              <w:ind w:left="80"/>
              <w:spacing w:after="0"/>
              <w:rPr>
                <w:sz w:val="20"/>
                <w:szCs w:val="20"/>
                <w:color w:val="auto"/>
              </w:rPr>
            </w:pPr>
            <w:r>
              <w:rPr>
                <w:rFonts w:ascii="Arial" w:cs="Arial" w:eastAsia="Arial" w:hAnsi="Arial"/>
                <w:sz w:val="14"/>
                <w:szCs w:val="14"/>
                <w:color w:val="auto"/>
              </w:rPr>
              <w:t>recurring basis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348,628,792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346,407,400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2,221,392</w:t>
            </w: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11,791,511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11,791,511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356,949,958</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356,949,958</w:t>
            </w: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4"/>
                <w:szCs w:val="14"/>
                <w:color w:val="auto"/>
              </w:rPr>
              <w:t>Restricted assets (1)</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1,041,792</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1,041,792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assets (2)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1,987,801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1,987,801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4"/>
                <w:szCs w:val="14"/>
                <w:color w:val="auto"/>
              </w:rPr>
              <w:t>Cemetery perpetual care trust investments (1)</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1,003,687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1,003,687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Cemetery perpetual care trust investments (2)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1,668,029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1,668,029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Derivatives - loan commitments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12,702,945</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12,702,945</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Total assets accounted for at fair value on a</w:t>
            </w: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735,774,515</w:t>
            </w:r>
          </w:p>
        </w:tc>
        <w:tc>
          <w:tcPr>
            <w:tcW w:w="8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15,447,341</w:t>
            </w:r>
          </w:p>
        </w:tc>
        <w:tc>
          <w:tcPr>
            <w:tcW w:w="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348,452,879</w:t>
            </w: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371,874,295</w:t>
            </w:r>
          </w:p>
        </w:tc>
        <w:tc>
          <w:tcPr>
            <w:tcW w:w="0" w:type="dxa"/>
            <w:vAlign w:val="bottom"/>
          </w:tcPr>
          <w:p>
            <w:pPr>
              <w:spacing w:after="0"/>
              <w:rPr>
                <w:sz w:val="1"/>
                <w:szCs w:val="1"/>
                <w:color w:val="auto"/>
              </w:rPr>
            </w:pPr>
          </w:p>
        </w:tc>
      </w:tr>
      <w:tr>
        <w:trPr>
          <w:trHeight w:val="164"/>
        </w:trPr>
        <w:tc>
          <w:tcPr>
            <w:tcW w:w="3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recurring basis</w:t>
            </w: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accounted for at fair value on a</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recurring basis</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4"/>
                <w:szCs w:val="14"/>
                <w:color w:val="auto"/>
              </w:rPr>
              <w:t>Derivatives - call options (4)</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(73,451)</w:t>
            </w:r>
          </w:p>
        </w:tc>
        <w:tc>
          <w:tcPr>
            <w:tcW w:w="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(73,451)</w:t>
            </w:r>
          </w:p>
        </w:tc>
        <w:tc>
          <w:tcPr>
            <w:tcW w:w="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Derivatives - put options (4)</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(49,136)</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Derivatives - loan commitments (4)</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(1,658,581)</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(1,658,581)</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Total liabilities accounted for at fair value</w:t>
            </w:r>
          </w:p>
        </w:tc>
        <w:tc>
          <w:tcPr>
            <w:tcW w:w="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(1,781,168)</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(122,587)</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(1,658,581)</w:t>
            </w:r>
          </w:p>
        </w:tc>
        <w:tc>
          <w:tcPr>
            <w:tcW w:w="0" w:type="dxa"/>
            <w:vAlign w:val="bottom"/>
          </w:tcPr>
          <w:p>
            <w:pPr>
              <w:spacing w:after="0"/>
              <w:rPr>
                <w:sz w:val="1"/>
                <w:szCs w:val="1"/>
                <w:color w:val="auto"/>
              </w:rPr>
            </w:pPr>
          </w:p>
        </w:tc>
      </w:tr>
      <w:tr>
        <w:trPr>
          <w:trHeight w:val="164"/>
        </w:trPr>
        <w:tc>
          <w:tcPr>
            <w:tcW w:w="3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on a recurring basis</w:t>
            </w: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5709920" cy="151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9920" cy="151130"/>
                    </a:xfrm>
                    <a:prstGeom prst="rect">
                      <a:avLst/>
                    </a:prstGeom>
                    <a:noFill/>
                  </pic:spPr>
                </pic:pic>
              </a:graphicData>
            </a:graphic>
          </wp:anchor>
        </w:drawing>
      </w:r>
    </w:p>
    <w:p>
      <w:pPr>
        <w:spacing w:after="0" w:line="199" w:lineRule="exact"/>
        <w:rPr>
          <w:sz w:val="20"/>
          <w:szCs w:val="20"/>
          <w:color w:val="auto"/>
        </w:rPr>
      </w:pPr>
    </w:p>
    <w:p>
      <w:pPr>
        <w:ind w:left="203" w:hanging="190"/>
        <w:spacing w:after="0"/>
        <w:tabs>
          <w:tab w:leader="none" w:pos="203" w:val="left"/>
        </w:tabs>
        <w:numPr>
          <w:ilvl w:val="0"/>
          <w:numId w:val="39"/>
        </w:numPr>
        <w:rPr>
          <w:rFonts w:ascii="Arial" w:cs="Arial" w:eastAsia="Arial" w:hAnsi="Arial"/>
          <w:sz w:val="14"/>
          <w:szCs w:val="14"/>
          <w:color w:val="auto"/>
        </w:rPr>
      </w:pPr>
      <w:r>
        <w:rPr>
          <w:rFonts w:ascii="Arial" w:cs="Arial" w:eastAsia="Arial" w:hAnsi="Arial"/>
          <w:sz w:val="14"/>
          <w:szCs w:val="14"/>
          <w:color w:val="auto"/>
        </w:rPr>
        <w:t>Fixed maturity securities available for sale</w:t>
      </w:r>
    </w:p>
    <w:p>
      <w:pPr>
        <w:spacing w:after="0" w:line="63" w:lineRule="exact"/>
        <w:rPr>
          <w:rFonts w:ascii="Arial" w:cs="Arial" w:eastAsia="Arial" w:hAnsi="Arial"/>
          <w:sz w:val="14"/>
          <w:szCs w:val="14"/>
          <w:color w:val="auto"/>
        </w:rPr>
      </w:pPr>
    </w:p>
    <w:p>
      <w:pPr>
        <w:ind w:left="203" w:hanging="190"/>
        <w:spacing w:after="0"/>
        <w:tabs>
          <w:tab w:leader="none" w:pos="203" w:val="left"/>
        </w:tabs>
        <w:numPr>
          <w:ilvl w:val="0"/>
          <w:numId w:val="39"/>
        </w:numPr>
        <w:rPr>
          <w:rFonts w:ascii="Arial" w:cs="Arial" w:eastAsia="Arial" w:hAnsi="Arial"/>
          <w:sz w:val="14"/>
          <w:szCs w:val="14"/>
          <w:color w:val="auto"/>
        </w:rPr>
      </w:pPr>
      <w:r>
        <w:rPr>
          <w:rFonts w:ascii="Arial" w:cs="Arial" w:eastAsia="Arial" w:hAnsi="Arial"/>
          <w:sz w:val="14"/>
          <w:szCs w:val="14"/>
          <w:color w:val="auto"/>
        </w:rPr>
        <w:t>Equity securities</w:t>
      </w:r>
    </w:p>
    <w:p>
      <w:pPr>
        <w:spacing w:after="0" w:line="63" w:lineRule="exact"/>
        <w:rPr>
          <w:rFonts w:ascii="Arial" w:cs="Arial" w:eastAsia="Arial" w:hAnsi="Arial"/>
          <w:sz w:val="14"/>
          <w:szCs w:val="14"/>
          <w:color w:val="auto"/>
        </w:rPr>
      </w:pPr>
    </w:p>
    <w:p>
      <w:pPr>
        <w:ind w:left="203" w:hanging="190"/>
        <w:spacing w:after="0"/>
        <w:tabs>
          <w:tab w:leader="none" w:pos="203"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Included in other assets on the consolidated balance sheets</w:t>
      </w:r>
    </w:p>
    <w:p>
      <w:pPr>
        <w:spacing w:after="0" w:line="63" w:lineRule="exact"/>
        <w:rPr>
          <w:rFonts w:ascii="Arial" w:cs="Arial" w:eastAsia="Arial" w:hAnsi="Arial"/>
          <w:sz w:val="14"/>
          <w:szCs w:val="14"/>
          <w:color w:val="auto"/>
        </w:rPr>
      </w:pPr>
    </w:p>
    <w:p>
      <w:pPr>
        <w:ind w:left="203" w:hanging="190"/>
        <w:spacing w:after="0"/>
        <w:tabs>
          <w:tab w:leader="none" w:pos="203"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Included in other liabilities and accrued expenses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5709920" cy="142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9920" cy="142240"/>
                    </a:xfrm>
                    <a:prstGeom prst="rect">
                      <a:avLst/>
                    </a:prstGeom>
                    <a:noFill/>
                  </pic:spPr>
                </pic:pic>
              </a:graphicData>
            </a:graphic>
          </wp:anchor>
        </w:drawing>
      </w:r>
    </w:p>
    <w:p>
      <w:pPr>
        <w:spacing w:after="0" w:line="217"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1" w:right="1440" w:bottom="1440" w:gutter="0" w:footer="0" w:header="0"/>
        </w:sectPr>
      </w:pPr>
    </w:p>
    <w:bookmarkStart w:id="34" w:name="page35"/>
    <w:bookmarkEnd w:id="34"/>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 w:right="419"/>
        <w:spacing w:after="0" w:line="306"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December 31, 2019.</w:t>
      </w:r>
    </w:p>
    <w:p>
      <w:pPr>
        <w:spacing w:after="0" w:line="234"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color w:val="auto"/>
                <w:w w:val="90"/>
              </w:rPr>
              <w:t>Quoted Prices in</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3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80"/>
              <w:spacing w:after="0" w:line="145" w:lineRule="exact"/>
              <w:rPr>
                <w:sz w:val="20"/>
                <w:szCs w:val="20"/>
                <w:color w:val="auto"/>
              </w:rPr>
            </w:pPr>
            <w:r>
              <w:rPr>
                <w:rFonts w:ascii="Arial" w:cs="Arial" w:eastAsia="Arial" w:hAnsi="Arial"/>
                <w:sz w:val="14"/>
                <w:szCs w:val="14"/>
                <w:color w:val="auto"/>
                <w:w w:val="94"/>
              </w:rPr>
              <w:t>Active Markets for</w:t>
            </w:r>
          </w:p>
        </w:tc>
        <w:tc>
          <w:tcPr>
            <w:tcW w:w="1380" w:type="dxa"/>
            <w:vAlign w:val="bottom"/>
            <w:gridSpan w:val="3"/>
          </w:tcPr>
          <w:p>
            <w:pPr>
              <w:jc w:val="center"/>
              <w:ind w:right="80"/>
              <w:spacing w:after="0" w:line="145" w:lineRule="exact"/>
              <w:rPr>
                <w:sz w:val="20"/>
                <w:szCs w:val="20"/>
                <w:color w:val="auto"/>
              </w:rPr>
            </w:pPr>
            <w:r>
              <w:rPr>
                <w:rFonts w:ascii="Arial" w:cs="Arial" w:eastAsia="Arial" w:hAnsi="Arial"/>
                <w:sz w:val="14"/>
                <w:szCs w:val="14"/>
                <w:color w:val="auto"/>
                <w:w w:val="95"/>
              </w:rPr>
              <w:t>Significant</w:t>
            </w:r>
          </w:p>
        </w:tc>
        <w:tc>
          <w:tcPr>
            <w:tcW w:w="1340" w:type="dxa"/>
            <w:vAlign w:val="bottom"/>
            <w:gridSpan w:val="2"/>
          </w:tcPr>
          <w:p>
            <w:pPr>
              <w:jc w:val="right"/>
              <w:ind w:right="290"/>
              <w:spacing w:after="0" w:line="145" w:lineRule="exact"/>
              <w:rPr>
                <w:sz w:val="20"/>
                <w:szCs w:val="20"/>
                <w:color w:val="auto"/>
              </w:rPr>
            </w:pPr>
            <w:r>
              <w:rPr>
                <w:rFonts w:ascii="Arial" w:cs="Arial" w:eastAsia="Arial" w:hAnsi="Arial"/>
                <w:sz w:val="14"/>
                <w:szCs w:val="14"/>
                <w:color w:val="auto"/>
              </w:rPr>
              <w:t>Significant</w:t>
            </w:r>
          </w:p>
        </w:tc>
        <w:tc>
          <w:tcPr>
            <w:tcW w:w="0" w:type="dxa"/>
            <w:vAlign w:val="bottom"/>
          </w:tcPr>
          <w:p>
            <w:pPr>
              <w:spacing w:after="0"/>
              <w:rPr>
                <w:sz w:val="1"/>
                <w:szCs w:val="1"/>
                <w:color w:val="auto"/>
              </w:rPr>
            </w:pPr>
          </w:p>
        </w:tc>
      </w:tr>
      <w:tr>
        <w:trPr>
          <w:trHeight w:val="145"/>
        </w:trPr>
        <w:tc>
          <w:tcPr>
            <w:tcW w:w="3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ind w:left="200"/>
              <w:spacing w:after="0" w:line="145" w:lineRule="exact"/>
              <w:rPr>
                <w:sz w:val="20"/>
                <w:szCs w:val="20"/>
                <w:color w:val="auto"/>
              </w:rPr>
            </w:pPr>
            <w:r>
              <w:rPr>
                <w:rFonts w:ascii="Arial" w:cs="Arial" w:eastAsia="Arial" w:hAnsi="Arial"/>
                <w:sz w:val="14"/>
                <w:szCs w:val="14"/>
                <w:color w:val="auto"/>
              </w:rPr>
              <w:t>Identical Assets</w:t>
            </w:r>
          </w:p>
        </w:tc>
        <w:tc>
          <w:tcPr>
            <w:tcW w:w="1380" w:type="dxa"/>
            <w:vAlign w:val="bottom"/>
            <w:gridSpan w:val="3"/>
          </w:tcPr>
          <w:p>
            <w:pPr>
              <w:ind w:left="120"/>
              <w:spacing w:after="0" w:line="145" w:lineRule="exact"/>
              <w:rPr>
                <w:sz w:val="20"/>
                <w:szCs w:val="20"/>
                <w:color w:val="auto"/>
              </w:rPr>
            </w:pPr>
            <w:r>
              <w:rPr>
                <w:rFonts w:ascii="Arial" w:cs="Arial" w:eastAsia="Arial" w:hAnsi="Arial"/>
                <w:sz w:val="14"/>
                <w:szCs w:val="14"/>
                <w:color w:val="auto"/>
              </w:rPr>
              <w:t>Observable Inputs</w:t>
            </w:r>
          </w:p>
        </w:tc>
        <w:tc>
          <w:tcPr>
            <w:tcW w:w="1340" w:type="dxa"/>
            <w:vAlign w:val="bottom"/>
            <w:gridSpan w:val="2"/>
          </w:tcPr>
          <w:p>
            <w:pPr>
              <w:jc w:val="right"/>
              <w:ind w:right="30"/>
              <w:spacing w:after="0" w:line="145" w:lineRule="exact"/>
              <w:rPr>
                <w:sz w:val="20"/>
                <w:szCs w:val="20"/>
                <w:color w:val="auto"/>
              </w:rPr>
            </w:pPr>
            <w:r>
              <w:rPr>
                <w:rFonts w:ascii="Arial" w:cs="Arial" w:eastAsia="Arial" w:hAnsi="Arial"/>
                <w:sz w:val="14"/>
                <w:szCs w:val="14"/>
                <w:color w:val="auto"/>
                <w:w w:val="94"/>
              </w:rPr>
              <w:t>Unobservable Inputs</w:t>
            </w:r>
          </w:p>
        </w:tc>
        <w:tc>
          <w:tcPr>
            <w:tcW w:w="0" w:type="dxa"/>
            <w:vAlign w:val="bottom"/>
          </w:tcPr>
          <w:p>
            <w:pPr>
              <w:spacing w:after="0"/>
              <w:rPr>
                <w:sz w:val="1"/>
                <w:szCs w:val="1"/>
                <w:color w:val="auto"/>
              </w:rPr>
            </w:pPr>
          </w:p>
        </w:tc>
      </w:tr>
      <w:tr>
        <w:trPr>
          <w:trHeight w:val="177"/>
        </w:trPr>
        <w:tc>
          <w:tcPr>
            <w:tcW w:w="33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w w:val="91"/>
              </w:rPr>
              <w:t>(Level 1)</w:t>
            </w:r>
          </w:p>
        </w:tc>
        <w:tc>
          <w:tcPr>
            <w:tcW w:w="13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color w:val="auto"/>
                <w:w w:val="95"/>
              </w:rPr>
              <w:t>(Level 2)</w:t>
            </w:r>
          </w:p>
        </w:tc>
        <w:tc>
          <w:tcPr>
            <w:tcW w:w="134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4"/>
                <w:szCs w:val="14"/>
                <w:color w:val="auto"/>
              </w:rPr>
              <w:t>(Level 3)</w:t>
            </w:r>
          </w:p>
        </w:tc>
        <w:tc>
          <w:tcPr>
            <w:tcW w:w="0" w:type="dxa"/>
            <w:vAlign w:val="bottom"/>
          </w:tcPr>
          <w:p>
            <w:pPr>
              <w:spacing w:after="0"/>
              <w:rPr>
                <w:sz w:val="1"/>
                <w:szCs w:val="1"/>
                <w:color w:val="auto"/>
              </w:rPr>
            </w:pPr>
          </w:p>
        </w:tc>
      </w:tr>
      <w:tr>
        <w:trPr>
          <w:trHeight w:val="199"/>
        </w:trPr>
        <w:tc>
          <w:tcPr>
            <w:tcW w:w="3360" w:type="dxa"/>
            <w:vAlign w:val="bottom"/>
          </w:tcPr>
          <w:p>
            <w:pPr>
              <w:ind w:left="20"/>
              <w:spacing w:after="0"/>
              <w:rPr>
                <w:sz w:val="20"/>
                <w:szCs w:val="20"/>
                <w:color w:val="auto"/>
              </w:rPr>
            </w:pPr>
            <w:r>
              <w:rPr>
                <w:rFonts w:ascii="Arial" w:cs="Arial" w:eastAsia="Arial" w:hAnsi="Arial"/>
                <w:sz w:val="14"/>
                <w:szCs w:val="14"/>
                <w:color w:val="auto"/>
              </w:rPr>
              <w:t>Assets accounted for at fair value on a</w:t>
            </w: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360" w:type="dxa"/>
            <w:vAlign w:val="bottom"/>
          </w:tcPr>
          <w:p>
            <w:pPr>
              <w:ind w:left="80"/>
              <w:spacing w:after="0"/>
              <w:rPr>
                <w:sz w:val="20"/>
                <w:szCs w:val="20"/>
                <w:color w:val="auto"/>
              </w:rPr>
            </w:pPr>
            <w:r>
              <w:rPr>
                <w:rFonts w:ascii="Arial" w:cs="Arial" w:eastAsia="Arial" w:hAnsi="Arial"/>
                <w:sz w:val="14"/>
                <w:szCs w:val="14"/>
                <w:color w:val="auto"/>
              </w:rPr>
              <w:t>recurring basis</w:t>
            </w: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355,977,820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352,761,438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3,216,382</w:t>
            </w: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7,271,165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7,271,165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213,457,632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213,457,632</w:t>
            </w: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4"/>
                <w:szCs w:val="14"/>
                <w:color w:val="auto"/>
              </w:rPr>
              <w:t>Restricted assets (1)</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1,008,867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1,008,867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assets (2)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1,976,480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1,976,480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4"/>
                <w:szCs w:val="14"/>
                <w:color w:val="auto"/>
              </w:rPr>
              <w:t>Cemetery perpetual care trust investments (1)</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975,673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975,673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Cemetery perpetual care trust investments (2)</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1,605,451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1,605,451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Derivatives - loan commitments (3)</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2,722,580</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2,722,580</w:t>
            </w:r>
          </w:p>
        </w:tc>
        <w:tc>
          <w:tcPr>
            <w:tcW w:w="0" w:type="dxa"/>
            <w:vAlign w:val="bottom"/>
          </w:tcPr>
          <w:p>
            <w:pPr>
              <w:spacing w:after="0"/>
              <w:rPr>
                <w:sz w:val="1"/>
                <w:szCs w:val="1"/>
                <w:color w:val="auto"/>
              </w:rPr>
            </w:pPr>
          </w:p>
        </w:tc>
      </w:tr>
      <w:tr>
        <w:trPr>
          <w:trHeight w:val="133"/>
        </w:trPr>
        <w:tc>
          <w:tcPr>
            <w:tcW w:w="33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Total assets accounted for at fair value on a</w:t>
            </w: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584,995,668</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10,853,096</w:t>
            </w:r>
          </w:p>
        </w:tc>
        <w:tc>
          <w:tcPr>
            <w:tcW w:w="8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354,745,978</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219,396,594</w:t>
            </w:r>
          </w:p>
        </w:tc>
        <w:tc>
          <w:tcPr>
            <w:tcW w:w="0" w:type="dxa"/>
            <w:vAlign w:val="bottom"/>
          </w:tcPr>
          <w:p>
            <w:pPr>
              <w:spacing w:after="0"/>
              <w:rPr>
                <w:sz w:val="1"/>
                <w:szCs w:val="1"/>
                <w:color w:val="auto"/>
              </w:rPr>
            </w:pPr>
          </w:p>
        </w:tc>
      </w:tr>
      <w:tr>
        <w:trPr>
          <w:trHeight w:val="164"/>
        </w:trPr>
        <w:tc>
          <w:tcPr>
            <w:tcW w:w="3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recurring basis</w:t>
            </w: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 accounted for at fair value on a</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60" w:type="dxa"/>
            <w:vAlign w:val="bottom"/>
            <w:shd w:val="clear" w:color="auto" w:fill="CCEEFF"/>
          </w:tcPr>
          <w:p>
            <w:pPr>
              <w:ind w:left="80"/>
              <w:spacing w:after="0"/>
              <w:rPr>
                <w:sz w:val="20"/>
                <w:szCs w:val="20"/>
                <w:color w:val="auto"/>
              </w:rPr>
            </w:pPr>
            <w:r>
              <w:rPr>
                <w:rFonts w:ascii="Arial" w:cs="Arial" w:eastAsia="Arial" w:hAnsi="Arial"/>
                <w:sz w:val="14"/>
                <w:szCs w:val="14"/>
                <w:color w:val="auto"/>
              </w:rPr>
              <w:t>recurring basis</w:t>
            </w:r>
          </w:p>
        </w:tc>
        <w:tc>
          <w:tcPr>
            <w:tcW w:w="5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60" w:type="dxa"/>
            <w:vAlign w:val="bottom"/>
          </w:tcPr>
          <w:p>
            <w:pPr>
              <w:ind w:left="20"/>
              <w:spacing w:after="0"/>
              <w:rPr>
                <w:sz w:val="20"/>
                <w:szCs w:val="20"/>
                <w:color w:val="auto"/>
              </w:rPr>
            </w:pPr>
            <w:r>
              <w:rPr>
                <w:rFonts w:ascii="Arial" w:cs="Arial" w:eastAsia="Arial" w:hAnsi="Arial"/>
                <w:sz w:val="14"/>
                <w:szCs w:val="14"/>
                <w:color w:val="auto"/>
              </w:rPr>
              <w:t>Derivatives - call options (4)</w:t>
            </w:r>
          </w:p>
        </w:tc>
        <w:tc>
          <w:tcPr>
            <w:tcW w:w="5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(62,265)</w:t>
            </w:r>
          </w:p>
        </w:tc>
        <w:tc>
          <w:tcPr>
            <w:tcW w:w="80" w:type="dxa"/>
            <w:vAlign w:val="bottom"/>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(62,265)</w:t>
            </w:r>
          </w:p>
        </w:tc>
        <w:tc>
          <w:tcPr>
            <w:tcW w:w="8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Derivatives - put options (4)</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(22,282)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4"/>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Derivatives - loan commitments (4)</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(231,347)</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(231,347)</w:t>
            </w:r>
          </w:p>
        </w:tc>
        <w:tc>
          <w:tcPr>
            <w:tcW w:w="0" w:type="dxa"/>
            <w:vAlign w:val="bottom"/>
          </w:tcPr>
          <w:p>
            <w:pPr>
              <w:spacing w:after="0"/>
              <w:rPr>
                <w:sz w:val="1"/>
                <w:szCs w:val="1"/>
                <w:color w:val="auto"/>
              </w:rPr>
            </w:pPr>
          </w:p>
        </w:tc>
      </w:tr>
      <w:tr>
        <w:trPr>
          <w:trHeight w:val="146"/>
        </w:trPr>
        <w:tc>
          <w:tcPr>
            <w:tcW w:w="3360" w:type="dxa"/>
            <w:vAlign w:val="bottom"/>
            <w:shd w:val="clear" w:color="auto" w:fill="CCEEFF"/>
          </w:tcPr>
          <w:p>
            <w:pPr>
              <w:ind w:left="20"/>
              <w:spacing w:after="0" w:line="147" w:lineRule="exact"/>
              <w:rPr>
                <w:sz w:val="20"/>
                <w:szCs w:val="20"/>
                <w:color w:val="auto"/>
              </w:rPr>
            </w:pPr>
            <w:r>
              <w:rPr>
                <w:rFonts w:ascii="Arial" w:cs="Arial" w:eastAsia="Arial" w:hAnsi="Arial"/>
                <w:sz w:val="14"/>
                <w:szCs w:val="14"/>
                <w:color w:val="auto"/>
              </w:rPr>
              <w:t>Total liabilities accounted for at fair value</w:t>
            </w:r>
          </w:p>
        </w:tc>
        <w:tc>
          <w:tcPr>
            <w:tcW w:w="5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(315,894)</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(84,547)</w:t>
            </w: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(231,347)</w:t>
            </w:r>
          </w:p>
        </w:tc>
        <w:tc>
          <w:tcPr>
            <w:tcW w:w="0" w:type="dxa"/>
            <w:vAlign w:val="bottom"/>
          </w:tcPr>
          <w:p>
            <w:pPr>
              <w:spacing w:after="0"/>
              <w:rPr>
                <w:sz w:val="1"/>
                <w:szCs w:val="1"/>
                <w:color w:val="auto"/>
              </w:rPr>
            </w:pPr>
          </w:p>
        </w:tc>
      </w:tr>
      <w:tr>
        <w:trPr>
          <w:trHeight w:val="164"/>
        </w:trPr>
        <w:tc>
          <w:tcPr>
            <w:tcW w:w="33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on a recurring basis</w:t>
            </w:r>
          </w:p>
        </w:tc>
        <w:tc>
          <w:tcPr>
            <w:tcW w:w="5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vMerge w:val="continue"/>
            <w:shd w:val="clear" w:color="auto" w:fill="CCEEFF"/>
          </w:tcPr>
          <w:p>
            <w:pPr>
              <w:spacing w:after="0"/>
              <w:rPr>
                <w:sz w:val="14"/>
                <w:szCs w:val="14"/>
                <w:color w:val="auto"/>
              </w:rPr>
            </w:pPr>
          </w:p>
        </w:tc>
        <w:tc>
          <w:tcPr>
            <w:tcW w:w="78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5709920" cy="151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09920" cy="151130"/>
                    </a:xfrm>
                    <a:prstGeom prst="rect">
                      <a:avLst/>
                    </a:prstGeom>
                    <a:noFill/>
                  </pic:spPr>
                </pic:pic>
              </a:graphicData>
            </a:graphic>
          </wp:anchor>
        </w:drawing>
      </w:r>
    </w:p>
    <w:p>
      <w:pPr>
        <w:spacing w:after="0" w:line="199" w:lineRule="exact"/>
        <w:rPr>
          <w:sz w:val="20"/>
          <w:szCs w:val="20"/>
          <w:color w:val="auto"/>
        </w:rPr>
      </w:pPr>
    </w:p>
    <w:p>
      <w:pPr>
        <w:ind w:left="203" w:hanging="190"/>
        <w:spacing w:after="0"/>
        <w:tabs>
          <w:tab w:leader="none" w:pos="203" w:val="left"/>
        </w:tabs>
        <w:numPr>
          <w:ilvl w:val="0"/>
          <w:numId w:val="41"/>
        </w:numPr>
        <w:rPr>
          <w:rFonts w:ascii="Arial" w:cs="Arial" w:eastAsia="Arial" w:hAnsi="Arial"/>
          <w:sz w:val="14"/>
          <w:szCs w:val="14"/>
          <w:color w:val="auto"/>
        </w:rPr>
      </w:pPr>
      <w:r>
        <w:rPr>
          <w:rFonts w:ascii="Arial" w:cs="Arial" w:eastAsia="Arial" w:hAnsi="Arial"/>
          <w:sz w:val="14"/>
          <w:szCs w:val="14"/>
          <w:color w:val="auto"/>
        </w:rPr>
        <w:t>Fixed maturity securities available for sale</w:t>
      </w:r>
    </w:p>
    <w:p>
      <w:pPr>
        <w:spacing w:after="0" w:line="63" w:lineRule="exact"/>
        <w:rPr>
          <w:rFonts w:ascii="Arial" w:cs="Arial" w:eastAsia="Arial" w:hAnsi="Arial"/>
          <w:sz w:val="14"/>
          <w:szCs w:val="14"/>
          <w:color w:val="auto"/>
        </w:rPr>
      </w:pPr>
    </w:p>
    <w:p>
      <w:pPr>
        <w:ind w:left="203" w:hanging="190"/>
        <w:spacing w:after="0"/>
        <w:tabs>
          <w:tab w:leader="none" w:pos="203" w:val="left"/>
        </w:tabs>
        <w:numPr>
          <w:ilvl w:val="0"/>
          <w:numId w:val="41"/>
        </w:numPr>
        <w:rPr>
          <w:rFonts w:ascii="Arial" w:cs="Arial" w:eastAsia="Arial" w:hAnsi="Arial"/>
          <w:sz w:val="14"/>
          <w:szCs w:val="14"/>
          <w:color w:val="auto"/>
        </w:rPr>
      </w:pPr>
      <w:r>
        <w:rPr>
          <w:rFonts w:ascii="Arial" w:cs="Arial" w:eastAsia="Arial" w:hAnsi="Arial"/>
          <w:sz w:val="14"/>
          <w:szCs w:val="14"/>
          <w:color w:val="auto"/>
        </w:rPr>
        <w:t>Mutual funds and equity securities</w:t>
      </w:r>
    </w:p>
    <w:p>
      <w:pPr>
        <w:spacing w:after="0" w:line="63" w:lineRule="exact"/>
        <w:rPr>
          <w:rFonts w:ascii="Arial" w:cs="Arial" w:eastAsia="Arial" w:hAnsi="Arial"/>
          <w:sz w:val="14"/>
          <w:szCs w:val="14"/>
          <w:color w:val="auto"/>
        </w:rPr>
      </w:pPr>
    </w:p>
    <w:p>
      <w:pPr>
        <w:ind w:left="203" w:hanging="190"/>
        <w:spacing w:after="0"/>
        <w:tabs>
          <w:tab w:leader="none" w:pos="203"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Included in other assets on the condensed consolidated balance sheets</w:t>
      </w:r>
    </w:p>
    <w:p>
      <w:pPr>
        <w:spacing w:after="0" w:line="63" w:lineRule="exact"/>
        <w:rPr>
          <w:rFonts w:ascii="Arial" w:cs="Arial" w:eastAsia="Arial" w:hAnsi="Arial"/>
          <w:sz w:val="14"/>
          <w:szCs w:val="14"/>
          <w:color w:val="auto"/>
        </w:rPr>
      </w:pPr>
    </w:p>
    <w:p>
      <w:pPr>
        <w:ind w:left="203" w:hanging="190"/>
        <w:spacing w:after="0"/>
        <w:tabs>
          <w:tab w:leader="none" w:pos="203"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Included in other liabilities and accrued expenses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5709920" cy="142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09920" cy="142240"/>
                    </a:xfrm>
                    <a:prstGeom prst="rect">
                      <a:avLst/>
                    </a:prstGeom>
                    <a:noFill/>
                  </pic:spPr>
                </pic:pic>
              </a:graphicData>
            </a:graphic>
          </wp:anchor>
        </w:drawing>
      </w:r>
    </w:p>
    <w:p>
      <w:pPr>
        <w:spacing w:after="0" w:line="217"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35" w:name="page36"/>
    <w:bookmarkEnd w:id="35"/>
    <w:p>
      <w:pPr>
        <w:jc w:val="center"/>
        <w:ind w:right="1597"/>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3" w:right="1600"/>
        <w:spacing w:after="0" w:line="277" w:lineRule="auto"/>
        <w:rPr>
          <w:sz w:val="20"/>
          <w:szCs w:val="20"/>
          <w:color w:val="auto"/>
        </w:rPr>
      </w:pPr>
      <w:r>
        <w:rPr>
          <w:rFonts w:ascii="Arial" w:cs="Arial" w:eastAsia="Arial" w:hAnsi="Arial"/>
          <w:sz w:val="19"/>
          <w:szCs w:val="19"/>
          <w:color w:val="auto"/>
        </w:rPr>
        <w:t>For Level 3 assets and liabilities measured at fair value on a recurring basis as of June 30, 2020, the significant unobservable inputs used in the fair value measurements were as follows:</w:t>
      </w:r>
    </w:p>
    <w:p>
      <w:pPr>
        <w:spacing w:after="0" w:line="269" w:lineRule="exact"/>
        <w:rPr>
          <w:sz w:val="20"/>
          <w:szCs w:val="20"/>
          <w:color w:val="auto"/>
        </w:rPr>
      </w:pPr>
    </w:p>
    <w:tbl>
      <w:tblPr>
        <w:tblLayout w:type="fixed"/>
        <w:tblInd w:w="3" w:type="dxa"/>
        <w:tblCellMar>
          <w:top w:w="0" w:type="dxa"/>
          <w:left w:w="0" w:type="dxa"/>
          <w:bottom w:w="0" w:type="dxa"/>
          <w:right w:w="0" w:type="dxa"/>
        </w:tblCellMar>
      </w:tblPr>
      <w:tr>
        <w:trPr>
          <w:trHeight w:val="137"/>
        </w:trPr>
        <w:tc>
          <w:tcPr>
            <w:tcW w:w="3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Significant</w:t>
            </w:r>
          </w:p>
        </w:tc>
        <w:tc>
          <w:tcPr>
            <w:tcW w:w="1560" w:type="dxa"/>
            <w:vAlign w:val="bottom"/>
            <w:tcBorders>
              <w:bottom w:val="single" w:sz="8" w:color="auto"/>
            </w:tcBorders>
            <w:gridSpan w:val="2"/>
          </w:tcPr>
          <w:p>
            <w:pPr>
              <w:jc w:val="right"/>
              <w:ind w:right="387"/>
              <w:spacing w:after="0"/>
              <w:rPr>
                <w:sz w:val="20"/>
                <w:szCs w:val="20"/>
                <w:color w:val="auto"/>
              </w:rPr>
            </w:pPr>
            <w:r>
              <w:rPr>
                <w:rFonts w:ascii="Arial" w:cs="Arial" w:eastAsia="Arial" w:hAnsi="Arial"/>
                <w:sz w:val="11"/>
                <w:szCs w:val="11"/>
                <w:color w:val="auto"/>
              </w:rPr>
              <w:t>Range of Inputs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0"/>
        </w:trPr>
        <w:tc>
          <w:tcPr>
            <w:tcW w:w="3080" w:type="dxa"/>
            <w:vAlign w:val="bottom"/>
          </w:tcPr>
          <w:p>
            <w:pPr>
              <w:spacing w:after="0"/>
              <w:rPr>
                <w:sz w:val="17"/>
                <w:szCs w:val="17"/>
                <w:color w:val="auto"/>
              </w:rPr>
            </w:pPr>
          </w:p>
        </w:tc>
        <w:tc>
          <w:tcPr>
            <w:tcW w:w="1220" w:type="dxa"/>
            <w:vAlign w:val="bottom"/>
            <w:gridSpan w:val="2"/>
          </w:tcPr>
          <w:p>
            <w:pPr>
              <w:ind w:left="300"/>
              <w:spacing w:after="0"/>
              <w:rPr>
                <w:sz w:val="20"/>
                <w:szCs w:val="20"/>
                <w:color w:val="auto"/>
              </w:rPr>
            </w:pPr>
            <w:r>
              <w:rPr>
                <w:rFonts w:ascii="Arial" w:cs="Arial" w:eastAsia="Arial" w:hAnsi="Arial"/>
                <w:sz w:val="11"/>
                <w:szCs w:val="11"/>
                <w:color w:val="auto"/>
              </w:rPr>
              <w:t>Fair Value at</w:t>
            </w:r>
          </w:p>
        </w:tc>
        <w:tc>
          <w:tcPr>
            <w:tcW w:w="1380" w:type="dxa"/>
            <w:vAlign w:val="bottom"/>
            <w:gridSpan w:val="2"/>
          </w:tcPr>
          <w:p>
            <w:pPr>
              <w:jc w:val="center"/>
              <w:ind w:right="80"/>
              <w:spacing w:after="0"/>
              <w:rPr>
                <w:sz w:val="20"/>
                <w:szCs w:val="20"/>
                <w:color w:val="auto"/>
              </w:rPr>
            </w:pPr>
            <w:r>
              <w:rPr>
                <w:rFonts w:ascii="Arial" w:cs="Arial" w:eastAsia="Arial" w:hAnsi="Arial"/>
                <w:sz w:val="11"/>
                <w:szCs w:val="11"/>
                <w:color w:val="auto"/>
                <w:w w:val="91"/>
              </w:rPr>
              <w:t>Valuation</w:t>
            </w:r>
          </w:p>
        </w:tc>
        <w:tc>
          <w:tcPr>
            <w:tcW w:w="2320" w:type="dxa"/>
            <w:vAlign w:val="bottom"/>
            <w:gridSpan w:val="2"/>
          </w:tcPr>
          <w:p>
            <w:pPr>
              <w:jc w:val="center"/>
              <w:ind w:right="100"/>
              <w:spacing w:after="0"/>
              <w:rPr>
                <w:sz w:val="20"/>
                <w:szCs w:val="20"/>
                <w:color w:val="auto"/>
              </w:rPr>
            </w:pPr>
            <w:r>
              <w:rPr>
                <w:rFonts w:ascii="Arial" w:cs="Arial" w:eastAsia="Arial" w:hAnsi="Arial"/>
                <w:sz w:val="11"/>
                <w:szCs w:val="11"/>
                <w:color w:val="auto"/>
                <w:w w:val="85"/>
              </w:rPr>
              <w:t>Unobservable</w:t>
            </w:r>
          </w:p>
        </w:tc>
        <w:tc>
          <w:tcPr>
            <w:tcW w:w="680" w:type="dxa"/>
            <w:vAlign w:val="bottom"/>
          </w:tcPr>
          <w:p>
            <w:pPr>
              <w:jc w:val="center"/>
              <w:ind w:left="47"/>
              <w:spacing w:after="0"/>
              <w:rPr>
                <w:sz w:val="20"/>
                <w:szCs w:val="20"/>
                <w:color w:val="auto"/>
              </w:rPr>
            </w:pPr>
            <w:r>
              <w:rPr>
                <w:rFonts w:ascii="Arial" w:cs="Arial" w:eastAsia="Arial" w:hAnsi="Arial"/>
                <w:sz w:val="11"/>
                <w:szCs w:val="11"/>
                <w:color w:val="auto"/>
                <w:w w:val="94"/>
              </w:rPr>
              <w:t>Minimum</w:t>
            </w:r>
          </w:p>
        </w:tc>
        <w:tc>
          <w:tcPr>
            <w:tcW w:w="980" w:type="dxa"/>
            <w:vAlign w:val="bottom"/>
            <w:gridSpan w:val="2"/>
          </w:tcPr>
          <w:p>
            <w:pPr>
              <w:jc w:val="center"/>
              <w:ind w:right="20"/>
              <w:spacing w:after="0"/>
              <w:rPr>
                <w:sz w:val="20"/>
                <w:szCs w:val="20"/>
                <w:color w:val="auto"/>
              </w:rPr>
            </w:pPr>
            <w:r>
              <w:rPr>
                <w:rFonts w:ascii="Arial" w:cs="Arial" w:eastAsia="Arial" w:hAnsi="Arial"/>
                <w:sz w:val="11"/>
                <w:szCs w:val="11"/>
                <w:color w:val="auto"/>
                <w:w w:val="92"/>
              </w:rPr>
              <w:t>Maximum</w:t>
            </w:r>
          </w:p>
        </w:tc>
        <w:tc>
          <w:tcPr>
            <w:tcW w:w="800" w:type="dxa"/>
            <w:vAlign w:val="bottom"/>
          </w:tcPr>
          <w:p>
            <w:pPr>
              <w:jc w:val="center"/>
              <w:spacing w:after="0"/>
              <w:rPr>
                <w:sz w:val="20"/>
                <w:szCs w:val="20"/>
                <w:color w:val="auto"/>
              </w:rPr>
            </w:pPr>
            <w:r>
              <w:rPr>
                <w:rFonts w:ascii="Arial" w:cs="Arial" w:eastAsia="Arial" w:hAnsi="Arial"/>
                <w:sz w:val="11"/>
                <w:szCs w:val="11"/>
                <w:color w:val="auto"/>
                <w:w w:val="85"/>
              </w:rPr>
              <w:t>Weighted</w:t>
            </w:r>
          </w:p>
        </w:tc>
      </w:tr>
      <w:tr>
        <w:trPr>
          <w:trHeight w:val="229"/>
        </w:trPr>
        <w:tc>
          <w:tcPr>
            <w:tcW w:w="30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07"/>
              <w:spacing w:after="0"/>
              <w:rPr>
                <w:sz w:val="20"/>
                <w:szCs w:val="20"/>
                <w:color w:val="auto"/>
              </w:rPr>
            </w:pPr>
            <w:r>
              <w:rPr>
                <w:rFonts w:ascii="Arial" w:cs="Arial" w:eastAsia="Arial" w:hAnsi="Arial"/>
                <w:sz w:val="11"/>
                <w:szCs w:val="11"/>
                <w:color w:val="auto"/>
              </w:rPr>
              <w:t>6/30/2020</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5"/>
              </w:rPr>
              <w:t>Technique</w:t>
            </w: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Input(s)</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center"/>
              <w:ind w:left="27"/>
              <w:spacing w:after="0"/>
              <w:rPr>
                <w:sz w:val="20"/>
                <w:szCs w:val="20"/>
                <w:color w:val="auto"/>
              </w:rPr>
            </w:pPr>
            <w:r>
              <w:rPr>
                <w:rFonts w:ascii="Arial" w:cs="Arial" w:eastAsia="Arial" w:hAnsi="Arial"/>
                <w:sz w:val="11"/>
                <w:szCs w:val="11"/>
                <w:color w:val="auto"/>
                <w:w w:val="85"/>
              </w:rPr>
              <w:t>Value</w:t>
            </w:r>
          </w:p>
        </w:tc>
        <w:tc>
          <w:tcPr>
            <w:tcW w:w="880" w:type="dxa"/>
            <w:vAlign w:val="bottom"/>
            <w:tcBorders>
              <w:bottom w:val="single" w:sz="8" w:color="auto"/>
            </w:tcBorders>
          </w:tcPr>
          <w:p>
            <w:pPr>
              <w:jc w:val="center"/>
              <w:ind w:left="27"/>
              <w:spacing w:after="0"/>
              <w:rPr>
                <w:sz w:val="20"/>
                <w:szCs w:val="20"/>
                <w:color w:val="auto"/>
              </w:rPr>
            </w:pPr>
            <w:r>
              <w:rPr>
                <w:rFonts w:ascii="Arial" w:cs="Arial" w:eastAsia="Arial" w:hAnsi="Arial"/>
                <w:sz w:val="11"/>
                <w:szCs w:val="11"/>
                <w:color w:val="auto"/>
                <w:w w:val="85"/>
              </w:rPr>
              <w:t>Value</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2"/>
              </w:rPr>
              <w:t>Average</w:t>
            </w:r>
          </w:p>
        </w:tc>
      </w:tr>
      <w:tr>
        <w:trPr>
          <w:trHeight w:val="120"/>
        </w:trPr>
        <w:tc>
          <w:tcPr>
            <w:tcW w:w="308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Loans held for sale</w:t>
            </w:r>
          </w:p>
        </w:tc>
        <w:tc>
          <w:tcPr>
            <w:tcW w:w="11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  356,949,958</w:t>
            </w:r>
          </w:p>
        </w:tc>
        <w:tc>
          <w:tcPr>
            <w:tcW w:w="8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1"/>
                <w:szCs w:val="11"/>
                <w:color w:val="auto"/>
              </w:rPr>
              <w:t>Market approach</w:t>
            </w:r>
          </w:p>
        </w:tc>
        <w:tc>
          <w:tcPr>
            <w:tcW w:w="232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w w:val="93"/>
              </w:rPr>
              <w:t>Investor contract pricing as a percentage of unpaid</w:t>
            </w:r>
          </w:p>
        </w:tc>
        <w:tc>
          <w:tcPr>
            <w:tcW w:w="680" w:type="dxa"/>
            <w:vAlign w:val="bottom"/>
            <w:shd w:val="clear" w:color="auto" w:fill="CCEEFF"/>
          </w:tcPr>
          <w:p>
            <w:pPr>
              <w:jc w:val="center"/>
              <w:ind w:left="27"/>
              <w:spacing w:after="0" w:line="121" w:lineRule="exact"/>
              <w:rPr>
                <w:sz w:val="20"/>
                <w:szCs w:val="20"/>
                <w:color w:val="auto"/>
              </w:rPr>
            </w:pPr>
            <w:r>
              <w:rPr>
                <w:rFonts w:ascii="Arial" w:cs="Arial" w:eastAsia="Arial" w:hAnsi="Arial"/>
                <w:sz w:val="11"/>
                <w:szCs w:val="11"/>
                <w:color w:val="auto"/>
                <w:w w:val="89"/>
              </w:rPr>
              <w:t>99.0%</w:t>
            </w:r>
          </w:p>
        </w:tc>
        <w:tc>
          <w:tcPr>
            <w:tcW w:w="880" w:type="dxa"/>
            <w:vAlign w:val="bottom"/>
            <w:shd w:val="clear" w:color="auto" w:fill="CCEEFF"/>
          </w:tcPr>
          <w:p>
            <w:pPr>
              <w:jc w:val="right"/>
              <w:ind w:right="187"/>
              <w:spacing w:after="0" w:line="121" w:lineRule="exact"/>
              <w:rPr>
                <w:sz w:val="20"/>
                <w:szCs w:val="20"/>
                <w:color w:val="auto"/>
              </w:rPr>
            </w:pPr>
            <w:r>
              <w:rPr>
                <w:rFonts w:ascii="Arial" w:cs="Arial" w:eastAsia="Arial" w:hAnsi="Arial"/>
                <w:sz w:val="11"/>
                <w:szCs w:val="11"/>
                <w:color w:val="auto"/>
              </w:rPr>
              <w:t>109.0%</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187"/>
              <w:spacing w:after="0" w:line="121" w:lineRule="exact"/>
              <w:rPr>
                <w:sz w:val="20"/>
                <w:szCs w:val="20"/>
                <w:color w:val="auto"/>
              </w:rPr>
            </w:pPr>
            <w:r>
              <w:rPr>
                <w:rFonts w:ascii="Arial" w:cs="Arial" w:eastAsia="Arial" w:hAnsi="Arial"/>
                <w:sz w:val="11"/>
                <w:szCs w:val="11"/>
                <w:color w:val="auto"/>
              </w:rPr>
              <w:t>104.0%</w:t>
            </w:r>
          </w:p>
        </w:tc>
      </w:tr>
      <w:tr>
        <w:trPr>
          <w:trHeight w:val="142"/>
        </w:trPr>
        <w:tc>
          <w:tcPr>
            <w:tcW w:w="30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principal balance</w:t>
            </w: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5"/>
        </w:trPr>
        <w:tc>
          <w:tcPr>
            <w:tcW w:w="3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5"/>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Derivatives - loan commitments (net)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11,044,365</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Market approach</w:t>
            </w:r>
          </w:p>
        </w:tc>
        <w:tc>
          <w:tcPr>
            <w:tcW w:w="2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Fall-out factor</w:t>
            </w:r>
          </w:p>
        </w:tc>
        <w:tc>
          <w:tcPr>
            <w:tcW w:w="68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1.0%</w:t>
            </w:r>
          </w:p>
        </w:tc>
        <w:tc>
          <w:tcPr>
            <w:tcW w:w="880" w:type="dxa"/>
            <w:vAlign w:val="bottom"/>
            <w:shd w:val="clear" w:color="auto" w:fill="CCEEFF"/>
          </w:tcPr>
          <w:p>
            <w:pPr>
              <w:jc w:val="right"/>
              <w:ind w:right="207"/>
              <w:spacing w:after="0"/>
              <w:rPr>
                <w:sz w:val="20"/>
                <w:szCs w:val="20"/>
                <w:color w:val="auto"/>
              </w:rPr>
            </w:pPr>
            <w:r>
              <w:rPr>
                <w:rFonts w:ascii="Arial" w:cs="Arial" w:eastAsia="Arial" w:hAnsi="Arial"/>
                <w:sz w:val="11"/>
                <w:szCs w:val="11"/>
                <w:color w:val="auto"/>
              </w:rPr>
              <w:t>92.0%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07"/>
              <w:spacing w:after="0"/>
              <w:rPr>
                <w:sz w:val="20"/>
                <w:szCs w:val="20"/>
                <w:color w:val="auto"/>
              </w:rPr>
            </w:pPr>
            <w:r>
              <w:rPr>
                <w:rFonts w:ascii="Arial" w:cs="Arial" w:eastAsia="Arial" w:hAnsi="Arial"/>
                <w:sz w:val="11"/>
                <w:szCs w:val="11"/>
                <w:color w:val="auto"/>
              </w:rPr>
              <w:t>80.0%</w:t>
            </w:r>
          </w:p>
        </w:tc>
      </w:tr>
      <w:tr>
        <w:trPr>
          <w:trHeight w:val="154"/>
        </w:trPr>
        <w:tc>
          <w:tcPr>
            <w:tcW w:w="3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Arial" w:cs="Arial" w:eastAsia="Arial" w:hAnsi="Arial"/>
                <w:sz w:val="11"/>
                <w:szCs w:val="11"/>
                <w:color w:val="auto"/>
              </w:rPr>
              <w:t>Initial-Value</w:t>
            </w:r>
          </w:p>
        </w:tc>
        <w:tc>
          <w:tcPr>
            <w:tcW w:w="680" w:type="dxa"/>
            <w:vAlign w:val="bottom"/>
          </w:tcPr>
          <w:p>
            <w:pPr>
              <w:jc w:val="center"/>
              <w:ind w:left="47"/>
              <w:spacing w:after="0"/>
              <w:rPr>
                <w:sz w:val="20"/>
                <w:szCs w:val="20"/>
                <w:color w:val="auto"/>
              </w:rPr>
            </w:pPr>
            <w:r>
              <w:rPr>
                <w:rFonts w:ascii="Arial" w:cs="Arial" w:eastAsia="Arial" w:hAnsi="Arial"/>
                <w:sz w:val="11"/>
                <w:szCs w:val="11"/>
                <w:color w:val="auto"/>
                <w:w w:val="97"/>
              </w:rPr>
              <w:t>N/A</w:t>
            </w:r>
          </w:p>
        </w:tc>
        <w:tc>
          <w:tcPr>
            <w:tcW w:w="980" w:type="dxa"/>
            <w:vAlign w:val="bottom"/>
            <w:gridSpan w:val="2"/>
          </w:tcPr>
          <w:p>
            <w:pPr>
              <w:jc w:val="center"/>
              <w:ind w:right="20"/>
              <w:spacing w:after="0"/>
              <w:rPr>
                <w:sz w:val="20"/>
                <w:szCs w:val="20"/>
                <w:color w:val="auto"/>
              </w:rPr>
            </w:pPr>
            <w:r>
              <w:rPr>
                <w:rFonts w:ascii="Arial" w:cs="Arial" w:eastAsia="Arial" w:hAnsi="Arial"/>
                <w:sz w:val="11"/>
                <w:szCs w:val="11"/>
                <w:color w:val="auto"/>
              </w:rPr>
              <w:t>N/A</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N/A</w:t>
            </w:r>
          </w:p>
        </w:tc>
      </w:tr>
      <w:tr>
        <w:trPr>
          <w:trHeight w:val="163"/>
        </w:trPr>
        <w:tc>
          <w:tcPr>
            <w:tcW w:w="30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Servicing</w:t>
            </w:r>
          </w:p>
        </w:tc>
        <w:tc>
          <w:tcPr>
            <w:tcW w:w="680" w:type="dxa"/>
            <w:vAlign w:val="bottom"/>
            <w:shd w:val="clear" w:color="auto" w:fill="CCEEFF"/>
          </w:tcPr>
          <w:p>
            <w:pPr>
              <w:jc w:val="center"/>
              <w:ind w:left="27"/>
              <w:spacing w:after="0"/>
              <w:rPr>
                <w:sz w:val="20"/>
                <w:szCs w:val="20"/>
                <w:color w:val="auto"/>
              </w:rPr>
            </w:pPr>
            <w:r>
              <w:rPr>
                <w:rFonts w:ascii="Arial" w:cs="Arial" w:eastAsia="Arial" w:hAnsi="Arial"/>
                <w:sz w:val="11"/>
                <w:szCs w:val="11"/>
                <w:color w:val="auto"/>
                <w:w w:val="89"/>
              </w:rPr>
              <w:t>0 bps</w:t>
            </w:r>
          </w:p>
        </w:tc>
        <w:tc>
          <w:tcPr>
            <w:tcW w:w="980" w:type="dxa"/>
            <w:vAlign w:val="bottom"/>
            <w:gridSpan w:val="2"/>
            <w:shd w:val="clear" w:color="auto" w:fill="CCEEFF"/>
          </w:tcPr>
          <w:p>
            <w:pPr>
              <w:jc w:val="center"/>
              <w:ind w:right="20"/>
              <w:spacing w:after="0"/>
              <w:rPr>
                <w:sz w:val="20"/>
                <w:szCs w:val="20"/>
                <w:color w:val="auto"/>
              </w:rPr>
            </w:pPr>
            <w:r>
              <w:rPr>
                <w:rFonts w:ascii="Arial" w:cs="Arial" w:eastAsia="Arial" w:hAnsi="Arial"/>
                <w:sz w:val="11"/>
                <w:szCs w:val="11"/>
                <w:color w:val="auto"/>
                <w:w w:val="81"/>
              </w:rPr>
              <w:t>190 bps</w:t>
            </w:r>
          </w:p>
        </w:tc>
        <w:tc>
          <w:tcPr>
            <w:tcW w:w="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4"/>
              </w:rPr>
              <w:t>58 bps</w:t>
            </w:r>
          </w:p>
        </w:tc>
      </w:tr>
      <w:tr>
        <w:trPr>
          <w:trHeight w:val="145"/>
        </w:trPr>
        <w:tc>
          <w:tcPr>
            <w:tcW w:w="3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5"/>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maturity securities available for sale</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2,221,392</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Broker quotes</w:t>
            </w:r>
          </w:p>
        </w:tc>
        <w:tc>
          <w:tcPr>
            <w:tcW w:w="2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Pricing quotes</w:t>
            </w:r>
          </w:p>
        </w:tc>
        <w:tc>
          <w:tcPr>
            <w:tcW w:w="680" w:type="dxa"/>
            <w:vAlign w:val="bottom"/>
            <w:shd w:val="clear" w:color="auto" w:fill="CCEEFF"/>
          </w:tcPr>
          <w:p>
            <w:pPr>
              <w:jc w:val="right"/>
              <w:ind w:right="227"/>
              <w:spacing w:after="0"/>
              <w:rPr>
                <w:sz w:val="20"/>
                <w:szCs w:val="20"/>
                <w:color w:val="auto"/>
              </w:rPr>
            </w:pPr>
            <w:r>
              <w:rPr>
                <w:rFonts w:ascii="Arial" w:cs="Arial" w:eastAsia="Arial" w:hAnsi="Arial"/>
                <w:sz w:val="11"/>
                <w:szCs w:val="11"/>
                <w:color w:val="auto"/>
                <w:w w:val="95"/>
              </w:rPr>
              <w:t>$  91.49</w:t>
            </w:r>
          </w:p>
        </w:tc>
        <w:tc>
          <w:tcPr>
            <w:tcW w:w="880" w:type="dxa"/>
            <w:vAlign w:val="bottom"/>
            <w:shd w:val="clear" w:color="auto" w:fill="CCEEFF"/>
          </w:tcPr>
          <w:p>
            <w:pPr>
              <w:jc w:val="right"/>
              <w:ind w:right="327"/>
              <w:spacing w:after="0"/>
              <w:rPr>
                <w:sz w:val="20"/>
                <w:szCs w:val="20"/>
                <w:color w:val="auto"/>
              </w:rPr>
            </w:pPr>
            <w:r>
              <w:rPr>
                <w:rFonts w:ascii="Arial" w:cs="Arial" w:eastAsia="Arial" w:hAnsi="Arial"/>
                <w:sz w:val="11"/>
                <w:szCs w:val="11"/>
                <w:color w:val="auto"/>
              </w:rPr>
              <w:t>$ 119.33</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07"/>
              <w:spacing w:after="0"/>
              <w:rPr>
                <w:sz w:val="20"/>
                <w:szCs w:val="20"/>
                <w:color w:val="auto"/>
              </w:rPr>
            </w:pPr>
            <w:r>
              <w:rPr>
                <w:rFonts w:ascii="Arial" w:cs="Arial" w:eastAsia="Arial" w:hAnsi="Arial"/>
                <w:sz w:val="11"/>
                <w:szCs w:val="11"/>
                <w:color w:val="auto"/>
                <w:w w:val="91"/>
              </w:rPr>
              <w:t>$  113.29</w:t>
            </w:r>
          </w:p>
        </w:tc>
      </w:tr>
    </w:tbl>
    <w:p>
      <w:pPr>
        <w:spacing w:after="0" w:line="208" w:lineRule="exact"/>
        <w:rPr>
          <w:sz w:val="20"/>
          <w:szCs w:val="20"/>
          <w:color w:val="auto"/>
        </w:rPr>
      </w:pPr>
    </w:p>
    <w:p>
      <w:pPr>
        <w:ind w:left="3" w:right="1600"/>
        <w:spacing w:after="0" w:line="277" w:lineRule="auto"/>
        <w:rPr>
          <w:sz w:val="20"/>
          <w:szCs w:val="20"/>
          <w:color w:val="auto"/>
        </w:rPr>
      </w:pPr>
      <w:r>
        <w:rPr>
          <w:rFonts w:ascii="Arial" w:cs="Arial" w:eastAsia="Arial" w:hAnsi="Arial"/>
          <w:sz w:val="19"/>
          <w:szCs w:val="19"/>
          <w:color w:val="auto"/>
        </w:rPr>
        <w:t>For Level 3 assets and liabilities measured at fair value on a recurring basis as of December 31, 2019, the significant unobservable inputs used in the fair value measurements were as follows:</w:t>
      </w:r>
    </w:p>
    <w:p>
      <w:pPr>
        <w:spacing w:after="0" w:line="269" w:lineRule="exact"/>
        <w:rPr>
          <w:sz w:val="20"/>
          <w:szCs w:val="20"/>
          <w:color w:val="auto"/>
        </w:rPr>
      </w:pPr>
    </w:p>
    <w:tbl>
      <w:tblPr>
        <w:tblLayout w:type="fixed"/>
        <w:tblInd w:w="3" w:type="dxa"/>
        <w:tblCellMar>
          <w:top w:w="0" w:type="dxa"/>
          <w:left w:w="0" w:type="dxa"/>
          <w:bottom w:w="0" w:type="dxa"/>
          <w:right w:w="0" w:type="dxa"/>
        </w:tblCellMar>
      </w:tblPr>
      <w:tr>
        <w:trPr>
          <w:trHeight w:val="137"/>
        </w:trPr>
        <w:tc>
          <w:tcPr>
            <w:tcW w:w="3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gridSpan w:val="2"/>
          </w:tcPr>
          <w:p>
            <w:pPr>
              <w:jc w:val="center"/>
              <w:ind w:right="100"/>
              <w:spacing w:after="0"/>
              <w:rPr>
                <w:sz w:val="20"/>
                <w:szCs w:val="20"/>
                <w:color w:val="auto"/>
              </w:rPr>
            </w:pPr>
            <w:r>
              <w:rPr>
                <w:rFonts w:ascii="Arial" w:cs="Arial" w:eastAsia="Arial" w:hAnsi="Arial"/>
                <w:sz w:val="11"/>
                <w:szCs w:val="11"/>
                <w:color w:val="auto"/>
                <w:w w:val="90"/>
              </w:rPr>
              <w:t>Significant</w:t>
            </w:r>
          </w:p>
        </w:tc>
        <w:tc>
          <w:tcPr>
            <w:tcW w:w="1560" w:type="dxa"/>
            <w:vAlign w:val="bottom"/>
            <w:tcBorders>
              <w:bottom w:val="single" w:sz="8" w:color="auto"/>
            </w:tcBorders>
            <w:gridSpan w:val="2"/>
          </w:tcPr>
          <w:p>
            <w:pPr>
              <w:ind w:left="440"/>
              <w:spacing w:after="0"/>
              <w:rPr>
                <w:sz w:val="20"/>
                <w:szCs w:val="20"/>
                <w:color w:val="auto"/>
              </w:rPr>
            </w:pPr>
            <w:r>
              <w:rPr>
                <w:rFonts w:ascii="Arial" w:cs="Arial" w:eastAsia="Arial" w:hAnsi="Arial"/>
                <w:sz w:val="11"/>
                <w:szCs w:val="11"/>
                <w:color w:val="auto"/>
              </w:rPr>
              <w:t>Range of Inputs</w:t>
            </w: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200"/>
        </w:trPr>
        <w:tc>
          <w:tcPr>
            <w:tcW w:w="3080" w:type="dxa"/>
            <w:vAlign w:val="bottom"/>
          </w:tcPr>
          <w:p>
            <w:pPr>
              <w:spacing w:after="0"/>
              <w:rPr>
                <w:sz w:val="17"/>
                <w:szCs w:val="17"/>
                <w:color w:val="auto"/>
              </w:rPr>
            </w:pPr>
          </w:p>
        </w:tc>
        <w:tc>
          <w:tcPr>
            <w:tcW w:w="1220" w:type="dxa"/>
            <w:vAlign w:val="bottom"/>
            <w:gridSpan w:val="2"/>
          </w:tcPr>
          <w:p>
            <w:pPr>
              <w:ind w:left="300"/>
              <w:spacing w:after="0"/>
              <w:rPr>
                <w:sz w:val="20"/>
                <w:szCs w:val="20"/>
                <w:color w:val="auto"/>
              </w:rPr>
            </w:pPr>
            <w:r>
              <w:rPr>
                <w:rFonts w:ascii="Arial" w:cs="Arial" w:eastAsia="Arial" w:hAnsi="Arial"/>
                <w:sz w:val="11"/>
                <w:szCs w:val="11"/>
                <w:color w:val="auto"/>
              </w:rPr>
              <w:t>Fair Value at</w:t>
            </w:r>
          </w:p>
        </w:tc>
        <w:tc>
          <w:tcPr>
            <w:tcW w:w="1380" w:type="dxa"/>
            <w:vAlign w:val="bottom"/>
            <w:gridSpan w:val="2"/>
          </w:tcPr>
          <w:p>
            <w:pPr>
              <w:jc w:val="center"/>
              <w:ind w:right="80"/>
              <w:spacing w:after="0"/>
              <w:rPr>
                <w:sz w:val="20"/>
                <w:szCs w:val="20"/>
                <w:color w:val="auto"/>
              </w:rPr>
            </w:pPr>
            <w:r>
              <w:rPr>
                <w:rFonts w:ascii="Arial" w:cs="Arial" w:eastAsia="Arial" w:hAnsi="Arial"/>
                <w:sz w:val="11"/>
                <w:szCs w:val="11"/>
                <w:color w:val="auto"/>
                <w:w w:val="91"/>
              </w:rPr>
              <w:t>Valuation</w:t>
            </w:r>
          </w:p>
        </w:tc>
        <w:tc>
          <w:tcPr>
            <w:tcW w:w="2320" w:type="dxa"/>
            <w:vAlign w:val="bottom"/>
            <w:gridSpan w:val="2"/>
          </w:tcPr>
          <w:p>
            <w:pPr>
              <w:jc w:val="center"/>
              <w:ind w:right="100"/>
              <w:spacing w:after="0"/>
              <w:rPr>
                <w:sz w:val="20"/>
                <w:szCs w:val="20"/>
                <w:color w:val="auto"/>
              </w:rPr>
            </w:pPr>
            <w:r>
              <w:rPr>
                <w:rFonts w:ascii="Arial" w:cs="Arial" w:eastAsia="Arial" w:hAnsi="Arial"/>
                <w:sz w:val="11"/>
                <w:szCs w:val="11"/>
                <w:color w:val="auto"/>
                <w:w w:val="85"/>
              </w:rPr>
              <w:t>Unobservable</w:t>
            </w:r>
          </w:p>
        </w:tc>
        <w:tc>
          <w:tcPr>
            <w:tcW w:w="760" w:type="dxa"/>
            <w:vAlign w:val="bottom"/>
          </w:tcPr>
          <w:p>
            <w:pPr>
              <w:jc w:val="center"/>
              <w:spacing w:after="0"/>
              <w:rPr>
                <w:sz w:val="20"/>
                <w:szCs w:val="20"/>
                <w:color w:val="auto"/>
              </w:rPr>
            </w:pPr>
            <w:r>
              <w:rPr>
                <w:rFonts w:ascii="Arial" w:cs="Arial" w:eastAsia="Arial" w:hAnsi="Arial"/>
                <w:sz w:val="11"/>
                <w:szCs w:val="11"/>
                <w:color w:val="auto"/>
                <w:w w:val="94"/>
              </w:rPr>
              <w:t>Minimum</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w w:val="92"/>
              </w:rPr>
              <w:t>Maximum</w:t>
            </w:r>
          </w:p>
        </w:tc>
        <w:tc>
          <w:tcPr>
            <w:tcW w:w="800" w:type="dxa"/>
            <w:vAlign w:val="bottom"/>
          </w:tcPr>
          <w:p>
            <w:pPr>
              <w:jc w:val="center"/>
              <w:spacing w:after="0"/>
              <w:rPr>
                <w:sz w:val="20"/>
                <w:szCs w:val="20"/>
                <w:color w:val="auto"/>
              </w:rPr>
            </w:pPr>
            <w:r>
              <w:rPr>
                <w:rFonts w:ascii="Arial" w:cs="Arial" w:eastAsia="Arial" w:hAnsi="Arial"/>
                <w:sz w:val="11"/>
                <w:szCs w:val="11"/>
                <w:color w:val="auto"/>
                <w:w w:val="85"/>
              </w:rPr>
              <w:t>Weighted</w:t>
            </w:r>
          </w:p>
        </w:tc>
      </w:tr>
      <w:tr>
        <w:trPr>
          <w:trHeight w:val="229"/>
        </w:trPr>
        <w:tc>
          <w:tcPr>
            <w:tcW w:w="30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287"/>
              <w:spacing w:after="0"/>
              <w:rPr>
                <w:sz w:val="20"/>
                <w:szCs w:val="20"/>
                <w:color w:val="auto"/>
              </w:rPr>
            </w:pPr>
            <w:r>
              <w:rPr>
                <w:rFonts w:ascii="Arial" w:cs="Arial" w:eastAsia="Arial" w:hAnsi="Arial"/>
                <w:sz w:val="11"/>
                <w:szCs w:val="11"/>
                <w:color w:val="auto"/>
              </w:rPr>
              <w:t>12/31/2019</w:t>
            </w:r>
          </w:p>
        </w:tc>
        <w:tc>
          <w:tcPr>
            <w:tcW w:w="8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5"/>
              </w:rPr>
              <w:t>Technique</w:t>
            </w:r>
          </w:p>
        </w:tc>
        <w:tc>
          <w:tcPr>
            <w:tcW w:w="8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1"/>
              </w:rPr>
              <w:t>Input(s)</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5"/>
              </w:rPr>
              <w:t>Value</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5"/>
              </w:rPr>
              <w:t>Value</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82"/>
              </w:rPr>
              <w:t>Average</w:t>
            </w:r>
          </w:p>
        </w:tc>
      </w:tr>
      <w:tr>
        <w:trPr>
          <w:trHeight w:val="120"/>
        </w:trPr>
        <w:tc>
          <w:tcPr>
            <w:tcW w:w="308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color w:val="auto"/>
              </w:rPr>
              <w:t>Loans held for sale</w:t>
            </w:r>
          </w:p>
        </w:tc>
        <w:tc>
          <w:tcPr>
            <w:tcW w:w="1140" w:type="dxa"/>
            <w:vAlign w:val="bottom"/>
            <w:shd w:val="clear" w:color="auto" w:fill="CCEEFF"/>
          </w:tcPr>
          <w:p>
            <w:pPr>
              <w:jc w:val="right"/>
              <w:spacing w:after="0" w:line="121" w:lineRule="exact"/>
              <w:rPr>
                <w:sz w:val="20"/>
                <w:szCs w:val="20"/>
                <w:color w:val="auto"/>
              </w:rPr>
            </w:pPr>
            <w:r>
              <w:rPr>
                <w:rFonts w:ascii="Arial" w:cs="Arial" w:eastAsia="Arial" w:hAnsi="Arial"/>
                <w:sz w:val="11"/>
                <w:szCs w:val="11"/>
                <w:color w:val="auto"/>
              </w:rPr>
              <w:t>$  213,457,632</w:t>
            </w:r>
          </w:p>
        </w:tc>
        <w:tc>
          <w:tcPr>
            <w:tcW w:w="8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1"/>
                <w:szCs w:val="11"/>
                <w:color w:val="auto"/>
              </w:rPr>
              <w:t>Market approach</w:t>
            </w:r>
          </w:p>
        </w:tc>
        <w:tc>
          <w:tcPr>
            <w:tcW w:w="232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w w:val="93"/>
              </w:rPr>
              <w:t>Investor contract pricing as a percentage of unpaid</w:t>
            </w:r>
          </w:p>
        </w:tc>
        <w:tc>
          <w:tcPr>
            <w:tcW w:w="76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w w:val="89"/>
              </w:rPr>
              <w:t>98.0%</w:t>
            </w:r>
          </w:p>
        </w:tc>
        <w:tc>
          <w:tcPr>
            <w:tcW w:w="80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w w:val="85"/>
              </w:rPr>
              <w:t>109.0%</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187"/>
              <w:spacing w:after="0" w:line="121" w:lineRule="exact"/>
              <w:rPr>
                <w:sz w:val="20"/>
                <w:szCs w:val="20"/>
                <w:color w:val="auto"/>
              </w:rPr>
            </w:pPr>
            <w:r>
              <w:rPr>
                <w:rFonts w:ascii="Arial" w:cs="Arial" w:eastAsia="Arial" w:hAnsi="Arial"/>
                <w:sz w:val="11"/>
                <w:szCs w:val="11"/>
                <w:color w:val="auto"/>
              </w:rPr>
              <w:t>103.0%</w:t>
            </w:r>
          </w:p>
        </w:tc>
      </w:tr>
      <w:tr>
        <w:trPr>
          <w:trHeight w:val="142"/>
        </w:trPr>
        <w:tc>
          <w:tcPr>
            <w:tcW w:w="30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principal balance</w:t>
            </w:r>
          </w:p>
        </w:tc>
        <w:tc>
          <w:tcPr>
            <w:tcW w:w="7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45"/>
        </w:trPr>
        <w:tc>
          <w:tcPr>
            <w:tcW w:w="3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72"/>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Derivatives - loan commitments (net)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2,491,233</w:t>
            </w:r>
          </w:p>
        </w:tc>
        <w:tc>
          <w:tcPr>
            <w:tcW w:w="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Market approach</w:t>
            </w:r>
          </w:p>
        </w:tc>
        <w:tc>
          <w:tcPr>
            <w:tcW w:w="2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Fall-out factor</w:t>
            </w:r>
          </w:p>
        </w:tc>
        <w:tc>
          <w:tcPr>
            <w:tcW w:w="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7"/>
              </w:rPr>
              <w:t>1.0%</w:t>
            </w:r>
          </w:p>
        </w:tc>
        <w:tc>
          <w:tcPr>
            <w:tcW w:w="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92.0%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07"/>
              <w:spacing w:after="0"/>
              <w:rPr>
                <w:sz w:val="20"/>
                <w:szCs w:val="20"/>
                <w:color w:val="auto"/>
              </w:rPr>
            </w:pPr>
            <w:r>
              <w:rPr>
                <w:rFonts w:ascii="Arial" w:cs="Arial" w:eastAsia="Arial" w:hAnsi="Arial"/>
                <w:sz w:val="11"/>
                <w:szCs w:val="11"/>
                <w:color w:val="auto"/>
              </w:rPr>
              <w:t>81.0%</w:t>
            </w:r>
          </w:p>
        </w:tc>
      </w:tr>
      <w:tr>
        <w:trPr>
          <w:trHeight w:val="140"/>
        </w:trPr>
        <w:tc>
          <w:tcPr>
            <w:tcW w:w="3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20" w:type="dxa"/>
            <w:vAlign w:val="bottom"/>
            <w:gridSpan w:val="2"/>
          </w:tcPr>
          <w:p>
            <w:pPr>
              <w:spacing w:after="0"/>
              <w:rPr>
                <w:sz w:val="20"/>
                <w:szCs w:val="20"/>
                <w:color w:val="auto"/>
              </w:rPr>
            </w:pPr>
            <w:r>
              <w:rPr>
                <w:rFonts w:ascii="Arial" w:cs="Arial" w:eastAsia="Arial" w:hAnsi="Arial"/>
                <w:sz w:val="11"/>
                <w:szCs w:val="11"/>
                <w:color w:val="auto"/>
              </w:rPr>
              <w:t>Initial-Value</w:t>
            </w:r>
          </w:p>
        </w:tc>
        <w:tc>
          <w:tcPr>
            <w:tcW w:w="760" w:type="dxa"/>
            <w:vAlign w:val="bottom"/>
          </w:tcPr>
          <w:p>
            <w:pPr>
              <w:jc w:val="center"/>
              <w:spacing w:after="0"/>
              <w:rPr>
                <w:sz w:val="20"/>
                <w:szCs w:val="20"/>
                <w:color w:val="auto"/>
              </w:rPr>
            </w:pPr>
            <w:r>
              <w:rPr>
                <w:rFonts w:ascii="Arial" w:cs="Arial" w:eastAsia="Arial" w:hAnsi="Arial"/>
                <w:sz w:val="11"/>
                <w:szCs w:val="11"/>
                <w:color w:val="auto"/>
                <w:w w:val="97"/>
              </w:rPr>
              <w:t>N/A</w:t>
            </w: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rPr>
              <w:t>N/A</w:t>
            </w:r>
          </w:p>
        </w:tc>
        <w:tc>
          <w:tcPr>
            <w:tcW w:w="800" w:type="dxa"/>
            <w:vAlign w:val="bottom"/>
          </w:tcPr>
          <w:p>
            <w:pPr>
              <w:jc w:val="center"/>
              <w:spacing w:after="0"/>
              <w:rPr>
                <w:sz w:val="20"/>
                <w:szCs w:val="20"/>
                <w:color w:val="auto"/>
              </w:rPr>
            </w:pPr>
            <w:r>
              <w:rPr>
                <w:rFonts w:ascii="Arial" w:cs="Arial" w:eastAsia="Arial" w:hAnsi="Arial"/>
                <w:sz w:val="11"/>
                <w:szCs w:val="11"/>
                <w:color w:val="auto"/>
                <w:w w:val="97"/>
              </w:rPr>
              <w:t>N/A</w:t>
            </w:r>
          </w:p>
        </w:tc>
      </w:tr>
      <w:tr>
        <w:trPr>
          <w:trHeight w:val="150"/>
        </w:trPr>
        <w:tc>
          <w:tcPr>
            <w:tcW w:w="30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Servicing</w:t>
            </w:r>
          </w:p>
        </w:tc>
        <w:tc>
          <w:tcPr>
            <w:tcW w:w="76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9"/>
              </w:rPr>
              <w:t>0 bps</w:t>
            </w:r>
          </w:p>
        </w:tc>
        <w:tc>
          <w:tcPr>
            <w:tcW w:w="9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81"/>
              </w:rPr>
              <w:t>318 bps</w:t>
            </w:r>
          </w:p>
        </w:tc>
        <w:tc>
          <w:tcPr>
            <w:tcW w:w="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84"/>
              </w:rPr>
              <w:t>79 bps</w:t>
            </w:r>
          </w:p>
        </w:tc>
      </w:tr>
      <w:tr>
        <w:trPr>
          <w:trHeight w:val="145"/>
        </w:trPr>
        <w:tc>
          <w:tcPr>
            <w:tcW w:w="3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5"/>
        </w:trPr>
        <w:tc>
          <w:tcPr>
            <w:tcW w:w="3080" w:type="dxa"/>
            <w:vAlign w:val="bottom"/>
            <w:shd w:val="clear" w:color="auto" w:fill="CCEEFF"/>
          </w:tcPr>
          <w:p>
            <w:pPr>
              <w:ind w:left="20"/>
              <w:spacing w:after="0"/>
              <w:rPr>
                <w:sz w:val="20"/>
                <w:szCs w:val="20"/>
                <w:color w:val="auto"/>
              </w:rPr>
            </w:pPr>
            <w:r>
              <w:rPr>
                <w:rFonts w:ascii="Arial" w:cs="Arial" w:eastAsia="Arial" w:hAnsi="Arial"/>
                <w:sz w:val="11"/>
                <w:szCs w:val="11"/>
                <w:color w:val="auto"/>
              </w:rPr>
              <w:t>Fixed maturity securities available for sale</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3,216,382</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Broker quotes</w:t>
            </w:r>
          </w:p>
        </w:tc>
        <w:tc>
          <w:tcPr>
            <w:tcW w:w="2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Pricing quotes</w:t>
            </w:r>
          </w:p>
        </w:tc>
        <w:tc>
          <w:tcPr>
            <w:tcW w:w="7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  95.02</w:t>
            </w:r>
          </w:p>
        </w:tc>
        <w:tc>
          <w:tcPr>
            <w:tcW w:w="800" w:type="dxa"/>
            <w:vAlign w:val="bottom"/>
            <w:shd w:val="clear" w:color="auto" w:fill="CCEEFF"/>
          </w:tcPr>
          <w:p>
            <w:pPr>
              <w:jc w:val="center"/>
              <w:spacing w:after="0"/>
              <w:rPr>
                <w:sz w:val="20"/>
                <w:szCs w:val="20"/>
                <w:color w:val="auto"/>
              </w:rPr>
            </w:pPr>
            <w:r>
              <w:rPr>
                <w:rFonts w:ascii="Arial" w:cs="Arial" w:eastAsia="Arial" w:hAnsi="Arial"/>
                <w:sz w:val="11"/>
                <w:szCs w:val="11"/>
                <w:color w:val="auto"/>
                <w:w w:val="93"/>
              </w:rPr>
              <w:t>$ 115.80</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07"/>
              <w:spacing w:after="0"/>
              <w:rPr>
                <w:sz w:val="20"/>
                <w:szCs w:val="20"/>
                <w:color w:val="auto"/>
              </w:rPr>
            </w:pPr>
            <w:r>
              <w:rPr>
                <w:rFonts w:ascii="Arial" w:cs="Arial" w:eastAsia="Arial" w:hAnsi="Arial"/>
                <w:sz w:val="11"/>
                <w:szCs w:val="11"/>
                <w:color w:val="auto"/>
                <w:w w:val="91"/>
              </w:rPr>
              <w:t>$  107.98</w:t>
            </w:r>
          </w:p>
        </w:tc>
      </w:tr>
    </w:tbl>
    <w:p>
      <w:pPr>
        <w:spacing w:after="0" w:line="221" w:lineRule="exact"/>
        <w:rPr>
          <w:sz w:val="20"/>
          <w:szCs w:val="20"/>
          <w:color w:val="auto"/>
        </w:rPr>
      </w:pPr>
    </w:p>
    <w:p>
      <w:pPr>
        <w:ind w:left="4343"/>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10463"/>
          </w:cols>
          <w:pgMar w:left="1197" w:top="122" w:right="239" w:bottom="1440" w:gutter="0" w:footer="0" w:header="0"/>
        </w:sectPr>
      </w:pPr>
    </w:p>
    <w:bookmarkStart w:id="36" w:name="page37"/>
    <w:bookmarkEnd w:id="36"/>
    <w:p>
      <w:pPr>
        <w:jc w:val="center"/>
        <w:ind w:left="1200" w:right="1280"/>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3" w:right="399"/>
        <w:spacing w:after="0" w:line="277" w:lineRule="auto"/>
        <w:rPr>
          <w:sz w:val="20"/>
          <w:szCs w:val="20"/>
          <w:color w:val="auto"/>
        </w:rPr>
      </w:pPr>
      <w:r>
        <w:rPr>
          <w:rFonts w:ascii="Arial" w:cs="Arial" w:eastAsia="Arial" w:hAnsi="Arial"/>
          <w:sz w:val="19"/>
          <w:szCs w:val="19"/>
          <w:color w:val="auto"/>
        </w:rPr>
        <w:t>Following is a summary of changes in the condensed consolidated balance sheet line items measured using level 3 inputs:</w:t>
      </w:r>
    </w:p>
    <w:p>
      <w:pPr>
        <w:spacing w:after="0" w:line="165"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color w:val="auto"/>
                <w:w w:val="93"/>
              </w:rPr>
              <w:t>Fixed Maturity Securities</w:t>
            </w:r>
          </w:p>
        </w:tc>
        <w:tc>
          <w:tcPr>
            <w:tcW w:w="300" w:type="dxa"/>
            <w:vAlign w:val="bottom"/>
          </w:tcPr>
          <w:p>
            <w:pPr>
              <w:spacing w:after="0"/>
              <w:rPr>
                <w:sz w:val="14"/>
                <w:szCs w:val="14"/>
                <w:color w:val="auto"/>
              </w:rPr>
            </w:pPr>
          </w:p>
        </w:tc>
      </w:tr>
      <w:tr>
        <w:trPr>
          <w:trHeight w:val="145"/>
        </w:trPr>
        <w:tc>
          <w:tcPr>
            <w:tcW w:w="3440" w:type="dxa"/>
            <w:vAlign w:val="bottom"/>
          </w:tcPr>
          <w:p>
            <w:pPr>
              <w:spacing w:after="0"/>
              <w:rPr>
                <w:sz w:val="12"/>
                <w:szCs w:val="12"/>
                <w:color w:val="auto"/>
              </w:rPr>
            </w:pPr>
          </w:p>
        </w:tc>
        <w:tc>
          <w:tcPr>
            <w:tcW w:w="1280" w:type="dxa"/>
            <w:vAlign w:val="bottom"/>
            <w:gridSpan w:val="2"/>
          </w:tcPr>
          <w:p>
            <w:pPr>
              <w:jc w:val="right"/>
              <w:ind w:right="310"/>
              <w:spacing w:after="0" w:line="145" w:lineRule="exact"/>
              <w:rPr>
                <w:sz w:val="20"/>
                <w:szCs w:val="20"/>
                <w:color w:val="auto"/>
              </w:rPr>
            </w:pPr>
            <w:r>
              <w:rPr>
                <w:rFonts w:ascii="Arial" w:cs="Arial" w:eastAsia="Arial" w:hAnsi="Arial"/>
                <w:sz w:val="14"/>
                <w:szCs w:val="14"/>
                <w:color w:val="auto"/>
              </w:rPr>
              <w:t>Net Loan</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center"/>
              <w:ind w:right="410"/>
              <w:spacing w:after="0" w:line="145" w:lineRule="exact"/>
              <w:rPr>
                <w:sz w:val="20"/>
                <w:szCs w:val="20"/>
                <w:color w:val="auto"/>
              </w:rPr>
            </w:pPr>
            <w:r>
              <w:rPr>
                <w:rFonts w:ascii="Arial" w:cs="Arial" w:eastAsia="Arial" w:hAnsi="Arial"/>
                <w:sz w:val="14"/>
                <w:szCs w:val="14"/>
                <w:color w:val="auto"/>
                <w:w w:val="91"/>
              </w:rPr>
              <w:t>Available</w:t>
            </w:r>
          </w:p>
        </w:tc>
        <w:tc>
          <w:tcPr>
            <w:tcW w:w="300" w:type="dxa"/>
            <w:vAlign w:val="bottom"/>
          </w:tcPr>
          <w:p>
            <w:pPr>
              <w:spacing w:after="0"/>
              <w:rPr>
                <w:sz w:val="12"/>
                <w:szCs w:val="12"/>
                <w:color w:val="auto"/>
              </w:rPr>
            </w:pPr>
          </w:p>
        </w:tc>
      </w:tr>
      <w:tr>
        <w:trPr>
          <w:trHeight w:val="177"/>
        </w:trPr>
        <w:tc>
          <w:tcPr>
            <w:tcW w:w="34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color w:val="auto"/>
              </w:rPr>
              <w:t>Commitments</w:t>
            </w:r>
          </w:p>
        </w:tc>
        <w:tc>
          <w:tcPr>
            <w:tcW w:w="24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color w:val="auto"/>
              </w:rPr>
              <w:t>Loans Held for Sale</w:t>
            </w:r>
          </w:p>
        </w:tc>
        <w:tc>
          <w:tcPr>
            <w:tcW w:w="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410"/>
              <w:spacing w:after="0"/>
              <w:rPr>
                <w:sz w:val="20"/>
                <w:szCs w:val="20"/>
                <w:color w:val="auto"/>
              </w:rPr>
            </w:pPr>
            <w:r>
              <w:rPr>
                <w:rFonts w:ascii="Arial" w:cs="Arial" w:eastAsia="Arial" w:hAnsi="Arial"/>
                <w:sz w:val="14"/>
                <w:szCs w:val="14"/>
                <w:color w:val="auto"/>
                <w:w w:val="91"/>
              </w:rPr>
              <w:t>for Sale</w:t>
            </w:r>
          </w:p>
        </w:tc>
        <w:tc>
          <w:tcPr>
            <w:tcW w:w="300" w:type="dxa"/>
            <w:vAlign w:val="bottom"/>
            <w:tcBorders>
              <w:bottom w:val="single" w:sz="8" w:color="CCEEFF"/>
            </w:tcBorders>
          </w:tcPr>
          <w:p>
            <w:pPr>
              <w:spacing w:after="0"/>
              <w:rPr>
                <w:sz w:val="15"/>
                <w:szCs w:val="15"/>
                <w:color w:val="auto"/>
              </w:rPr>
            </w:pPr>
          </w:p>
        </w:tc>
      </w:tr>
      <w:tr>
        <w:trPr>
          <w:trHeight w:val="21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 December 31, 2019</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2,491,233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213,457,632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3,216,382</w:t>
            </w:r>
          </w:p>
        </w:tc>
        <w:tc>
          <w:tcPr>
            <w:tcW w:w="300" w:type="dxa"/>
            <w:vAlign w:val="bottom"/>
            <w:shd w:val="clear" w:color="auto" w:fill="CCEEFF"/>
          </w:tcPr>
          <w:p>
            <w:pPr>
              <w:spacing w:after="0"/>
              <w:rPr>
                <w:sz w:val="18"/>
                <w:szCs w:val="18"/>
                <w:color w:val="auto"/>
              </w:rPr>
            </w:pPr>
          </w:p>
        </w:tc>
      </w:tr>
      <w:tr>
        <w:trPr>
          <w:trHeight w:val="238"/>
        </w:trPr>
        <w:tc>
          <w:tcPr>
            <w:tcW w:w="3440" w:type="dxa"/>
            <w:vAlign w:val="bottom"/>
          </w:tcPr>
          <w:p>
            <w:pPr>
              <w:ind w:left="20"/>
              <w:spacing w:after="0"/>
              <w:rPr>
                <w:sz w:val="20"/>
                <w:szCs w:val="20"/>
                <w:color w:val="auto"/>
              </w:rPr>
            </w:pPr>
            <w:r>
              <w:rPr>
                <w:rFonts w:ascii="Arial" w:cs="Arial" w:eastAsia="Arial" w:hAnsi="Arial"/>
                <w:sz w:val="14"/>
                <w:szCs w:val="14"/>
                <w:color w:val="auto"/>
              </w:rPr>
              <w:t>Originations and purchases</w:t>
            </w: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2,105,048,030</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r>
      <w:tr>
        <w:trPr>
          <w:trHeight w:val="238"/>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maturities and paydowns</w:t>
            </w:r>
          </w:p>
        </w:tc>
        <w:tc>
          <w:tcPr>
            <w:tcW w:w="5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(2,017,976,791)</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(1,020,800)</w:t>
            </w:r>
          </w:p>
        </w:tc>
        <w:tc>
          <w:tcPr>
            <w:tcW w:w="300" w:type="dxa"/>
            <w:vAlign w:val="bottom"/>
            <w:shd w:val="clear" w:color="auto" w:fill="CCEEFF"/>
          </w:tcPr>
          <w:p>
            <w:pPr>
              <w:spacing w:after="0"/>
              <w:rPr>
                <w:sz w:val="20"/>
                <w:szCs w:val="20"/>
                <w:color w:val="auto"/>
              </w:rPr>
            </w:pPr>
          </w:p>
        </w:tc>
      </w:tr>
      <w:tr>
        <w:trPr>
          <w:trHeight w:val="238"/>
        </w:trPr>
        <w:tc>
          <w:tcPr>
            <w:tcW w:w="3440" w:type="dxa"/>
            <w:vAlign w:val="bottom"/>
          </w:tcPr>
          <w:p>
            <w:pPr>
              <w:ind w:left="20"/>
              <w:spacing w:after="0"/>
              <w:rPr>
                <w:sz w:val="20"/>
                <w:szCs w:val="20"/>
                <w:color w:val="auto"/>
              </w:rPr>
            </w:pPr>
            <w:r>
              <w:rPr>
                <w:rFonts w:ascii="Arial" w:cs="Arial" w:eastAsia="Arial" w:hAnsi="Arial"/>
                <w:sz w:val="14"/>
                <w:szCs w:val="14"/>
                <w:color w:val="auto"/>
              </w:rPr>
              <w:t>Transfer to mortgage loans held for investment</w:t>
            </w:r>
          </w:p>
        </w:tc>
        <w:tc>
          <w:tcPr>
            <w:tcW w:w="5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(8,933,676)</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0"/>
                <w:szCs w:val="20"/>
                <w:color w:val="auto"/>
              </w:rPr>
            </w:pPr>
          </w:p>
        </w:tc>
      </w:tr>
      <w:tr>
        <w:trPr>
          <w:trHeight w:val="224"/>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gains (losses):</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r>
      <w:tr>
        <w:trPr>
          <w:trHeight w:val="224"/>
        </w:trPr>
        <w:tc>
          <w:tcPr>
            <w:tcW w:w="3440" w:type="dxa"/>
            <w:vAlign w:val="bottom"/>
          </w:tcPr>
          <w:p>
            <w:pPr>
              <w:ind w:left="160"/>
              <w:spacing w:after="0"/>
              <w:rPr>
                <w:sz w:val="20"/>
                <w:szCs w:val="20"/>
                <w:color w:val="auto"/>
              </w:rPr>
            </w:pPr>
            <w:r>
              <w:rPr>
                <w:rFonts w:ascii="Arial" w:cs="Arial" w:eastAsia="Arial" w:hAnsi="Arial"/>
                <w:sz w:val="14"/>
                <w:szCs w:val="14"/>
                <w:color w:val="auto"/>
              </w:rPr>
              <w:t>Included in earnings</w:t>
            </w:r>
          </w:p>
        </w:tc>
        <w:tc>
          <w:tcPr>
            <w:tcW w:w="5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8,553,132</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65,354,763</w:t>
            </w: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1,672</w:t>
            </w:r>
          </w:p>
        </w:tc>
        <w:tc>
          <w:tcPr>
            <w:tcW w:w="300" w:type="dxa"/>
            <w:vAlign w:val="bottom"/>
          </w:tcPr>
          <w:p>
            <w:pPr>
              <w:jc w:val="right"/>
              <w:ind w:right="50"/>
              <w:spacing w:after="0"/>
              <w:rPr>
                <w:sz w:val="20"/>
                <w:szCs w:val="20"/>
                <w:color w:val="auto"/>
              </w:rPr>
            </w:pPr>
            <w:r>
              <w:rPr>
                <w:rFonts w:ascii="Arial" w:cs="Arial" w:eastAsia="Arial" w:hAnsi="Arial"/>
                <w:sz w:val="14"/>
                <w:szCs w:val="14"/>
                <w:color w:val="auto"/>
                <w:w w:val="93"/>
              </w:rPr>
              <w:t>(2)</w:t>
            </w:r>
          </w:p>
        </w:tc>
      </w:tr>
      <w:tr>
        <w:trPr>
          <w:trHeight w:val="224"/>
        </w:trPr>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Included in other comprehensive income</w:t>
            </w: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24,138</w:t>
            </w:r>
          </w:p>
        </w:tc>
        <w:tc>
          <w:tcPr>
            <w:tcW w:w="300" w:type="dxa"/>
            <w:vAlign w:val="bottom"/>
            <w:shd w:val="clear" w:color="auto" w:fill="CCEEFF"/>
          </w:tcPr>
          <w:p>
            <w:pPr>
              <w:spacing w:after="0"/>
              <w:rPr>
                <w:sz w:val="19"/>
                <w:szCs w:val="19"/>
                <w:color w:val="auto"/>
              </w:rPr>
            </w:pPr>
          </w:p>
        </w:tc>
      </w:tr>
      <w:tr>
        <w:trPr>
          <w:trHeight w:val="172"/>
        </w:trPr>
        <w:tc>
          <w:tcPr>
            <w:tcW w:w="34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r>
      <w:tr>
        <w:trPr>
          <w:trHeight w:val="204"/>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 June 30, 2020</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11,044,365</w:t>
            </w: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356,949,958</w:t>
            </w:r>
          </w:p>
        </w:tc>
        <w:tc>
          <w:tcPr>
            <w:tcW w:w="2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2,221,392</w:t>
            </w:r>
          </w:p>
        </w:tc>
        <w:tc>
          <w:tcPr>
            <w:tcW w:w="300" w:type="dxa"/>
            <w:vAlign w:val="bottom"/>
            <w:tcBorders>
              <w:bottom w:val="single" w:sz="8" w:color="CCEEFF"/>
            </w:tcBorders>
            <w:shd w:val="clear" w:color="auto" w:fill="CCEEFF"/>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100330</wp:posOffset>
            </wp:positionV>
            <wp:extent cx="5619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1975" cy="8255"/>
                    </a:xfrm>
                    <a:prstGeom prst="rect">
                      <a:avLst/>
                    </a:prstGeom>
                    <a:noFill/>
                  </pic:spPr>
                </pic:pic>
              </a:graphicData>
            </a:graphic>
          </wp:anchor>
        </w:drawing>
      </w:r>
    </w:p>
    <w:p>
      <w:pPr>
        <w:spacing w:after="0" w:line="146" w:lineRule="exact"/>
        <w:rPr>
          <w:sz w:val="20"/>
          <w:szCs w:val="20"/>
          <w:color w:val="auto"/>
        </w:rPr>
      </w:pPr>
    </w:p>
    <w:p>
      <w:pPr>
        <w:ind w:left="203" w:hanging="190"/>
        <w:spacing w:after="0"/>
        <w:tabs>
          <w:tab w:leader="none" w:pos="203"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a component of Mortgage fee income on the condensed consolidated statements of earnings</w:t>
      </w:r>
    </w:p>
    <w:p>
      <w:pPr>
        <w:spacing w:after="0" w:line="63" w:lineRule="exact"/>
        <w:rPr>
          <w:rFonts w:ascii="Arial" w:cs="Arial" w:eastAsia="Arial" w:hAnsi="Arial"/>
          <w:sz w:val="14"/>
          <w:szCs w:val="14"/>
          <w:color w:val="auto"/>
        </w:rPr>
      </w:pPr>
    </w:p>
    <w:p>
      <w:pPr>
        <w:ind w:left="203" w:hanging="190"/>
        <w:spacing w:after="0"/>
        <w:tabs>
          <w:tab w:leader="none" w:pos="203" w:val="left"/>
        </w:tabs>
        <w:numPr>
          <w:ilvl w:val="0"/>
          <w:numId w:val="44"/>
        </w:numPr>
        <w:rPr>
          <w:rFonts w:ascii="Arial" w:cs="Arial" w:eastAsia="Arial" w:hAnsi="Arial"/>
          <w:sz w:val="14"/>
          <w:szCs w:val="14"/>
          <w:color w:val="auto"/>
        </w:rPr>
      </w:pPr>
      <w:r>
        <w:rPr>
          <w:rFonts w:ascii="Arial" w:cs="Arial" w:eastAsia="Arial" w:hAnsi="Arial"/>
          <w:sz w:val="14"/>
          <w:szCs w:val="14"/>
          <w:color w:val="auto"/>
        </w:rPr>
        <w:t>As a component of Net investment income on the condensed 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-240665</wp:posOffset>
            </wp:positionV>
            <wp:extent cx="5374640" cy="142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374640" cy="142240"/>
                    </a:xfrm>
                    <a:prstGeom prst="rect">
                      <a:avLst/>
                    </a:prstGeom>
                    <a:noFill/>
                  </pic:spPr>
                </pic:pic>
              </a:graphicData>
            </a:graphic>
          </wp:anchor>
        </w:drawing>
      </w:r>
    </w:p>
    <w:p>
      <w:pPr>
        <w:spacing w:after="0" w:line="257" w:lineRule="exact"/>
        <w:rPr>
          <w:sz w:val="20"/>
          <w:szCs w:val="20"/>
          <w:color w:val="auto"/>
        </w:rPr>
      </w:pPr>
    </w:p>
    <w:p>
      <w:pPr>
        <w:ind w:left="3" w:right="399"/>
        <w:spacing w:after="0" w:line="277" w:lineRule="auto"/>
        <w:rPr>
          <w:sz w:val="20"/>
          <w:szCs w:val="20"/>
          <w:color w:val="auto"/>
        </w:rPr>
      </w:pPr>
      <w:r>
        <w:rPr>
          <w:rFonts w:ascii="Arial" w:cs="Arial" w:eastAsia="Arial" w:hAnsi="Arial"/>
          <w:sz w:val="19"/>
          <w:szCs w:val="19"/>
          <w:color w:val="auto"/>
        </w:rPr>
        <w:t>Following is a summary of changes in the condensed consolidated balance sheet line items measured using level 3 inputs:</w:t>
      </w:r>
    </w:p>
    <w:p>
      <w:pPr>
        <w:spacing w:after="0" w:line="363"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Net Derivatives Loan</w:t>
            </w: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w w:val="95"/>
              </w:rPr>
              <w:t>Fixed Maturity Securities</w:t>
            </w:r>
          </w:p>
        </w:tc>
      </w:tr>
      <w:tr>
        <w:trPr>
          <w:trHeight w:val="177"/>
        </w:trPr>
        <w:tc>
          <w:tcPr>
            <w:tcW w:w="4020" w:type="dxa"/>
            <w:vAlign w:val="bottom"/>
          </w:tcPr>
          <w:p>
            <w:pPr>
              <w:spacing w:after="0"/>
              <w:rPr>
                <w:sz w:val="15"/>
                <w:szCs w:val="15"/>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color w:val="auto"/>
                <w:w w:val="90"/>
              </w:rPr>
              <w:t>Commitments</w:t>
            </w:r>
          </w:p>
        </w:tc>
        <w:tc>
          <w:tcPr>
            <w:tcW w:w="1580" w:type="dxa"/>
            <w:vAlign w:val="bottom"/>
            <w:gridSpan w:val="3"/>
          </w:tcPr>
          <w:p>
            <w:pPr>
              <w:ind w:left="120"/>
              <w:spacing w:after="0"/>
              <w:rPr>
                <w:sz w:val="20"/>
                <w:szCs w:val="20"/>
                <w:color w:val="auto"/>
              </w:rPr>
            </w:pPr>
            <w:r>
              <w:rPr>
                <w:rFonts w:ascii="Arial" w:cs="Arial" w:eastAsia="Arial" w:hAnsi="Arial"/>
                <w:sz w:val="14"/>
                <w:szCs w:val="14"/>
                <w:color w:val="auto"/>
              </w:rPr>
              <w:t>Loans Held for Sale</w:t>
            </w:r>
          </w:p>
        </w:tc>
        <w:tc>
          <w:tcPr>
            <w:tcW w:w="1500" w:type="dxa"/>
            <w:vAlign w:val="bottom"/>
            <w:gridSpan w:val="2"/>
          </w:tcPr>
          <w:p>
            <w:pPr>
              <w:jc w:val="right"/>
              <w:ind w:right="170"/>
              <w:spacing w:after="0"/>
              <w:rPr>
                <w:sz w:val="20"/>
                <w:szCs w:val="20"/>
                <w:color w:val="auto"/>
              </w:rPr>
            </w:pPr>
            <w:r>
              <w:rPr>
                <w:rFonts w:ascii="Arial" w:cs="Arial" w:eastAsia="Arial" w:hAnsi="Arial"/>
                <w:sz w:val="14"/>
                <w:szCs w:val="14"/>
                <w:color w:val="auto"/>
              </w:rPr>
              <w:t>Available for Sale</w:t>
            </w:r>
          </w:p>
        </w:tc>
      </w:tr>
      <w:tr>
        <w:trPr>
          <w:trHeight w:val="204"/>
        </w:trPr>
        <w:tc>
          <w:tcPr>
            <w:tcW w:w="40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 December 31, 2018</w:t>
            </w:r>
          </w:p>
        </w:tc>
        <w:tc>
          <w:tcPr>
            <w:tcW w:w="6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1,591,816</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136,210,853</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4"/>
        </w:trPr>
        <w:tc>
          <w:tcPr>
            <w:tcW w:w="4020" w:type="dxa"/>
            <w:vAlign w:val="bottom"/>
          </w:tcPr>
          <w:p>
            <w:pPr>
              <w:ind w:left="20"/>
              <w:spacing w:after="0"/>
              <w:rPr>
                <w:sz w:val="20"/>
                <w:szCs w:val="20"/>
                <w:color w:val="auto"/>
              </w:rPr>
            </w:pPr>
            <w:r>
              <w:rPr>
                <w:rFonts w:ascii="Arial" w:cs="Arial" w:eastAsia="Arial" w:hAnsi="Arial"/>
                <w:sz w:val="14"/>
                <w:szCs w:val="14"/>
                <w:color w:val="auto"/>
              </w:rPr>
              <w:t>Originations/purchases</w:t>
            </w: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w w:val="98"/>
              </w:rPr>
              <w:t>2,606,839,175</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w:t>
            </w: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(2,580,875,055)</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4"/>
        </w:trPr>
        <w:tc>
          <w:tcPr>
            <w:tcW w:w="4020" w:type="dxa"/>
            <w:vAlign w:val="bottom"/>
          </w:tcPr>
          <w:p>
            <w:pPr>
              <w:ind w:left="20"/>
              <w:spacing w:after="0"/>
              <w:rPr>
                <w:sz w:val="20"/>
                <w:szCs w:val="20"/>
                <w:color w:val="auto"/>
              </w:rPr>
            </w:pPr>
            <w:r>
              <w:rPr>
                <w:rFonts w:ascii="Arial" w:cs="Arial" w:eastAsia="Arial" w:hAnsi="Arial"/>
                <w:sz w:val="14"/>
                <w:szCs w:val="14"/>
                <w:color w:val="auto"/>
              </w:rPr>
              <w:t>Transfer to mortgage loans held for investment</w:t>
            </w: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(31,881,851)</w:t>
            </w: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from fixed maturity securities held to maturity</w:t>
            </w: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3,216,382</w:t>
            </w:r>
          </w:p>
        </w:tc>
      </w:tr>
      <w:tr>
        <w:trPr>
          <w:trHeight w:val="224"/>
        </w:trPr>
        <w:tc>
          <w:tcPr>
            <w:tcW w:w="4020" w:type="dxa"/>
            <w:vAlign w:val="bottom"/>
          </w:tcPr>
          <w:p>
            <w:pPr>
              <w:ind w:left="20"/>
              <w:spacing w:after="0"/>
              <w:rPr>
                <w:sz w:val="20"/>
                <w:szCs w:val="20"/>
                <w:color w:val="auto"/>
              </w:rPr>
            </w:pPr>
            <w:r>
              <w:rPr>
                <w:rFonts w:ascii="Arial" w:cs="Arial" w:eastAsia="Arial" w:hAnsi="Arial"/>
                <w:sz w:val="14"/>
                <w:szCs w:val="14"/>
                <w:color w:val="auto"/>
              </w:rPr>
              <w:t>Total gains (losses):</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4"/>
        </w:trPr>
        <w:tc>
          <w:tcPr>
            <w:tcW w:w="4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Included in earnings (1)</w:t>
            </w:r>
          </w:p>
        </w:tc>
        <w:tc>
          <w:tcPr>
            <w:tcW w:w="6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899,417</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83,164,510</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2"/>
        </w:trPr>
        <w:tc>
          <w:tcPr>
            <w:tcW w:w="40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20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 December 31, 2019</w:t>
            </w:r>
          </w:p>
        </w:tc>
        <w:tc>
          <w:tcPr>
            <w:tcW w:w="6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2,491,233</w:t>
            </w: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213,457,632</w:t>
            </w:r>
          </w:p>
        </w:tc>
        <w:tc>
          <w:tcPr>
            <w:tcW w:w="2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3,216,382</w:t>
            </w:r>
          </w:p>
        </w:tc>
      </w:tr>
      <w:tr>
        <w:trPr>
          <w:trHeight w:val="20"/>
        </w:trPr>
        <w:tc>
          <w:tcPr>
            <w:tcW w:w="4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5516880" cy="151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16880" cy="151130"/>
                    </a:xfrm>
                    <a:prstGeom prst="rect">
                      <a:avLst/>
                    </a:prstGeom>
                    <a:noFill/>
                  </pic:spPr>
                </pic:pic>
              </a:graphicData>
            </a:graphic>
          </wp:anchor>
        </w:drawing>
      </w:r>
    </w:p>
    <w:p>
      <w:pPr>
        <w:spacing w:after="0" w:line="199" w:lineRule="exact"/>
        <w:rPr>
          <w:sz w:val="20"/>
          <w:szCs w:val="20"/>
          <w:color w:val="auto"/>
        </w:rPr>
      </w:pPr>
    </w:p>
    <w:p>
      <w:pPr>
        <w:ind w:left="23"/>
        <w:spacing w:after="0"/>
        <w:rPr>
          <w:sz w:val="20"/>
          <w:szCs w:val="20"/>
          <w:color w:val="auto"/>
        </w:rPr>
      </w:pPr>
      <w:r>
        <w:rPr>
          <w:rFonts w:ascii="Arial" w:cs="Arial" w:eastAsia="Arial" w:hAnsi="Arial"/>
          <w:sz w:val="14"/>
          <w:szCs w:val="14"/>
          <w:color w:val="auto"/>
        </w:rPr>
        <w:t>(1) As a component of mortgage fee income on the condensed consolidated statements of earnings</w:t>
      </w:r>
    </w:p>
    <w:p>
      <w:pPr>
        <w:spacing w:after="0" w:line="237" w:lineRule="exact"/>
        <w:rPr>
          <w:sz w:val="20"/>
          <w:szCs w:val="20"/>
          <w:color w:val="auto"/>
        </w:rPr>
      </w:pPr>
    </w:p>
    <w:p>
      <w:pPr>
        <w:jc w:val="center"/>
        <w:ind w:right="396"/>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37" w:name="page38"/>
    <w:bookmarkEnd w:id="37"/>
    <w:p>
      <w:pPr>
        <w:jc w:val="center"/>
        <w:ind w:left="1200" w:right="1280"/>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3" w:right="419"/>
        <w:spacing w:after="0" w:line="306"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condensed consolidated balance sheet at June 30, 2020.</w:t>
      </w:r>
    </w:p>
    <w:p>
      <w:pPr>
        <w:spacing w:after="0" w:line="392"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left="10"/>
              <w:spacing w:after="0"/>
              <w:rPr>
                <w:sz w:val="20"/>
                <w:szCs w:val="20"/>
                <w:color w:val="auto"/>
              </w:rPr>
            </w:pPr>
            <w:r>
              <w:rPr>
                <w:rFonts w:ascii="Arial" w:cs="Arial" w:eastAsia="Arial" w:hAnsi="Arial"/>
                <w:sz w:val="14"/>
                <w:szCs w:val="14"/>
                <w:color w:val="auto"/>
                <w:w w:val="90"/>
              </w:rPr>
              <w:t>Quoted Prices in</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ind w:left="110"/>
              <w:spacing w:after="0"/>
              <w:rPr>
                <w:sz w:val="20"/>
                <w:szCs w:val="20"/>
                <w:color w:val="auto"/>
              </w:rPr>
            </w:pPr>
            <w:r>
              <w:rPr>
                <w:rFonts w:ascii="Arial" w:cs="Arial" w:eastAsia="Arial" w:hAnsi="Arial"/>
                <w:sz w:val="14"/>
                <w:szCs w:val="14"/>
                <w:color w:val="auto"/>
                <w:w w:val="95"/>
              </w:rPr>
              <w:t>Significant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Significant</w:t>
            </w:r>
          </w:p>
        </w:tc>
      </w:tr>
      <w:tr>
        <w:trPr>
          <w:trHeight w:val="145"/>
        </w:trPr>
        <w:tc>
          <w:tcPr>
            <w:tcW w:w="3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6"/>
              </w:rPr>
              <w:t>Active Markets for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160"/>
              <w:spacing w:after="0" w:line="145" w:lineRule="exact"/>
              <w:rPr>
                <w:sz w:val="20"/>
                <w:szCs w:val="20"/>
                <w:color w:val="auto"/>
              </w:rPr>
            </w:pPr>
            <w:r>
              <w:rPr>
                <w:rFonts w:ascii="Arial" w:cs="Arial" w:eastAsia="Arial" w:hAnsi="Arial"/>
                <w:sz w:val="14"/>
                <w:szCs w:val="14"/>
                <w:color w:val="auto"/>
                <w:w w:val="89"/>
              </w:rPr>
              <w:t>Observable</w:t>
            </w:r>
          </w:p>
        </w:tc>
        <w:tc>
          <w:tcPr>
            <w:tcW w:w="110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0"/>
              </w:rPr>
              <w:t>Unobservable</w:t>
            </w:r>
          </w:p>
        </w:tc>
      </w:tr>
      <w:tr>
        <w:trPr>
          <w:trHeight w:val="145"/>
        </w:trPr>
        <w:tc>
          <w:tcPr>
            <w:tcW w:w="3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Identical Assets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90"/>
              <w:spacing w:after="0" w:line="145" w:lineRule="exact"/>
              <w:rPr>
                <w:sz w:val="20"/>
                <w:szCs w:val="20"/>
                <w:color w:val="auto"/>
              </w:rPr>
            </w:pPr>
            <w:r>
              <w:rPr>
                <w:rFonts w:ascii="Arial" w:cs="Arial" w:eastAsia="Arial" w:hAnsi="Arial"/>
                <w:sz w:val="14"/>
                <w:szCs w:val="14"/>
                <w:color w:val="auto"/>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jc w:val="center"/>
              <w:ind w:right="330"/>
              <w:spacing w:after="0" w:line="145" w:lineRule="exact"/>
              <w:rPr>
                <w:sz w:val="20"/>
                <w:szCs w:val="20"/>
                <w:color w:val="auto"/>
              </w:rPr>
            </w:pPr>
            <w:r>
              <w:rPr>
                <w:rFonts w:ascii="Arial" w:cs="Arial" w:eastAsia="Arial" w:hAnsi="Arial"/>
                <w:sz w:val="14"/>
                <w:szCs w:val="14"/>
                <w:color w:val="auto"/>
                <w:w w:val="89"/>
              </w:rPr>
              <w:t>Inputs</w:t>
            </w:r>
          </w:p>
        </w:tc>
      </w:tr>
      <w:tr>
        <w:trPr>
          <w:trHeight w:val="177"/>
        </w:trPr>
        <w:tc>
          <w:tcPr>
            <w:tcW w:w="3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Total</w:t>
            </w:r>
          </w:p>
        </w:tc>
        <w:tc>
          <w:tcPr>
            <w:tcW w:w="1060" w:type="dxa"/>
            <w:vAlign w:val="bottom"/>
          </w:tcPr>
          <w:p>
            <w:pPr>
              <w:jc w:val="center"/>
              <w:ind w:left="110"/>
              <w:spacing w:after="0"/>
              <w:rPr>
                <w:sz w:val="20"/>
                <w:szCs w:val="20"/>
                <w:color w:val="auto"/>
              </w:rPr>
            </w:pPr>
            <w:r>
              <w:rPr>
                <w:rFonts w:ascii="Arial" w:cs="Arial" w:eastAsia="Arial" w:hAnsi="Arial"/>
                <w:sz w:val="14"/>
                <w:szCs w:val="14"/>
                <w:color w:val="auto"/>
                <w:w w:val="95"/>
              </w:rPr>
              <w:t>(Level 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left="90"/>
              <w:spacing w:after="0"/>
              <w:rPr>
                <w:sz w:val="20"/>
                <w:szCs w:val="20"/>
                <w:color w:val="auto"/>
              </w:rPr>
            </w:pPr>
            <w:r>
              <w:rPr>
                <w:rFonts w:ascii="Arial" w:cs="Arial" w:eastAsia="Arial" w:hAnsi="Arial"/>
                <w:sz w:val="14"/>
                <w:szCs w:val="14"/>
                <w:color w:val="auto"/>
                <w:w w:val="95"/>
              </w:rPr>
              <w:t>(Level 2)</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5"/>
              </w:rPr>
              <w:t>(Level 3)</w:t>
            </w:r>
          </w:p>
        </w:tc>
      </w:tr>
      <w:tr>
        <w:trPr>
          <w:trHeight w:val="257"/>
        </w:trPr>
        <w:tc>
          <w:tcPr>
            <w:tcW w:w="3900" w:type="dxa"/>
            <w:vAlign w:val="bottom"/>
          </w:tcPr>
          <w:p>
            <w:pPr>
              <w:ind w:left="20"/>
              <w:spacing w:after="0"/>
              <w:rPr>
                <w:sz w:val="20"/>
                <w:szCs w:val="20"/>
                <w:color w:val="auto"/>
              </w:rPr>
            </w:pPr>
            <w:r>
              <w:rPr>
                <w:rFonts w:ascii="Arial" w:cs="Arial" w:eastAsia="Arial" w:hAnsi="Arial"/>
                <w:sz w:val="14"/>
                <w:szCs w:val="14"/>
                <w:color w:val="auto"/>
              </w:rPr>
              <w:t>Assets accounted for at fair value on a nonrecurring basis</w:t>
            </w:r>
          </w:p>
        </w:tc>
        <w:tc>
          <w:tcPr>
            <w:tcW w:w="36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r>
      <w:tr>
        <w:trPr>
          <w:trHeight w:val="224"/>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Impaired mortgage loans held for investment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1,995,521</w:t>
            </w:r>
          </w:p>
        </w:tc>
        <w:tc>
          <w:tcPr>
            <w:tcW w:w="1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6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8"/>
                <w:szCs w:val="8"/>
                <w:color w:val="auto"/>
                <w:w w:val="73"/>
              </w:rPr>
              <w:t>-</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1,995,521</w:t>
            </w:r>
          </w:p>
        </w:tc>
      </w:tr>
      <w:tr>
        <w:trPr>
          <w:trHeight w:val="191"/>
        </w:trPr>
        <w:tc>
          <w:tcPr>
            <w:tcW w:w="3900" w:type="dxa"/>
            <w:vAlign w:val="bottom"/>
          </w:tcPr>
          <w:p>
            <w:pPr>
              <w:ind w:left="20"/>
              <w:spacing w:after="0"/>
              <w:rPr>
                <w:sz w:val="20"/>
                <w:szCs w:val="20"/>
                <w:color w:val="auto"/>
              </w:rPr>
            </w:pPr>
            <w:r>
              <w:rPr>
                <w:rFonts w:ascii="Arial" w:cs="Arial" w:eastAsia="Arial" w:hAnsi="Arial"/>
                <w:sz w:val="14"/>
                <w:szCs w:val="14"/>
                <w:color w:val="auto"/>
                <w:w w:val="98"/>
              </w:rPr>
              <w:t>Total assets accounted for at fair value on a nonrecurring basis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1,995,521</w:t>
            </w: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w:t>
            </w:r>
          </w:p>
        </w:tc>
        <w:tc>
          <w:tcPr>
            <w:tcW w:w="160" w:type="dxa"/>
            <w:vAlign w:val="bottom"/>
          </w:tcPr>
          <w:p>
            <w:pPr>
              <w:spacing w:after="0"/>
              <w:rPr>
                <w:sz w:val="16"/>
                <w:szCs w:val="16"/>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1,995,521</w:t>
            </w:r>
          </w:p>
        </w:tc>
      </w:tr>
      <w:tr>
        <w:trPr>
          <w:trHeight w:val="20"/>
        </w:trPr>
        <w:tc>
          <w:tcPr>
            <w:tcW w:w="3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3" w:right="399"/>
        <w:spacing w:after="0" w:line="338" w:lineRule="auto"/>
        <w:rPr>
          <w:sz w:val="20"/>
          <w:szCs w:val="20"/>
          <w:color w:val="auto"/>
        </w:rPr>
      </w:pPr>
      <w:r>
        <w:rPr>
          <w:rFonts w:ascii="Arial" w:cs="Arial" w:eastAsia="Arial" w:hAnsi="Arial"/>
          <w:sz w:val="17"/>
          <w:szCs w:val="17"/>
          <w:color w:val="auto"/>
        </w:rPr>
        <w:t>The following tables summarize Level 1, 2 and 3 financial assets and financial liabilities measured at fair value on a nonrecurring basis by their classification in the condensed consolidated balance sheet at December 31, 2019.</w:t>
      </w:r>
    </w:p>
    <w:p>
      <w:pPr>
        <w:sectPr>
          <w:pgSz w:w="11900" w:h="16838" w:orient="portrait"/>
          <w:cols w:equalWidth="0" w:num="1">
            <w:col w:w="9262"/>
          </w:cols>
          <w:pgMar w:left="1197"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3" w:right="660" w:hanging="69"/>
        <w:spacing w:after="0" w:line="243" w:lineRule="auto"/>
        <w:rPr>
          <w:sz w:val="20"/>
          <w:szCs w:val="20"/>
          <w:color w:val="auto"/>
        </w:rPr>
      </w:pPr>
      <w:r>
        <w:rPr>
          <w:rFonts w:ascii="Arial" w:cs="Arial" w:eastAsia="Arial" w:hAnsi="Arial"/>
          <w:sz w:val="14"/>
          <w:szCs w:val="14"/>
          <w:color w:val="auto"/>
        </w:rPr>
        <w:t>Assets accounted for at fair value on a nonrecurring basis</w:t>
      </w:r>
    </w:p>
    <w:p>
      <w:pPr>
        <w:spacing w:after="0" w:line="44" w:lineRule="exact"/>
        <w:rPr>
          <w:sz w:val="20"/>
          <w:szCs w:val="20"/>
          <w:color w:val="auto"/>
        </w:rPr>
      </w:pPr>
    </w:p>
    <w:p>
      <w:pPr>
        <w:ind w:left="23" w:right="280"/>
        <w:spacing w:after="0" w:line="378" w:lineRule="auto"/>
        <w:rPr>
          <w:sz w:val="20"/>
          <w:szCs w:val="20"/>
          <w:color w:val="auto"/>
        </w:rPr>
      </w:pPr>
      <w:r>
        <w:rPr>
          <w:rFonts w:ascii="Arial" w:cs="Arial" w:eastAsia="Arial" w:hAnsi="Arial"/>
          <w:sz w:val="12"/>
          <w:szCs w:val="12"/>
          <w:color w:val="auto"/>
        </w:rPr>
        <w:t>Impaired mortgage loans held for investment Impaired real estate held for investment</w:t>
      </w:r>
    </w:p>
    <w:p>
      <w:pPr>
        <w:spacing w:after="0" w:line="1" w:lineRule="exact"/>
        <w:rPr>
          <w:sz w:val="20"/>
          <w:szCs w:val="20"/>
          <w:color w:val="auto"/>
        </w:rPr>
      </w:pPr>
    </w:p>
    <w:p>
      <w:pPr>
        <w:ind w:left="83" w:right="480" w:hanging="69"/>
        <w:spacing w:after="0" w:line="243" w:lineRule="auto"/>
        <w:rPr>
          <w:sz w:val="20"/>
          <w:szCs w:val="20"/>
          <w:color w:val="auto"/>
        </w:rPr>
      </w:pPr>
      <w:r>
        <w:rPr>
          <w:rFonts w:ascii="Arial" w:cs="Arial" w:eastAsia="Arial" w:hAnsi="Arial"/>
          <w:sz w:val="14"/>
          <w:szCs w:val="14"/>
          <w:color w:val="auto"/>
        </w:rPr>
        <w:t>Total assets accounted for at fair value on a nonrecurring basis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0"/>
              </w:rPr>
              <w:t>Quoted Prices in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left="30"/>
              <w:spacing w:after="0"/>
              <w:rPr>
                <w:sz w:val="20"/>
                <w:szCs w:val="20"/>
                <w:color w:val="auto"/>
              </w:rPr>
            </w:pPr>
            <w:r>
              <w:rPr>
                <w:rFonts w:ascii="Arial" w:cs="Arial" w:eastAsia="Arial" w:hAnsi="Arial"/>
                <w:sz w:val="14"/>
                <w:szCs w:val="14"/>
                <w:color w:val="auto"/>
                <w:w w:val="95"/>
              </w:rPr>
              <w:t>Significant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5"/>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center"/>
              <w:ind w:left="10"/>
              <w:spacing w:after="0" w:line="145" w:lineRule="exact"/>
              <w:rPr>
                <w:sz w:val="20"/>
                <w:szCs w:val="20"/>
                <w:color w:val="auto"/>
              </w:rPr>
            </w:pPr>
            <w:r>
              <w:rPr>
                <w:rFonts w:ascii="Arial" w:cs="Arial" w:eastAsia="Arial" w:hAnsi="Arial"/>
                <w:sz w:val="14"/>
                <w:szCs w:val="14"/>
                <w:color w:val="auto"/>
                <w:w w:val="96"/>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left="50"/>
              <w:spacing w:after="0" w:line="145" w:lineRule="exact"/>
              <w:rPr>
                <w:sz w:val="20"/>
                <w:szCs w:val="20"/>
                <w:color w:val="auto"/>
              </w:rPr>
            </w:pPr>
            <w:r>
              <w:rPr>
                <w:rFonts w:ascii="Arial" w:cs="Arial" w:eastAsia="Arial" w:hAnsi="Arial"/>
                <w:sz w:val="14"/>
                <w:szCs w:val="14"/>
                <w:color w:val="auto"/>
                <w:w w:val="89"/>
              </w:rPr>
              <w:t>Observable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300"/>
              <w:spacing w:after="0" w:line="145" w:lineRule="exact"/>
              <w:rPr>
                <w:sz w:val="20"/>
                <w:szCs w:val="20"/>
                <w:color w:val="auto"/>
              </w:rPr>
            </w:pPr>
            <w:r>
              <w:rPr>
                <w:rFonts w:ascii="Arial" w:cs="Arial" w:eastAsia="Arial" w:hAnsi="Arial"/>
                <w:sz w:val="14"/>
                <w:szCs w:val="14"/>
                <w:color w:val="auto"/>
              </w:rPr>
              <w:t>Significant</w:t>
            </w:r>
          </w:p>
        </w:tc>
      </w:tr>
      <w:tr>
        <w:trPr>
          <w:trHeight w:val="145"/>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jc w:val="right"/>
              <w:ind w:right="70"/>
              <w:spacing w:after="0" w:line="145" w:lineRule="exact"/>
              <w:rPr>
                <w:sz w:val="20"/>
                <w:szCs w:val="20"/>
                <w:color w:val="auto"/>
              </w:rPr>
            </w:pPr>
            <w:r>
              <w:rPr>
                <w:rFonts w:ascii="Arial" w:cs="Arial" w:eastAsia="Arial" w:hAnsi="Arial"/>
                <w:sz w:val="14"/>
                <w:szCs w:val="14"/>
                <w:color w:val="auto"/>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130"/>
              <w:spacing w:after="0" w:line="145" w:lineRule="exact"/>
              <w:rPr>
                <w:sz w:val="20"/>
                <w:szCs w:val="20"/>
                <w:color w:val="auto"/>
              </w:rPr>
            </w:pPr>
            <w:r>
              <w:rPr>
                <w:rFonts w:ascii="Arial" w:cs="Arial" w:eastAsia="Arial" w:hAnsi="Arial"/>
                <w:sz w:val="14"/>
                <w:szCs w:val="14"/>
                <w:color w:val="auto"/>
              </w:rPr>
              <w:t>Inputs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spacing w:after="0" w:line="145" w:lineRule="exact"/>
              <w:rPr>
                <w:sz w:val="20"/>
                <w:szCs w:val="20"/>
                <w:color w:val="auto"/>
              </w:rPr>
            </w:pPr>
            <w:r>
              <w:rPr>
                <w:rFonts w:ascii="Arial" w:cs="Arial" w:eastAsia="Arial" w:hAnsi="Arial"/>
                <w:sz w:val="14"/>
                <w:szCs w:val="14"/>
                <w:color w:val="auto"/>
                <w:w w:val="91"/>
              </w:rPr>
              <w:t>Unobservable Inputs</w:t>
            </w:r>
          </w:p>
        </w:tc>
      </w:tr>
      <w:tr>
        <w:trPr>
          <w:trHeight w:val="177"/>
        </w:trPr>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color w:val="auto"/>
                <w:w w:val="95"/>
              </w:rPr>
              <w:t>(Level 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color w:val="auto"/>
                <w:w w:val="95"/>
              </w:rPr>
              <w:t>(Level 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3)</w:t>
            </w:r>
          </w:p>
        </w:tc>
      </w:tr>
      <w:tr>
        <w:trPr>
          <w:trHeight w:val="656"/>
        </w:trPr>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1,302,025</w:t>
            </w:r>
          </w:p>
        </w:tc>
        <w:tc>
          <w:tcPr>
            <w:tcW w:w="140" w:type="dxa"/>
            <w:vAlign w:val="bottom"/>
          </w:tcPr>
          <w:p>
            <w:pPr>
              <w:spacing w:after="0"/>
              <w:rPr>
                <w:sz w:val="24"/>
                <w:szCs w:val="24"/>
                <w:color w:val="auto"/>
              </w:rPr>
            </w:pPr>
          </w:p>
        </w:tc>
        <w:tc>
          <w:tcPr>
            <w:tcW w:w="1200" w:type="dxa"/>
            <w:vAlign w:val="bottom"/>
          </w:tcPr>
          <w:p>
            <w:pPr>
              <w:jc w:val="right"/>
              <w:ind w:right="75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24"/>
                <w:szCs w:val="24"/>
                <w:color w:val="auto"/>
              </w:rPr>
            </w:pPr>
          </w:p>
        </w:tc>
        <w:tc>
          <w:tcPr>
            <w:tcW w:w="84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0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1,302,025</w:t>
            </w:r>
          </w:p>
        </w:tc>
      </w:tr>
      <w:tr>
        <w:trPr>
          <w:trHeight w:val="222"/>
        </w:trPr>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8,375,884</w:t>
            </w:r>
          </w:p>
        </w:tc>
        <w:tc>
          <w:tcPr>
            <w:tcW w:w="1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8,375,884</w:t>
            </w:r>
          </w:p>
        </w:tc>
      </w:tr>
      <w:tr>
        <w:trPr>
          <w:trHeight w:val="376"/>
        </w:trPr>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9,677,909</w:t>
            </w:r>
          </w:p>
        </w:tc>
        <w:tc>
          <w:tcPr>
            <w:tcW w:w="140" w:type="dxa"/>
            <w:vAlign w:val="bottom"/>
          </w:tcPr>
          <w:p>
            <w:pPr>
              <w:spacing w:after="0"/>
              <w:rPr>
                <w:sz w:val="24"/>
                <w:szCs w:val="24"/>
                <w:color w:val="auto"/>
              </w:rPr>
            </w:pPr>
          </w:p>
        </w:tc>
        <w:tc>
          <w:tcPr>
            <w:tcW w:w="1200" w:type="dxa"/>
            <w:vAlign w:val="bottom"/>
            <w:tcBorders>
              <w:bottom w:val="single" w:sz="8" w:color="auto"/>
            </w:tcBorders>
          </w:tcPr>
          <w:p>
            <w:pPr>
              <w:jc w:val="right"/>
              <w:ind w:right="75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4"/>
              </w:rPr>
              <w:t>-</w:t>
            </w:r>
          </w:p>
        </w:tc>
        <w:tc>
          <w:tcPr>
            <w:tcW w:w="120" w:type="dxa"/>
            <w:vAlign w:val="bottom"/>
          </w:tcPr>
          <w:p>
            <w:pPr>
              <w:spacing w:after="0"/>
              <w:rPr>
                <w:sz w:val="24"/>
                <w:szCs w:val="24"/>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9,677,909</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-561340</wp:posOffset>
            </wp:positionV>
            <wp:extent cx="5466715" cy="142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66715" cy="142240"/>
                    </a:xfrm>
                    <a:prstGeom prst="rect">
                      <a:avLst/>
                    </a:prstGeom>
                    <a:noFill/>
                  </pic:spPr>
                </pic:pic>
              </a:graphicData>
            </a:graphic>
          </wp:anchor>
        </w:drawing>
        <w:drawing>
          <wp:anchor simplePos="0" relativeHeight="251657728" behindDoc="1" locked="0" layoutInCell="0" allowOverlap="1">
            <wp:simplePos x="0" y="0"/>
            <wp:positionH relativeFrom="column">
              <wp:posOffset>-2249170</wp:posOffset>
            </wp:positionH>
            <wp:positionV relativeFrom="paragraph">
              <wp:posOffset>-276225</wp:posOffset>
            </wp:positionV>
            <wp:extent cx="5466715" cy="259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66715" cy="259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3" w:space="720"/>
            <w:col w:w="5719"/>
          </w:cols>
          <w:pgMar w:left="1197" w:top="121" w:right="1440" w:bottom="1440" w:gutter="0" w:footer="0" w:header="0"/>
          <w:type w:val="continuous"/>
        </w:sectPr>
      </w:pPr>
    </w:p>
    <w:p>
      <w:pPr>
        <w:spacing w:after="0" w:line="21" w:lineRule="exact"/>
        <w:rPr>
          <w:sz w:val="20"/>
          <w:szCs w:val="20"/>
          <w:color w:val="auto"/>
        </w:rPr>
      </w:pPr>
    </w:p>
    <w:p>
      <w:pPr>
        <w:jc w:val="center"/>
        <w:ind w:right="376"/>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634355" cy="33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1" w:right="1440" w:bottom="1440" w:gutter="0" w:footer="0" w:header="0"/>
          <w:type w:val="continuous"/>
        </w:sectPr>
      </w:pPr>
    </w:p>
    <w:bookmarkStart w:id="38" w:name="page39"/>
    <w:bookmarkEnd w:id="38"/>
    <w:p>
      <w:pPr>
        <w:jc w:val="center"/>
        <w:ind w:right="777"/>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Fair Value of Financial Instruments Carried at Other Than Fair Value</w:t>
      </w:r>
    </w:p>
    <w:p>
      <w:pPr>
        <w:spacing w:after="0" w:line="236" w:lineRule="exact"/>
        <w:rPr>
          <w:sz w:val="20"/>
          <w:szCs w:val="20"/>
          <w:color w:val="auto"/>
        </w:rPr>
      </w:pPr>
    </w:p>
    <w:p>
      <w:pPr>
        <w:jc w:val="both"/>
        <w:ind w:left="3" w:right="780"/>
        <w:spacing w:after="0" w:line="277" w:lineRule="auto"/>
        <w:rPr>
          <w:sz w:val="20"/>
          <w:szCs w:val="20"/>
          <w:color w:val="auto"/>
        </w:rPr>
      </w:pPr>
      <w:r>
        <w:rPr>
          <w:rFonts w:ascii="Arial" w:cs="Arial" w:eastAsia="Arial" w:hAnsi="Arial"/>
          <w:sz w:val="19"/>
          <w:szCs w:val="19"/>
          <w:color w:val="auto"/>
        </w:rPr>
        <w:t>ASC 825, Financial Instruments, requires disclosure of fair value information about financial instruments, whether or not recognized in the balance sheet, for which it is practicable to estimate that value.</w:t>
      </w:r>
    </w:p>
    <w:p>
      <w:pPr>
        <w:spacing w:after="0" w:line="169" w:lineRule="exact"/>
        <w:rPr>
          <w:sz w:val="20"/>
          <w:szCs w:val="20"/>
          <w:color w:val="auto"/>
        </w:rPr>
      </w:pPr>
    </w:p>
    <w:p>
      <w:pPr>
        <w:jc w:val="both"/>
        <w:ind w:left="3" w:right="780"/>
        <w:spacing w:after="0" w:line="275"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June 30, 2020 and December 31, 2019.</w:t>
      </w:r>
    </w:p>
    <w:p>
      <w:pPr>
        <w:spacing w:after="0" w:line="174" w:lineRule="exact"/>
        <w:rPr>
          <w:sz w:val="20"/>
          <w:szCs w:val="20"/>
          <w:color w:val="auto"/>
        </w:rPr>
      </w:pPr>
    </w:p>
    <w:p>
      <w:pPr>
        <w:jc w:val="both"/>
        <w:ind w:left="3" w:right="780"/>
        <w:spacing w:after="0" w:line="277" w:lineRule="auto"/>
        <w:rPr>
          <w:sz w:val="20"/>
          <w:szCs w:val="20"/>
          <w:color w:val="auto"/>
        </w:rPr>
      </w:pPr>
      <w:r>
        <w:rPr>
          <w:rFonts w:ascii="Arial" w:cs="Arial" w:eastAsia="Arial" w:hAnsi="Arial"/>
          <w:sz w:val="19"/>
          <w:szCs w:val="19"/>
          <w:color w:val="auto"/>
        </w:rPr>
        <w:t>The carrying values and estimated fair values for such financial instruments, and their corresponding placement in the fair value hierarchy, are summarized as follows as of June 30, 2020:</w:t>
      </w:r>
    </w:p>
    <w:p>
      <w:pPr>
        <w:spacing w:after="0" w:line="297"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4"/>
                <w:szCs w:val="14"/>
                <w:color w:val="auto"/>
                <w:w w:val="95"/>
              </w:rPr>
              <w:t>Total Estimated Fair</w:t>
            </w:r>
          </w:p>
        </w:tc>
      </w:tr>
      <w:tr>
        <w:trPr>
          <w:trHeight w:val="177"/>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3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color w:val="auto"/>
              </w:rPr>
              <w:t>Carrying Value</w:t>
            </w: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Level 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Level 2</w:t>
            </w: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Level 3</w:t>
            </w: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0"/>
              <w:spacing w:after="0"/>
              <w:rPr>
                <w:sz w:val="20"/>
                <w:szCs w:val="20"/>
                <w:color w:val="auto"/>
              </w:rPr>
            </w:pPr>
            <w:r>
              <w:rPr>
                <w:rFonts w:ascii="Arial" w:cs="Arial" w:eastAsia="Arial" w:hAnsi="Arial"/>
                <w:sz w:val="14"/>
                <w:szCs w:val="14"/>
                <w:color w:val="auto"/>
                <w:w w:val="94"/>
              </w:rPr>
              <w:t>Value</w:t>
            </w:r>
          </w:p>
        </w:tc>
      </w:tr>
      <w:tr>
        <w:trPr>
          <w:trHeight w:val="207"/>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Assets</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Mortgage loans held for investment</w:t>
            </w: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Residential</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105,466,412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45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110,991,353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110,991,353</w:t>
            </w:r>
          </w:p>
        </w:tc>
      </w:tr>
      <w:tr>
        <w:trPr>
          <w:trHeight w:val="224"/>
        </w:trPr>
        <w:tc>
          <w:tcPr>
            <w:tcW w:w="20" w:type="dxa"/>
            <w:vAlign w:val="bottom"/>
          </w:tcPr>
          <w:p>
            <w:pPr>
              <w:spacing w:after="0"/>
              <w:rPr>
                <w:sz w:val="19"/>
                <w:szCs w:val="19"/>
                <w:color w:val="auto"/>
              </w:rPr>
            </w:pPr>
          </w:p>
        </w:tc>
        <w:tc>
          <w:tcPr>
            <w:tcW w:w="3160" w:type="dxa"/>
            <w:vAlign w:val="bottom"/>
            <w:gridSpan w:val="2"/>
          </w:tcPr>
          <w:p>
            <w:pPr>
              <w:ind w:left="60"/>
              <w:spacing w:after="0"/>
              <w:rPr>
                <w:sz w:val="20"/>
                <w:szCs w:val="20"/>
                <w:color w:val="auto"/>
              </w:rPr>
            </w:pPr>
            <w:r>
              <w:rPr>
                <w:rFonts w:ascii="Arial" w:cs="Arial" w:eastAsia="Arial" w:hAnsi="Arial"/>
                <w:sz w:val="14"/>
                <w:szCs w:val="14"/>
                <w:color w:val="auto"/>
              </w:rPr>
              <w:t>Residential construction</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106,386,812</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106,386,812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106,386,812</w:t>
            </w:r>
          </w:p>
        </w:tc>
      </w:tr>
      <w:tr>
        <w:trPr>
          <w:trHeight w:val="224"/>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Commercial</w:t>
            </w: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48,564,780</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48,187,935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48,187,935</w:t>
            </w:r>
          </w:p>
        </w:tc>
      </w:tr>
      <w:tr>
        <w:trPr>
          <w:trHeight w:val="204"/>
        </w:trPr>
        <w:tc>
          <w:tcPr>
            <w:tcW w:w="20" w:type="dxa"/>
            <w:vAlign w:val="bottom"/>
          </w:tcPr>
          <w:p>
            <w:pPr>
              <w:spacing w:after="0"/>
              <w:rPr>
                <w:sz w:val="17"/>
                <w:szCs w:val="17"/>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Mortgage loans held for investment, net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260,418,004</w:t>
            </w:r>
          </w:p>
        </w:tc>
        <w:tc>
          <w:tcPr>
            <w:tcW w:w="80" w:type="dxa"/>
            <w:vAlign w:val="bottom"/>
          </w:tcPr>
          <w:p>
            <w:pPr>
              <w:spacing w:after="0"/>
              <w:rPr>
                <w:sz w:val="17"/>
                <w:szCs w:val="17"/>
                <w:color w:val="auto"/>
              </w:rPr>
            </w:pPr>
          </w:p>
        </w:tc>
        <w:tc>
          <w:tcPr>
            <w:tcW w:w="84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960" w:type="dxa"/>
            <w:vAlign w:val="bottom"/>
          </w:tcPr>
          <w:p>
            <w:pPr>
              <w:jc w:val="right"/>
              <w:ind w:right="55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265,566,100</w:t>
            </w: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265,566,100</w:t>
            </w:r>
          </w:p>
        </w:tc>
      </w:tr>
      <w:tr>
        <w:trPr>
          <w:trHeight w:val="224"/>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Policy loans</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14,450,587</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14,450,587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14,450,587</w:t>
            </w:r>
          </w:p>
        </w:tc>
      </w:tr>
      <w:tr>
        <w:trPr>
          <w:trHeight w:val="224"/>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Insurance assignments, net (1)</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41,742,986</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41,742,986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41,742,986</w:t>
            </w:r>
          </w:p>
        </w:tc>
      </w:tr>
      <w:tr>
        <w:trPr>
          <w:trHeight w:val="224"/>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Restricted assets (2)</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3,422,731</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3,422,731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3,422,731</w:t>
            </w:r>
          </w:p>
        </w:tc>
      </w:tr>
      <w:tr>
        <w:trPr>
          <w:trHeight w:val="224"/>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Cemetery perpetual care trust investments (2)</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524,000</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524,000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524,000</w:t>
            </w:r>
          </w:p>
        </w:tc>
      </w:tr>
      <w:tr>
        <w:trPr>
          <w:trHeight w:val="224"/>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Mortgage servicing rights, net</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21,695,123</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22,921,824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22,921,824</w:t>
            </w:r>
          </w:p>
        </w:tc>
      </w:tr>
      <w:tr>
        <w:trPr>
          <w:trHeight w:val="172"/>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24"/>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Bank and other loans payable</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w w:val="94"/>
              </w:rPr>
              <w:t>(347,139,008)</w:t>
            </w:r>
          </w:p>
        </w:tc>
        <w:tc>
          <w:tcPr>
            <w:tcW w:w="80" w:type="dxa"/>
            <w:vAlign w:val="bottom"/>
          </w:tcPr>
          <w:p>
            <w:pPr>
              <w:spacing w:after="0"/>
              <w:rPr>
                <w:sz w:val="19"/>
                <w:szCs w:val="19"/>
                <w:color w:val="auto"/>
              </w:rPr>
            </w:pPr>
          </w:p>
        </w:tc>
        <w:tc>
          <w:tcPr>
            <w:tcW w:w="84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60" w:type="dxa"/>
            <w:vAlign w:val="bottom"/>
          </w:tcPr>
          <w:p>
            <w:pPr>
              <w:jc w:val="right"/>
              <w:ind w:right="550"/>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w w:val="96"/>
              </w:rPr>
              <w:t>(347,139,008)</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w w:val="94"/>
              </w:rPr>
              <w:t>(347,139,008)</w:t>
            </w:r>
          </w:p>
        </w:tc>
      </w:tr>
      <w:tr>
        <w:trPr>
          <w:trHeight w:val="224"/>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Policyholder account balances (3)</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(44,656,276)</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(41,469,707)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(41,469,707)</w:t>
            </w:r>
          </w:p>
        </w:tc>
      </w:tr>
      <w:tr>
        <w:trPr>
          <w:trHeight w:val="224"/>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4"/>
                <w:szCs w:val="14"/>
                <w:color w:val="auto"/>
              </w:rPr>
              <w:t>Future policy benefits - annuities (3)</w:t>
            </w: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4"/>
              </w:rPr>
              <w:t>(111,726,731)</w:t>
            </w: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6"/>
              </w:rPr>
              <w:t>(115,708,414)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w w:val="94"/>
              </w:rPr>
              <w:t>(115,708,414)</w:t>
            </w:r>
          </w:p>
        </w:tc>
      </w:tr>
      <w:tr>
        <w:trPr>
          <w:trHeight w:val="158"/>
        </w:trPr>
        <w:tc>
          <w:tcPr>
            <w:tcW w:w="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spacing w:after="0"/>
              <w:rPr>
                <w:sz w:val="13"/>
                <w:szCs w:val="13"/>
                <w:color w:val="auto"/>
              </w:rPr>
            </w:pPr>
          </w:p>
        </w:tc>
        <w:tc>
          <w:tcPr>
            <w:tcW w:w="208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bl>
    <w:p>
      <w:pPr>
        <w:spacing w:after="0" w:line="47" w:lineRule="exact"/>
        <w:rPr>
          <w:sz w:val="20"/>
          <w:szCs w:val="20"/>
          <w:color w:val="auto"/>
        </w:rPr>
      </w:pPr>
    </w:p>
    <w:p>
      <w:pPr>
        <w:ind w:left="203" w:hanging="190"/>
        <w:spacing w:after="0"/>
        <w:tabs>
          <w:tab w:leader="none" w:pos="203"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Included in other investments and policy loans on the condensed consolidated balance sheets</w:t>
      </w:r>
    </w:p>
    <w:p>
      <w:pPr>
        <w:spacing w:after="0" w:line="63" w:lineRule="exact"/>
        <w:rPr>
          <w:rFonts w:ascii="Arial" w:cs="Arial" w:eastAsia="Arial" w:hAnsi="Arial"/>
          <w:sz w:val="14"/>
          <w:szCs w:val="14"/>
          <w:color w:val="auto"/>
        </w:rPr>
      </w:pPr>
    </w:p>
    <w:p>
      <w:pPr>
        <w:ind w:left="203" w:hanging="190"/>
        <w:spacing w:after="0"/>
        <w:tabs>
          <w:tab w:leader="none" w:pos="203" w:val="left"/>
        </w:tabs>
        <w:numPr>
          <w:ilvl w:val="0"/>
          <w:numId w:val="47"/>
        </w:numPr>
        <w:rPr>
          <w:rFonts w:ascii="Arial" w:cs="Arial" w:eastAsia="Arial" w:hAnsi="Arial"/>
          <w:sz w:val="14"/>
          <w:szCs w:val="14"/>
          <w:color w:val="auto"/>
        </w:rPr>
      </w:pPr>
      <w:r>
        <w:rPr>
          <w:rFonts w:ascii="Arial" w:cs="Arial" w:eastAsia="Arial" w:hAnsi="Arial"/>
          <w:sz w:val="14"/>
          <w:szCs w:val="14"/>
          <w:color w:val="auto"/>
        </w:rPr>
        <w:t>Mortgage loans held for investment</w:t>
      </w:r>
    </w:p>
    <w:p>
      <w:pPr>
        <w:spacing w:after="0" w:line="63" w:lineRule="exact"/>
        <w:rPr>
          <w:rFonts w:ascii="Arial" w:cs="Arial" w:eastAsia="Arial" w:hAnsi="Arial"/>
          <w:sz w:val="14"/>
          <w:szCs w:val="14"/>
          <w:color w:val="auto"/>
        </w:rPr>
      </w:pPr>
    </w:p>
    <w:p>
      <w:pPr>
        <w:ind w:left="203" w:hanging="190"/>
        <w:spacing w:after="0"/>
        <w:tabs>
          <w:tab w:leader="none" w:pos="203"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Included in future policy benefits and unpaid claims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6120765" cy="142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120765" cy="142240"/>
                    </a:xfrm>
                    <a:prstGeom prst="rect">
                      <a:avLst/>
                    </a:prstGeom>
                    <a:noFill/>
                  </pic:spPr>
                </pic:pic>
              </a:graphicData>
            </a:graphic>
          </wp:anchor>
        </w:drawing>
      </w:r>
    </w:p>
    <w:p>
      <w:pPr>
        <w:spacing w:after="0" w:line="217" w:lineRule="exact"/>
        <w:rPr>
          <w:sz w:val="20"/>
          <w:szCs w:val="20"/>
          <w:color w:val="auto"/>
        </w:rPr>
      </w:pPr>
    </w:p>
    <w:p>
      <w:pPr>
        <w:ind w:left="4343"/>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643"/>
          </w:cols>
          <w:pgMar w:left="1197" w:top="122" w:right="1059" w:bottom="1440" w:gutter="0" w:footer="0" w:header="0"/>
        </w:sectPr>
      </w:pPr>
    </w:p>
    <w:bookmarkStart w:id="39" w:name="page40"/>
    <w:bookmarkEnd w:id="39"/>
    <w:p>
      <w:pPr>
        <w:jc w:val="center"/>
        <w:ind w:right="717"/>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3" w:right="720"/>
        <w:spacing w:after="0" w:line="277" w:lineRule="auto"/>
        <w:rPr>
          <w:sz w:val="20"/>
          <w:szCs w:val="20"/>
          <w:color w:val="auto"/>
        </w:rPr>
      </w:pPr>
      <w:r>
        <w:rPr>
          <w:rFonts w:ascii="Arial" w:cs="Arial" w:eastAsia="Arial" w:hAnsi="Arial"/>
          <w:sz w:val="19"/>
          <w:szCs w:val="19"/>
          <w:color w:val="auto"/>
        </w:rPr>
        <w:t>The carrying values and estimated fair values for such financial instruments, and their corresponding placement in the fair value hierarchy, are summarized as follows as of December 31, 2019:</w:t>
      </w:r>
    </w:p>
    <w:p>
      <w:pPr>
        <w:spacing w:after="0" w:line="179" w:lineRule="exact"/>
        <w:rPr>
          <w:sz w:val="20"/>
          <w:szCs w:val="20"/>
          <w:color w:val="auto"/>
        </w:rPr>
      </w:pPr>
    </w:p>
    <w:tbl>
      <w:tblPr>
        <w:tblLayout w:type="fixed"/>
        <w:tblInd w:w="3"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38"/>
              <w:spacing w:after="0"/>
              <w:rPr>
                <w:sz w:val="20"/>
                <w:szCs w:val="20"/>
                <w:color w:val="auto"/>
              </w:rPr>
            </w:pPr>
            <w:r>
              <w:rPr>
                <w:rFonts w:ascii="Arial" w:cs="Arial" w:eastAsia="Arial" w:hAnsi="Arial"/>
                <w:sz w:val="12"/>
                <w:szCs w:val="12"/>
                <w:color w:val="auto"/>
              </w:rPr>
              <w:t>Total Estimated Fair</w:t>
            </w: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40" w:type="dxa"/>
            <w:vAlign w:val="bottom"/>
            <w:tcBorders>
              <w:bottom w:val="single" w:sz="8" w:color="auto"/>
            </w:tcBorders>
            <w:gridSpan w:val="3"/>
          </w:tcPr>
          <w:p>
            <w:pPr>
              <w:ind w:left="240"/>
              <w:spacing w:after="0"/>
              <w:rPr>
                <w:sz w:val="20"/>
                <w:szCs w:val="20"/>
                <w:color w:val="auto"/>
              </w:rPr>
            </w:pPr>
            <w:r>
              <w:rPr>
                <w:rFonts w:ascii="Arial" w:cs="Arial" w:eastAsia="Arial" w:hAnsi="Arial"/>
                <w:sz w:val="12"/>
                <w:szCs w:val="12"/>
                <w:color w:val="auto"/>
              </w:rPr>
              <w:t>Carrying Value</w:t>
            </w:r>
          </w:p>
        </w:tc>
        <w:tc>
          <w:tcPr>
            <w:tcW w:w="780" w:type="dxa"/>
            <w:vAlign w:val="bottom"/>
            <w:tcBorders>
              <w:bottom w:val="single" w:sz="8" w:color="auto"/>
            </w:tcBorders>
          </w:tcPr>
          <w:p>
            <w:pPr>
              <w:ind w:left="300"/>
              <w:spacing w:after="0"/>
              <w:rPr>
                <w:sz w:val="20"/>
                <w:szCs w:val="20"/>
                <w:color w:val="auto"/>
              </w:rPr>
            </w:pPr>
            <w:r>
              <w:rPr>
                <w:rFonts w:ascii="Arial" w:cs="Arial" w:eastAsia="Arial" w:hAnsi="Arial"/>
                <w:sz w:val="12"/>
                <w:szCs w:val="12"/>
                <w:color w:val="auto"/>
              </w:rPr>
              <w:t>Level 1</w:t>
            </w: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Level 2</w:t>
            </w: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440"/>
              <w:spacing w:after="0"/>
              <w:rPr>
                <w:sz w:val="20"/>
                <w:szCs w:val="20"/>
                <w:color w:val="auto"/>
              </w:rPr>
            </w:pPr>
            <w:r>
              <w:rPr>
                <w:rFonts w:ascii="Arial" w:cs="Arial" w:eastAsia="Arial" w:hAnsi="Arial"/>
                <w:sz w:val="12"/>
                <w:szCs w:val="12"/>
                <w:color w:val="auto"/>
              </w:rPr>
              <w:t>Level 3</w:t>
            </w: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w w:val="91"/>
              </w:rPr>
              <w:t>Value</w:t>
            </w:r>
          </w:p>
        </w:tc>
      </w:tr>
      <w:tr>
        <w:trPr>
          <w:trHeight w:val="218"/>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Assets</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Mortgage loans held for investment</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39"/>
        </w:trPr>
        <w:tc>
          <w:tcPr>
            <w:tcW w:w="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Residential</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110,253,678</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458"/>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115,320,638</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115,320,638</w:t>
            </w:r>
          </w:p>
        </w:tc>
      </w:tr>
      <w:tr>
        <w:trPr>
          <w:trHeight w:val="236"/>
        </w:trPr>
        <w:tc>
          <w:tcPr>
            <w:tcW w:w="20" w:type="dxa"/>
            <w:vAlign w:val="bottom"/>
          </w:tcPr>
          <w:p>
            <w:pPr>
              <w:spacing w:after="0"/>
              <w:rPr>
                <w:sz w:val="20"/>
                <w:szCs w:val="20"/>
                <w:color w:val="auto"/>
              </w:rPr>
            </w:pPr>
          </w:p>
        </w:tc>
        <w:tc>
          <w:tcPr>
            <w:tcW w:w="2940" w:type="dxa"/>
            <w:vAlign w:val="bottom"/>
            <w:gridSpan w:val="2"/>
          </w:tcPr>
          <w:p>
            <w:pPr>
              <w:ind w:left="60"/>
              <w:spacing w:after="0"/>
              <w:rPr>
                <w:sz w:val="20"/>
                <w:szCs w:val="20"/>
                <w:color w:val="auto"/>
              </w:rPr>
            </w:pPr>
            <w:r>
              <w:rPr>
                <w:rFonts w:ascii="Arial" w:cs="Arial" w:eastAsia="Arial" w:hAnsi="Arial"/>
                <w:sz w:val="12"/>
                <w:szCs w:val="12"/>
                <w:color w:val="auto"/>
              </w:rPr>
              <w:t>Residential construction</w:t>
            </w: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88,651,967</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88,651,967</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88,651,967</w:t>
            </w:r>
          </w:p>
        </w:tc>
      </w:tr>
      <w:tr>
        <w:trPr>
          <w:trHeight w:val="238"/>
        </w:trPr>
        <w:tc>
          <w:tcPr>
            <w:tcW w:w="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Commercial</w:t>
            </w:r>
          </w:p>
        </w:tc>
        <w:tc>
          <w:tcPr>
            <w:tcW w:w="4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37,788,901</w:t>
            </w:r>
          </w:p>
        </w:tc>
        <w:tc>
          <w:tcPr>
            <w:tcW w:w="22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39,289,462</w:t>
            </w:r>
          </w:p>
        </w:tc>
        <w:tc>
          <w:tcPr>
            <w:tcW w:w="2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39,289,462</w:t>
            </w:r>
          </w:p>
        </w:tc>
      </w:tr>
      <w:tr>
        <w:trPr>
          <w:trHeight w:val="218"/>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Mortgage loans held for investment, net</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236,694,546</w:t>
            </w:r>
          </w:p>
        </w:tc>
        <w:tc>
          <w:tcPr>
            <w:tcW w:w="2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920" w:type="dxa"/>
            <w:vAlign w:val="bottom"/>
          </w:tcPr>
          <w:p>
            <w:pPr>
              <w:jc w:val="right"/>
              <w:ind w:right="458"/>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243,262,067</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243,262,067</w:t>
            </w:r>
          </w:p>
        </w:tc>
      </w:tr>
      <w:tr>
        <w:trPr>
          <w:trHeight w:val="239"/>
        </w:trPr>
        <w:tc>
          <w:tcPr>
            <w:tcW w:w="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Policy loans</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14,762,805</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14,762,805</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14,762,805</w:t>
            </w:r>
          </w:p>
        </w:tc>
      </w:tr>
      <w:tr>
        <w:trPr>
          <w:trHeight w:val="236"/>
        </w:trPr>
        <w:tc>
          <w:tcPr>
            <w:tcW w:w="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Insurance assignments, net (1)</w:t>
            </w: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39,614,939</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39,614,939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39,614,939</w:t>
            </w:r>
          </w:p>
        </w:tc>
      </w:tr>
      <w:tr>
        <w:trPr>
          <w:trHeight w:val="239"/>
        </w:trPr>
        <w:tc>
          <w:tcPr>
            <w:tcW w:w="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Restricted assets (2)</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2,275,756</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2,289,679</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2,289,679</w:t>
            </w:r>
          </w:p>
        </w:tc>
      </w:tr>
      <w:tr>
        <w:trPr>
          <w:trHeight w:val="236"/>
        </w:trPr>
        <w:tc>
          <w:tcPr>
            <w:tcW w:w="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Cemetery perpetual care trust investments (2)</w:t>
            </w: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524,000</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536,553</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536,553</w:t>
            </w:r>
          </w:p>
        </w:tc>
      </w:tr>
      <w:tr>
        <w:trPr>
          <w:trHeight w:val="239"/>
        </w:trPr>
        <w:tc>
          <w:tcPr>
            <w:tcW w:w="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Mortgage servicing rights, net</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17,155,529</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22,784,571</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22,784,571</w:t>
            </w:r>
          </w:p>
        </w:tc>
      </w:tr>
      <w:tr>
        <w:trPr>
          <w:trHeight w:val="158"/>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238"/>
        </w:trPr>
        <w:tc>
          <w:tcPr>
            <w:tcW w:w="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Liabilities</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Bank and other loans payable</w:t>
            </w: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w w:val="93"/>
              </w:rPr>
              <w:t>(217,572,612)</w:t>
            </w:r>
          </w:p>
        </w:tc>
        <w:tc>
          <w:tcPr>
            <w:tcW w:w="220" w:type="dxa"/>
            <w:vAlign w:val="bottom"/>
          </w:tcPr>
          <w:p>
            <w:pPr>
              <w:spacing w:after="0"/>
              <w:rPr>
                <w:sz w:val="20"/>
                <w:szCs w:val="20"/>
                <w:color w:val="auto"/>
              </w:rPr>
            </w:pPr>
          </w:p>
        </w:tc>
        <w:tc>
          <w:tcPr>
            <w:tcW w:w="780" w:type="dxa"/>
            <w:vAlign w:val="bottom"/>
          </w:tcPr>
          <w:p>
            <w:pPr>
              <w:ind w:left="28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920" w:type="dxa"/>
            <w:vAlign w:val="bottom"/>
          </w:tcPr>
          <w:p>
            <w:pPr>
              <w:jc w:val="right"/>
              <w:ind w:right="458"/>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w w:val="96"/>
              </w:rPr>
              <w:t>(217,572,612)</w:t>
            </w: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w w:val="98"/>
              </w:rPr>
              <w:t>(217,572,612)</w:t>
            </w:r>
          </w:p>
        </w:tc>
      </w:tr>
      <w:tr>
        <w:trPr>
          <w:trHeight w:val="239"/>
        </w:trPr>
        <w:tc>
          <w:tcPr>
            <w:tcW w:w="20" w:type="dxa"/>
            <w:vAlign w:val="bottom"/>
            <w:shd w:val="clear" w:color="auto" w:fill="CCEEFF"/>
          </w:tcPr>
          <w:p>
            <w:pPr>
              <w:spacing w:after="0"/>
              <w:rPr>
                <w:sz w:val="20"/>
                <w:szCs w:val="20"/>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Policyholder account balances (3)</w:t>
            </w: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(45,154,180)</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(41,828,469)</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(41,828,469)</w:t>
            </w:r>
          </w:p>
        </w:tc>
      </w:tr>
      <w:tr>
        <w:trPr>
          <w:trHeight w:val="236"/>
        </w:trPr>
        <w:tc>
          <w:tcPr>
            <w:tcW w:w="2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Arial" w:cs="Arial" w:eastAsia="Arial" w:hAnsi="Arial"/>
                <w:sz w:val="12"/>
                <w:szCs w:val="12"/>
                <w:color w:val="auto"/>
              </w:rPr>
              <w:t>Future policy benefits - annuities (3)</w:t>
            </w: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3"/>
              </w:rPr>
              <w:t>(113,579,830)</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w w:val="96"/>
              </w:rPr>
              <w:t>(117,304,614)</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w w:val="98"/>
              </w:rPr>
              <w:t>(117,304,614)</w:t>
            </w:r>
          </w:p>
        </w:tc>
      </w:tr>
      <w:tr>
        <w:trPr>
          <w:trHeight w:val="147"/>
        </w:trPr>
        <w:tc>
          <w:tcPr>
            <w:tcW w:w="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200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r>
    </w:tbl>
    <w:p>
      <w:pPr>
        <w:spacing w:after="0" w:line="78" w:lineRule="exact"/>
        <w:rPr>
          <w:sz w:val="20"/>
          <w:szCs w:val="20"/>
          <w:color w:val="auto"/>
        </w:rPr>
      </w:pPr>
    </w:p>
    <w:p>
      <w:pPr>
        <w:ind w:left="183" w:hanging="170"/>
        <w:spacing w:after="0"/>
        <w:tabs>
          <w:tab w:leader="none" w:pos="183"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Included in other investments and policy loans on the condensed consolidated balance sheets</w:t>
      </w:r>
    </w:p>
    <w:p>
      <w:pPr>
        <w:spacing w:after="0" w:line="99" w:lineRule="exact"/>
        <w:rPr>
          <w:rFonts w:ascii="Arial" w:cs="Arial" w:eastAsia="Arial" w:hAnsi="Arial"/>
          <w:sz w:val="12"/>
          <w:szCs w:val="12"/>
          <w:color w:val="auto"/>
        </w:rPr>
      </w:pPr>
    </w:p>
    <w:p>
      <w:pPr>
        <w:ind w:left="183" w:hanging="170"/>
        <w:spacing w:after="0"/>
        <w:tabs>
          <w:tab w:leader="none" w:pos="183" w:val="left"/>
        </w:tabs>
        <w:numPr>
          <w:ilvl w:val="0"/>
          <w:numId w:val="49"/>
        </w:numPr>
        <w:rPr>
          <w:rFonts w:ascii="Arial" w:cs="Arial" w:eastAsia="Arial" w:hAnsi="Arial"/>
          <w:sz w:val="12"/>
          <w:szCs w:val="12"/>
          <w:color w:val="auto"/>
        </w:rPr>
      </w:pPr>
      <w:r>
        <w:rPr>
          <w:rFonts w:ascii="Arial" w:cs="Arial" w:eastAsia="Arial" w:hAnsi="Arial"/>
          <w:sz w:val="12"/>
          <w:szCs w:val="12"/>
          <w:color w:val="auto"/>
        </w:rPr>
        <w:t>Mortgage loans held for investment</w:t>
      </w:r>
    </w:p>
    <w:p>
      <w:pPr>
        <w:spacing w:after="0" w:line="99" w:lineRule="exact"/>
        <w:rPr>
          <w:rFonts w:ascii="Arial" w:cs="Arial" w:eastAsia="Arial" w:hAnsi="Arial"/>
          <w:sz w:val="12"/>
          <w:szCs w:val="12"/>
          <w:color w:val="auto"/>
        </w:rPr>
      </w:pPr>
    </w:p>
    <w:p>
      <w:pPr>
        <w:ind w:left="183" w:hanging="170"/>
        <w:spacing w:after="0"/>
        <w:tabs>
          <w:tab w:leader="none" w:pos="183"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Included in future policy benefits and unpaid claims on the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-287655</wp:posOffset>
            </wp:positionV>
            <wp:extent cx="6087110" cy="151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87110" cy="151130"/>
                    </a:xfrm>
                    <a:prstGeom prst="rect">
                      <a:avLst/>
                    </a:prstGeom>
                    <a:noFill/>
                  </pic:spPr>
                </pic:pic>
              </a:graphicData>
            </a:graphic>
          </wp:anchor>
        </w:drawing>
      </w:r>
    </w:p>
    <w:p>
      <w:pPr>
        <w:spacing w:after="0" w:line="209" w:lineRule="exact"/>
        <w:rPr>
          <w:sz w:val="20"/>
          <w:szCs w:val="20"/>
          <w:color w:val="auto"/>
        </w:rPr>
      </w:pPr>
    </w:p>
    <w:p>
      <w:pPr>
        <w:jc w:val="both"/>
        <w:ind w:left="3" w:right="720"/>
        <w:spacing w:after="0" w:line="277" w:lineRule="auto"/>
        <w:rPr>
          <w:sz w:val="20"/>
          <w:szCs w:val="20"/>
          <w:color w:val="auto"/>
        </w:rPr>
      </w:pPr>
      <w:r>
        <w:rPr>
          <w:rFonts w:ascii="Arial" w:cs="Arial" w:eastAsia="Arial" w:hAnsi="Arial"/>
          <w:sz w:val="19"/>
          <w:szCs w:val="19"/>
          <w:color w:val="auto"/>
        </w:rPr>
        <w:t>The methods, assumptions and significant valuation techniques and inputs used to estimate the fair value of these financial instruments are summarized as follows:</w:t>
      </w:r>
    </w:p>
    <w:p>
      <w:pPr>
        <w:spacing w:after="0" w:line="169" w:lineRule="exact"/>
        <w:rPr>
          <w:sz w:val="20"/>
          <w:szCs w:val="20"/>
          <w:color w:val="auto"/>
        </w:rPr>
      </w:pPr>
    </w:p>
    <w:p>
      <w:pPr>
        <w:jc w:val="both"/>
        <w:ind w:left="3" w:right="720"/>
        <w:spacing w:after="0" w:line="254" w:lineRule="auto"/>
        <w:rPr>
          <w:sz w:val="20"/>
          <w:szCs w:val="20"/>
          <w:color w:val="auto"/>
        </w:rPr>
      </w:pPr>
      <w:r>
        <w:rPr>
          <w:rFonts w:ascii="Arial" w:cs="Arial" w:eastAsia="Arial" w:hAnsi="Arial"/>
          <w:sz w:val="19"/>
          <w:szCs w:val="19"/>
          <w:i w:val="1"/>
          <w:iCs w:val="1"/>
          <w:u w:val="single" w:color="auto"/>
          <w:color w:val="auto"/>
        </w:rPr>
        <w:t>Mortgage Loans Held for Investment</w:t>
      </w:r>
      <w:r>
        <w:rPr>
          <w:rFonts w:ascii="Arial" w:cs="Arial" w:eastAsia="Arial" w:hAnsi="Arial"/>
          <w:sz w:val="19"/>
          <w:szCs w:val="19"/>
          <w:i w:val="1"/>
          <w:iCs w:val="1"/>
          <w:color w:val="auto"/>
        </w:rPr>
        <w:t xml:space="preserve">: </w:t>
      </w:r>
      <w:r>
        <w:rPr>
          <w:rFonts w:ascii="Arial" w:cs="Arial" w:eastAsia="Arial" w:hAnsi="Arial"/>
          <w:sz w:val="19"/>
          <w:szCs w:val="19"/>
          <w:color w:val="auto"/>
        </w:rPr>
        <w:t>The estimated fair value of the Company’s mortgage loans held for</w:t>
      </w:r>
      <w:r>
        <w:rPr>
          <w:rFonts w:ascii="Arial" w:cs="Arial" w:eastAsia="Arial" w:hAnsi="Arial"/>
          <w:sz w:val="19"/>
          <w:szCs w:val="19"/>
          <w:i w:val="1"/>
          <w:iCs w:val="1"/>
          <w:color w:val="auto"/>
        </w:rPr>
        <w:t xml:space="preserve"> </w:t>
      </w:r>
      <w:r>
        <w:rPr>
          <w:rFonts w:ascii="Arial" w:cs="Arial" w:eastAsia="Arial" w:hAnsi="Arial"/>
          <w:sz w:val="19"/>
          <w:szCs w:val="19"/>
          <w:color w:val="auto"/>
        </w:rPr>
        <w:t>investment is determined using various methods. 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91" w:lineRule="exact"/>
        <w:rPr>
          <w:sz w:val="20"/>
          <w:szCs w:val="20"/>
          <w:color w:val="auto"/>
        </w:rPr>
      </w:pPr>
    </w:p>
    <w:p>
      <w:pPr>
        <w:jc w:val="both"/>
        <w:ind w:left="643" w:right="720"/>
        <w:spacing w:after="0" w:line="283" w:lineRule="auto"/>
        <w:rPr>
          <w:sz w:val="20"/>
          <w:szCs w:val="20"/>
          <w:color w:val="auto"/>
        </w:rPr>
      </w:pPr>
      <w:r>
        <w:rPr>
          <w:rFonts w:ascii="Arial" w:cs="Arial" w:eastAsia="Arial" w:hAnsi="Arial"/>
          <w:sz w:val="18"/>
          <w:szCs w:val="18"/>
          <w:color w:val="auto"/>
        </w:rPr>
        <w:t>Residential – The estimated fair value is determined through a combination of discounted cash flows (estimating expected future cash flows of payments and discounting them using current interest rates from single family mortgages) and considering pricing of similar loans that were sold recently.</w:t>
      </w:r>
    </w:p>
    <w:p>
      <w:pPr>
        <w:spacing w:after="0" w:line="166" w:lineRule="exact"/>
        <w:rPr>
          <w:sz w:val="20"/>
          <w:szCs w:val="20"/>
          <w:color w:val="auto"/>
        </w:rPr>
      </w:pPr>
    </w:p>
    <w:p>
      <w:pPr>
        <w:jc w:val="both"/>
        <w:ind w:left="643" w:right="720"/>
        <w:spacing w:after="0" w:line="277" w:lineRule="auto"/>
        <w:rPr>
          <w:sz w:val="20"/>
          <w:szCs w:val="20"/>
          <w:color w:val="auto"/>
        </w:rPr>
      </w:pPr>
      <w:r>
        <w:rPr>
          <w:rFonts w:ascii="Arial" w:cs="Arial" w:eastAsia="Arial" w:hAnsi="Arial"/>
          <w:sz w:val="19"/>
          <w:szCs w:val="19"/>
          <w:color w:val="auto"/>
        </w:rPr>
        <w:t>Residential Construction – These loans are primarily short in maturity. Accordingly, the estimated fair value is determined to be the carrying value.</w:t>
      </w:r>
    </w:p>
    <w:p>
      <w:pPr>
        <w:spacing w:after="0" w:line="169" w:lineRule="exact"/>
        <w:rPr>
          <w:sz w:val="20"/>
          <w:szCs w:val="20"/>
          <w:color w:val="auto"/>
        </w:rPr>
      </w:pPr>
    </w:p>
    <w:p>
      <w:pPr>
        <w:jc w:val="both"/>
        <w:ind w:left="643" w:right="720"/>
        <w:spacing w:after="0" w:line="277" w:lineRule="auto"/>
        <w:rPr>
          <w:sz w:val="20"/>
          <w:szCs w:val="20"/>
          <w:color w:val="auto"/>
        </w:rPr>
      </w:pPr>
      <w:r>
        <w:rPr>
          <w:rFonts w:ascii="Arial" w:cs="Arial" w:eastAsia="Arial" w:hAnsi="Arial"/>
          <w:sz w:val="19"/>
          <w:szCs w:val="19"/>
          <w:color w:val="auto"/>
        </w:rPr>
        <w:t>Commercial – The estimated fair value is determined by estimating expected future cash flows of payments and discounting them using current interest rates for commercial mortgages.</w:t>
      </w:r>
    </w:p>
    <w:p>
      <w:pPr>
        <w:spacing w:after="0" w:line="169" w:lineRule="exact"/>
        <w:rPr>
          <w:sz w:val="20"/>
          <w:szCs w:val="20"/>
          <w:color w:val="auto"/>
        </w:rPr>
      </w:pPr>
    </w:p>
    <w:p>
      <w:pPr>
        <w:jc w:val="both"/>
        <w:ind w:left="3" w:right="720"/>
        <w:spacing w:after="0" w:line="261" w:lineRule="auto"/>
        <w:rPr>
          <w:sz w:val="20"/>
          <w:szCs w:val="20"/>
          <w:color w:val="auto"/>
        </w:rPr>
      </w:pPr>
      <w:r>
        <w:rPr>
          <w:rFonts w:ascii="Arial" w:cs="Arial" w:eastAsia="Arial" w:hAnsi="Arial"/>
          <w:sz w:val="19"/>
          <w:szCs w:val="19"/>
          <w:i w:val="1"/>
          <w:iCs w:val="1"/>
          <w:u w:val="single" w:color="auto"/>
          <w:color w:val="auto"/>
        </w:rPr>
        <w:t>Policy Loans</w:t>
      </w:r>
      <w:r>
        <w:rPr>
          <w:rFonts w:ascii="Arial" w:cs="Arial" w:eastAsia="Arial" w:hAnsi="Arial"/>
          <w:sz w:val="19"/>
          <w:szCs w:val="19"/>
          <w:color w:val="auto"/>
        </w:rPr>
        <w:t>: The carrying amounts reported in the accompanying condensed consolidated balance sheet for these</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 instruments approximate their fair values because they are fully collateralized by the cash surrender value of the underlying insurance policies.</w:t>
      </w:r>
    </w:p>
    <w:p>
      <w:pPr>
        <w:spacing w:after="0" w:line="185" w:lineRule="exact"/>
        <w:rPr>
          <w:sz w:val="20"/>
          <w:szCs w:val="20"/>
          <w:color w:val="auto"/>
        </w:rPr>
      </w:pPr>
    </w:p>
    <w:p>
      <w:pPr>
        <w:jc w:val="both"/>
        <w:ind w:left="3" w:right="720"/>
        <w:spacing w:after="0" w:line="261" w:lineRule="auto"/>
        <w:rPr>
          <w:sz w:val="20"/>
          <w:szCs w:val="20"/>
          <w:color w:val="auto"/>
        </w:rPr>
      </w:pPr>
      <w:r>
        <w:rPr>
          <w:rFonts w:ascii="Arial" w:cs="Arial" w:eastAsia="Arial" w:hAnsi="Arial"/>
          <w:sz w:val="19"/>
          <w:szCs w:val="19"/>
          <w:i w:val="1"/>
          <w:iCs w:val="1"/>
          <w:u w:val="single" w:color="auto"/>
          <w:color w:val="auto"/>
        </w:rPr>
        <w:t>Insurance Assignments, Net</w:t>
      </w:r>
      <w:r>
        <w:rPr>
          <w:rFonts w:ascii="Arial" w:cs="Arial" w:eastAsia="Arial" w:hAnsi="Arial"/>
          <w:sz w:val="19"/>
          <w:szCs w:val="19"/>
          <w:color w:val="auto"/>
        </w:rPr>
        <w:t>: These investments are primarily short in maturity, accordingly, the carrying amounts</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in the accompanying condensed consolidated balance sheet for these financial instruments approximate their fair values.</w:t>
      </w:r>
    </w:p>
    <w:p>
      <w:pPr>
        <w:spacing w:after="0" w:line="198" w:lineRule="exact"/>
        <w:rPr>
          <w:sz w:val="20"/>
          <w:szCs w:val="20"/>
          <w:color w:val="auto"/>
        </w:rPr>
      </w:pPr>
    </w:p>
    <w:p>
      <w:pPr>
        <w:ind w:left="4343"/>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583"/>
          </w:cols>
          <w:pgMar w:left="1197" w:top="122" w:right="1119" w:bottom="1440" w:gutter="0" w:footer="0" w:header="0"/>
        </w:sectPr>
      </w:pPr>
    </w:p>
    <w:bookmarkStart w:id="40" w:name="page41"/>
    <w:bookmarkEnd w:id="40"/>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Fair Value of Financial Instruments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i w:val="1"/>
          <w:iCs w:val="1"/>
          <w:u w:val="single" w:color="auto"/>
          <w:color w:val="auto"/>
        </w:rPr>
        <w:t>Bank and Other Loans Payable</w:t>
      </w:r>
      <w:r>
        <w:rPr>
          <w:rFonts w:ascii="Arial" w:cs="Arial" w:eastAsia="Arial" w:hAnsi="Arial"/>
          <w:sz w:val="19"/>
          <w:szCs w:val="19"/>
          <w:color w:val="auto"/>
        </w:rPr>
        <w:t>: The carrying amounts reported in the accompanying condensed consolidated</w:t>
      </w:r>
      <w:r>
        <w:rPr>
          <w:rFonts w:ascii="Arial" w:cs="Arial" w:eastAsia="Arial" w:hAnsi="Arial"/>
          <w:sz w:val="19"/>
          <w:szCs w:val="19"/>
          <w:i w:val="1"/>
          <w:iCs w:val="1"/>
          <w:color w:val="auto"/>
        </w:rPr>
        <w:t xml:space="preserve"> </w:t>
      </w:r>
      <w:r>
        <w:rPr>
          <w:rFonts w:ascii="Arial" w:cs="Arial" w:eastAsia="Arial" w:hAnsi="Arial"/>
          <w:sz w:val="19"/>
          <w:szCs w:val="19"/>
          <w:color w:val="auto"/>
        </w:rPr>
        <w:t>balance sheet for these financial instruments approximate their fair values due to their relatively short-term maturities and variable interest rates.</w:t>
      </w:r>
    </w:p>
    <w:p>
      <w:pPr>
        <w:spacing w:after="0" w:line="185" w:lineRule="exact"/>
        <w:rPr>
          <w:sz w:val="20"/>
          <w:szCs w:val="20"/>
          <w:color w:val="auto"/>
        </w:rPr>
      </w:pPr>
    </w:p>
    <w:p>
      <w:pPr>
        <w:jc w:val="both"/>
        <w:ind w:left="3" w:right="379"/>
        <w:spacing w:after="0" w:line="269" w:lineRule="auto"/>
        <w:rPr>
          <w:sz w:val="20"/>
          <w:szCs w:val="20"/>
          <w:color w:val="auto"/>
        </w:rPr>
      </w:pPr>
      <w:r>
        <w:rPr>
          <w:rFonts w:ascii="Arial" w:cs="Arial" w:eastAsia="Arial" w:hAnsi="Arial"/>
          <w:sz w:val="18"/>
          <w:szCs w:val="18"/>
          <w:i w:val="1"/>
          <w:iCs w:val="1"/>
          <w:u w:val="single" w:color="auto"/>
          <w:color w:val="auto"/>
        </w:rPr>
        <w:t>Policyholder Account Balances and Future Policy Benefits-Annuities</w:t>
      </w:r>
      <w:r>
        <w:rPr>
          <w:rFonts w:ascii="Arial" w:cs="Arial" w:eastAsia="Arial" w:hAnsi="Arial"/>
          <w:sz w:val="18"/>
          <w:szCs w:val="18"/>
          <w:color w:val="auto"/>
        </w:rPr>
        <w:t>: Future policy benefit reserves for interest-sensitive insurance products are computed 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179" w:lineRule="exact"/>
        <w:rPr>
          <w:sz w:val="20"/>
          <w:szCs w:val="20"/>
          <w:color w:val="auto"/>
        </w:rPr>
      </w:pPr>
    </w:p>
    <w:p>
      <w:pPr>
        <w:jc w:val="both"/>
        <w:ind w:left="3" w:right="399"/>
        <w:spacing w:after="0" w:line="296" w:lineRule="auto"/>
        <w:rPr>
          <w:sz w:val="20"/>
          <w:szCs w:val="20"/>
          <w:color w:val="auto"/>
        </w:rPr>
      </w:pPr>
      <w:r>
        <w:rPr>
          <w:rFonts w:ascii="Arial" w:cs="Arial" w:eastAsia="Arial" w:hAnsi="Arial"/>
          <w:sz w:val="17"/>
          <w:szCs w:val="17"/>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158" w:lineRule="exact"/>
        <w:rPr>
          <w:sz w:val="20"/>
          <w:szCs w:val="20"/>
          <w:color w:val="auto"/>
        </w:rPr>
      </w:pPr>
    </w:p>
    <w:p>
      <w:pPr>
        <w:ind w:left="483" w:hanging="483"/>
        <w:spacing w:after="0"/>
        <w:tabs>
          <w:tab w:leader="none" w:pos="483"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Allowance for Doubtful Accounts</w:t>
      </w:r>
    </w:p>
    <w:p>
      <w:pPr>
        <w:spacing w:after="0" w:line="230" w:lineRule="exact"/>
        <w:rPr>
          <w:sz w:val="20"/>
          <w:szCs w:val="20"/>
          <w:color w:val="auto"/>
        </w:rPr>
      </w:pPr>
    </w:p>
    <w:p>
      <w:pPr>
        <w:jc w:val="both"/>
        <w:ind w:left="3" w:right="399"/>
        <w:spacing w:after="0" w:line="277" w:lineRule="auto"/>
        <w:rPr>
          <w:sz w:val="20"/>
          <w:szCs w:val="20"/>
          <w:color w:val="auto"/>
        </w:rPr>
      </w:pPr>
      <w:r>
        <w:rPr>
          <w:rFonts w:ascii="Arial" w:cs="Arial" w:eastAsia="Arial" w:hAnsi="Arial"/>
          <w:sz w:val="19"/>
          <w:szCs w:val="19"/>
          <w:color w:val="auto"/>
        </w:rPr>
        <w:t>The Company records an allowance and recognizes an expense for potential losses from other investments and receivables in accordance with generally accepted accounting principles.</w:t>
      </w:r>
    </w:p>
    <w:p>
      <w:pPr>
        <w:spacing w:after="0" w:line="169" w:lineRule="exact"/>
        <w:rPr>
          <w:sz w:val="20"/>
          <w:szCs w:val="20"/>
          <w:color w:val="auto"/>
        </w:rPr>
      </w:pPr>
    </w:p>
    <w:p>
      <w:pPr>
        <w:jc w:val="both"/>
        <w:ind w:left="3" w:right="399"/>
        <w:spacing w:after="0" w:line="252" w:lineRule="auto"/>
        <w:rPr>
          <w:sz w:val="20"/>
          <w:szCs w:val="20"/>
          <w:color w:val="auto"/>
        </w:rPr>
      </w:pPr>
      <w:r>
        <w:rPr>
          <w:rFonts w:ascii="Arial" w:cs="Arial" w:eastAsia="Arial" w:hAnsi="Arial"/>
          <w:sz w:val="19"/>
          <w:szCs w:val="19"/>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195" w:lineRule="exact"/>
        <w:rPr>
          <w:sz w:val="20"/>
          <w:szCs w:val="20"/>
          <w:color w:val="auto"/>
        </w:rPr>
      </w:pPr>
    </w:p>
    <w:p>
      <w:pPr>
        <w:ind w:left="483" w:hanging="483"/>
        <w:spacing w:after="0"/>
        <w:tabs>
          <w:tab w:leader="none" w:pos="48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Derivative Instruments</w:t>
      </w:r>
    </w:p>
    <w:p>
      <w:pPr>
        <w:spacing w:after="0" w:line="22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Mortgage Banking Derivatives</w:t>
      </w:r>
    </w:p>
    <w:p>
      <w:pPr>
        <w:spacing w:after="0" w:line="236"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Loan Commitments</w:t>
      </w:r>
    </w:p>
    <w:p>
      <w:pPr>
        <w:spacing w:after="0" w:line="230" w:lineRule="exact"/>
        <w:rPr>
          <w:sz w:val="20"/>
          <w:szCs w:val="20"/>
          <w:color w:val="auto"/>
        </w:rPr>
      </w:pPr>
    </w:p>
    <w:p>
      <w:pPr>
        <w:jc w:val="both"/>
        <w:ind w:left="3" w:right="399"/>
        <w:spacing w:after="0" w:line="251" w:lineRule="auto"/>
        <w:rPr>
          <w:sz w:val="20"/>
          <w:szCs w:val="20"/>
          <w:color w:val="auto"/>
        </w:rPr>
      </w:pPr>
      <w:r>
        <w:rPr>
          <w:rFonts w:ascii="Arial" w:cs="Arial" w:eastAsia="Arial" w:hAnsi="Arial"/>
          <w:sz w:val="19"/>
          <w:szCs w:val="19"/>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196" w:lineRule="exact"/>
        <w:rPr>
          <w:sz w:val="20"/>
          <w:szCs w:val="20"/>
          <w:color w:val="auto"/>
        </w:rPr>
      </w:pPr>
    </w:p>
    <w:p>
      <w:pPr>
        <w:jc w:val="both"/>
        <w:ind w:left="3" w:right="399"/>
        <w:spacing w:after="0" w:line="265"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201"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41" w:name="page42"/>
    <w:bookmarkEnd w:id="41"/>
    <w:p>
      <w:pPr>
        <w:jc w:val="center"/>
        <w:ind w:right="1037"/>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Derivative Instruments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3" w:right="1040"/>
        <w:spacing w:after="0" w:line="269"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179" w:lineRule="exact"/>
        <w:rPr>
          <w:sz w:val="20"/>
          <w:szCs w:val="20"/>
          <w:color w:val="auto"/>
        </w:rPr>
      </w:pPr>
    </w:p>
    <w:p>
      <w:pPr>
        <w:ind w:left="3"/>
        <w:spacing w:after="0"/>
        <w:rPr>
          <w:sz w:val="20"/>
          <w:szCs w:val="20"/>
          <w:color w:val="auto"/>
        </w:rPr>
      </w:pPr>
      <w:r>
        <w:rPr>
          <w:rFonts w:ascii="Arial" w:cs="Arial" w:eastAsia="Arial" w:hAnsi="Arial"/>
          <w:sz w:val="19"/>
          <w:szCs w:val="19"/>
          <w:u w:val="single" w:color="auto"/>
          <w:color w:val="auto"/>
        </w:rPr>
        <w:t>Forward Sale Commitments</w:t>
      </w:r>
    </w:p>
    <w:p>
      <w:pPr>
        <w:spacing w:after="0" w:line="230" w:lineRule="exact"/>
        <w:rPr>
          <w:sz w:val="20"/>
          <w:szCs w:val="20"/>
          <w:color w:val="auto"/>
        </w:rPr>
      </w:pPr>
    </w:p>
    <w:p>
      <w:pPr>
        <w:jc w:val="both"/>
        <w:ind w:left="3" w:right="1040"/>
        <w:spacing w:after="0" w:line="271"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178" w:lineRule="exact"/>
        <w:rPr>
          <w:sz w:val="20"/>
          <w:szCs w:val="20"/>
          <w:color w:val="auto"/>
        </w:rPr>
      </w:pPr>
    </w:p>
    <w:p>
      <w:pPr>
        <w:jc w:val="both"/>
        <w:ind w:left="3" w:right="1040"/>
        <w:spacing w:after="0" w:line="306" w:lineRule="auto"/>
        <w:rPr>
          <w:sz w:val="20"/>
          <w:szCs w:val="20"/>
          <w:color w:val="auto"/>
        </w:rPr>
      </w:pPr>
      <w:r>
        <w:rPr>
          <w:rFonts w:ascii="Arial" w:cs="Arial" w:eastAsia="Arial" w:hAnsi="Arial"/>
          <w:sz w:val="17"/>
          <w:szCs w:val="17"/>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Call and Put Options</w:t>
      </w:r>
    </w:p>
    <w:p>
      <w:pPr>
        <w:spacing w:after="0" w:line="236" w:lineRule="exact"/>
        <w:rPr>
          <w:sz w:val="20"/>
          <w:szCs w:val="20"/>
          <w:color w:val="auto"/>
        </w:rPr>
      </w:pPr>
    </w:p>
    <w:p>
      <w:pPr>
        <w:jc w:val="both"/>
        <w:ind w:left="3" w:right="1040"/>
        <w:spacing w:after="0" w:line="264" w:lineRule="auto"/>
        <w:rPr>
          <w:sz w:val="20"/>
          <w:szCs w:val="20"/>
          <w:color w:val="auto"/>
        </w:rPr>
      </w:pPr>
      <w:r>
        <w:rPr>
          <w:rFonts w:ascii="Arial" w:cs="Arial" w:eastAsia="Arial" w:hAnsi="Arial"/>
          <w:sz w:val="18"/>
          <w:szCs w:val="18"/>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recognizes a gain from the expired option. In the event a put option is exercised, the Company acquires an equity security at the strike price of the option reduced by the value received from the sale of the put option. The equity security is then treated as a normal equity security in the Company’s portfolio. The net changes in the fair value of call and put options are shown in current earnings as a component of realized gains (losses) on investments and other assets. Call and put options are shown in other liabilities and accrued expenses on the condensed consolidated balance sheets.</w:t>
      </w:r>
    </w:p>
    <w:p>
      <w:pPr>
        <w:spacing w:after="0" w:line="183" w:lineRule="exact"/>
        <w:rPr>
          <w:sz w:val="20"/>
          <w:szCs w:val="20"/>
          <w:color w:val="auto"/>
        </w:rPr>
      </w:pPr>
    </w:p>
    <w:p>
      <w:pPr>
        <w:jc w:val="both"/>
        <w:ind w:left="3" w:right="1040"/>
        <w:spacing w:after="0" w:line="277" w:lineRule="auto"/>
        <w:rPr>
          <w:sz w:val="20"/>
          <w:szCs w:val="20"/>
          <w:color w:val="auto"/>
        </w:rPr>
      </w:pPr>
      <w:r>
        <w:rPr>
          <w:rFonts w:ascii="Arial" w:cs="Arial" w:eastAsia="Arial" w:hAnsi="Arial"/>
          <w:sz w:val="19"/>
          <w:szCs w:val="19"/>
          <w:color w:val="auto"/>
        </w:rPr>
        <w:t>The following table shows the notional amount and fair value of derivatives as of June 30, 2020 and December 31, 2019.</w:t>
      </w:r>
    </w:p>
    <w:p>
      <w:pPr>
        <w:spacing w:after="0" w:line="260"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940" w:type="dxa"/>
            <w:vAlign w:val="bottom"/>
            <w:gridSpan w:val="7"/>
          </w:tcPr>
          <w:p>
            <w:pPr>
              <w:jc w:val="right"/>
              <w:ind w:right="530"/>
              <w:spacing w:after="0"/>
              <w:rPr>
                <w:sz w:val="20"/>
                <w:szCs w:val="20"/>
                <w:color w:val="auto"/>
              </w:rPr>
            </w:pPr>
            <w:r>
              <w:rPr>
                <w:rFonts w:ascii="Arial" w:cs="Arial" w:eastAsia="Arial" w:hAnsi="Arial"/>
                <w:sz w:val="14"/>
                <w:szCs w:val="14"/>
                <w:color w:val="auto"/>
              </w:rPr>
              <w:t>Fair Values and Notional Values of Derivative Instruments</w:t>
            </w: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64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color w:val="auto"/>
              </w:rPr>
              <w:t>June 30, 2020</w:t>
            </w:r>
          </w:p>
        </w:tc>
        <w:tc>
          <w:tcPr>
            <w:tcW w:w="960" w:type="dxa"/>
            <w:vAlign w:val="bottom"/>
            <w:tcBorders>
              <w:top w:val="single" w:sz="8" w:color="auto"/>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60" w:type="dxa"/>
            <w:vAlign w:val="bottom"/>
            <w:tcBorders>
              <w:top w:val="single" w:sz="8" w:color="auto"/>
              <w:bottom w:val="single" w:sz="8" w:color="auto"/>
            </w:tcBorders>
            <w:gridSpan w:val="3"/>
          </w:tcPr>
          <w:p>
            <w:pPr>
              <w:ind w:left="980"/>
              <w:spacing w:after="0"/>
              <w:rPr>
                <w:sz w:val="20"/>
                <w:szCs w:val="20"/>
                <w:color w:val="auto"/>
              </w:rPr>
            </w:pPr>
            <w:r>
              <w:rPr>
                <w:rFonts w:ascii="Arial" w:cs="Arial" w:eastAsia="Arial" w:hAnsi="Arial"/>
                <w:sz w:val="14"/>
                <w:szCs w:val="14"/>
                <w:color w:val="auto"/>
              </w:rPr>
              <w:t>December 31, 2019</w:t>
            </w:r>
          </w:p>
        </w:tc>
        <w:tc>
          <w:tcPr>
            <w:tcW w:w="8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1640" w:type="dxa"/>
            <w:vAlign w:val="bottom"/>
          </w:tcPr>
          <w:p>
            <w:pPr>
              <w:spacing w:after="0"/>
              <w:rPr>
                <w:sz w:val="11"/>
                <w:szCs w:val="11"/>
                <w:color w:val="auto"/>
              </w:rPr>
            </w:pPr>
          </w:p>
        </w:tc>
        <w:tc>
          <w:tcPr>
            <w:tcW w:w="1220" w:type="dxa"/>
            <w:vAlign w:val="bottom"/>
          </w:tcPr>
          <w:p>
            <w:pPr>
              <w:jc w:val="center"/>
              <w:spacing w:after="0" w:line="133" w:lineRule="exact"/>
              <w:rPr>
                <w:sz w:val="20"/>
                <w:szCs w:val="20"/>
                <w:color w:val="auto"/>
              </w:rPr>
            </w:pPr>
            <w:r>
              <w:rPr>
                <w:rFonts w:ascii="Arial" w:cs="Arial" w:eastAsia="Arial" w:hAnsi="Arial"/>
                <w:sz w:val="14"/>
                <w:szCs w:val="14"/>
                <w:color w:val="auto"/>
                <w:w w:val="87"/>
              </w:rPr>
              <w:t>Balance Sheet</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spacing w:after="0" w:line="133" w:lineRule="exact"/>
              <w:rPr>
                <w:sz w:val="20"/>
                <w:szCs w:val="20"/>
                <w:color w:val="auto"/>
              </w:rPr>
            </w:pPr>
            <w:r>
              <w:rPr>
                <w:rFonts w:ascii="Arial" w:cs="Arial" w:eastAsia="Arial" w:hAnsi="Arial"/>
                <w:sz w:val="14"/>
                <w:szCs w:val="14"/>
                <w:color w:val="auto"/>
                <w:w w:val="99"/>
              </w:rPr>
              <w:t>Liability Fair</w:t>
            </w: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gridSpan w:val="2"/>
          </w:tcPr>
          <w:p>
            <w:pPr>
              <w:jc w:val="center"/>
              <w:ind w:right="320"/>
              <w:spacing w:after="0" w:line="133" w:lineRule="exact"/>
              <w:rPr>
                <w:sz w:val="20"/>
                <w:szCs w:val="20"/>
                <w:color w:val="auto"/>
              </w:rPr>
            </w:pPr>
            <w:r>
              <w:rPr>
                <w:rFonts w:ascii="Arial" w:cs="Arial" w:eastAsia="Arial" w:hAnsi="Arial"/>
                <w:sz w:val="14"/>
                <w:szCs w:val="14"/>
                <w:color w:val="auto"/>
                <w:w w:val="88"/>
              </w:rPr>
              <w:t>Asset Fair</w:t>
            </w:r>
          </w:p>
        </w:tc>
        <w:tc>
          <w:tcPr>
            <w:tcW w:w="800" w:type="dxa"/>
            <w:vAlign w:val="bottom"/>
          </w:tcPr>
          <w:p>
            <w:pPr>
              <w:jc w:val="right"/>
              <w:spacing w:after="0" w:line="133" w:lineRule="exact"/>
              <w:rPr>
                <w:sz w:val="20"/>
                <w:szCs w:val="20"/>
                <w:color w:val="auto"/>
              </w:rPr>
            </w:pPr>
            <w:r>
              <w:rPr>
                <w:rFonts w:ascii="Arial" w:cs="Arial" w:eastAsia="Arial" w:hAnsi="Arial"/>
                <w:sz w:val="14"/>
                <w:szCs w:val="14"/>
                <w:color w:val="auto"/>
              </w:rPr>
              <w:t>Liability Fair</w:t>
            </w:r>
          </w:p>
        </w:tc>
        <w:tc>
          <w:tcPr>
            <w:tcW w:w="0" w:type="dxa"/>
            <w:vAlign w:val="bottom"/>
          </w:tcPr>
          <w:p>
            <w:pPr>
              <w:spacing w:after="0"/>
              <w:rPr>
                <w:sz w:val="1"/>
                <w:szCs w:val="1"/>
                <w:color w:val="auto"/>
              </w:rPr>
            </w:pPr>
          </w:p>
        </w:tc>
      </w:tr>
      <w:tr>
        <w:trPr>
          <w:trHeight w:val="177"/>
        </w:trPr>
        <w:tc>
          <w:tcPr>
            <w:tcW w:w="1640" w:type="dxa"/>
            <w:vAlign w:val="bottom"/>
            <w:vMerge w:val="restart"/>
          </w:tcPr>
          <w:p>
            <w:pPr>
              <w:ind w:left="20"/>
              <w:spacing w:after="0"/>
              <w:rPr>
                <w:sz w:val="20"/>
                <w:szCs w:val="20"/>
                <w:color w:val="auto"/>
              </w:rPr>
            </w:pPr>
            <w:r>
              <w:rPr>
                <w:rFonts w:ascii="Arial" w:cs="Arial" w:eastAsia="Arial" w:hAnsi="Arial"/>
                <w:sz w:val="14"/>
                <w:szCs w:val="14"/>
                <w:color w:val="auto"/>
                <w:w w:val="96"/>
              </w:rPr>
              <w:t>Derivatives not designated</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Location</w:t>
            </w: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Notional Amount</w:t>
            </w:r>
          </w:p>
        </w:tc>
        <w:tc>
          <w:tcPr>
            <w:tcW w:w="1240" w:type="dxa"/>
            <w:vAlign w:val="bottom"/>
            <w:gridSpan w:val="2"/>
          </w:tcPr>
          <w:p>
            <w:pPr>
              <w:ind w:left="60"/>
              <w:spacing w:after="0"/>
              <w:rPr>
                <w:sz w:val="20"/>
                <w:szCs w:val="20"/>
                <w:color w:val="auto"/>
              </w:rPr>
            </w:pPr>
            <w:r>
              <w:rPr>
                <w:rFonts w:ascii="Arial" w:cs="Arial" w:eastAsia="Arial" w:hAnsi="Arial"/>
                <w:sz w:val="14"/>
                <w:szCs w:val="14"/>
                <w:color w:val="auto"/>
              </w:rPr>
              <w:t>Asset Fair Value</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Value</w:t>
            </w:r>
          </w:p>
        </w:tc>
        <w:tc>
          <w:tcPr>
            <w:tcW w:w="1180" w:type="dxa"/>
            <w:vAlign w:val="bottom"/>
          </w:tcPr>
          <w:p>
            <w:pPr>
              <w:jc w:val="right"/>
              <w:ind w:right="70"/>
              <w:spacing w:after="0"/>
              <w:rPr>
                <w:sz w:val="20"/>
                <w:szCs w:val="20"/>
                <w:color w:val="auto"/>
              </w:rPr>
            </w:pPr>
            <w:r>
              <w:rPr>
                <w:rFonts w:ascii="Arial" w:cs="Arial" w:eastAsia="Arial" w:hAnsi="Arial"/>
                <w:sz w:val="14"/>
                <w:szCs w:val="14"/>
                <w:color w:val="auto"/>
                <w:w w:val="98"/>
              </w:rPr>
              <w:t>Notional Amount</w:t>
            </w: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Value</w:t>
            </w:r>
          </w:p>
        </w:tc>
        <w:tc>
          <w:tcPr>
            <w:tcW w:w="800" w:type="dxa"/>
            <w:vAlign w:val="bottom"/>
          </w:tcPr>
          <w:p>
            <w:pPr>
              <w:jc w:val="right"/>
              <w:ind w:right="170"/>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20"/>
        </w:trPr>
        <w:tc>
          <w:tcPr>
            <w:tcW w:w="1640" w:type="dxa"/>
            <w:vAlign w:val="bottom"/>
            <w:vMerge w:val="continue"/>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640" w:type="dxa"/>
            <w:vAlign w:val="bottom"/>
          </w:tcPr>
          <w:p>
            <w:pPr>
              <w:ind w:left="20"/>
              <w:spacing w:after="0"/>
              <w:rPr>
                <w:sz w:val="20"/>
                <w:szCs w:val="20"/>
                <w:color w:val="auto"/>
              </w:rPr>
            </w:pPr>
            <w:r>
              <w:rPr>
                <w:rFonts w:ascii="Arial" w:cs="Arial" w:eastAsia="Arial" w:hAnsi="Arial"/>
                <w:sz w:val="14"/>
                <w:szCs w:val="14"/>
                <w:color w:val="auto"/>
              </w:rPr>
              <w:t>as hedging instruments:</w:t>
            </w: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640" w:type="dxa"/>
            <w:vAlign w:val="bottom"/>
            <w:shd w:val="clear" w:color="auto" w:fill="CCEEFF"/>
          </w:tcPr>
          <w:p>
            <w:pPr>
              <w:ind w:left="20"/>
              <w:spacing w:after="0" w:line="140" w:lineRule="exact"/>
              <w:rPr>
                <w:sz w:val="20"/>
                <w:szCs w:val="20"/>
                <w:color w:val="auto"/>
              </w:rPr>
            </w:pPr>
            <w:r>
              <w:rPr>
                <w:rFonts w:ascii="Arial" w:cs="Arial" w:eastAsia="Arial" w:hAnsi="Arial"/>
                <w:sz w:val="14"/>
                <w:szCs w:val="14"/>
                <w:color w:val="auto"/>
              </w:rPr>
              <w:t>Loan commitments</w:t>
            </w:r>
          </w:p>
        </w:tc>
        <w:tc>
          <w:tcPr>
            <w:tcW w:w="1440" w:type="dxa"/>
            <w:vAlign w:val="bottom"/>
            <w:gridSpan w:val="2"/>
            <w:shd w:val="clear" w:color="auto" w:fill="CCEEFF"/>
          </w:tcPr>
          <w:p>
            <w:pPr>
              <w:jc w:val="center"/>
              <w:ind w:right="240"/>
              <w:spacing w:after="0" w:line="140" w:lineRule="exact"/>
              <w:rPr>
                <w:sz w:val="20"/>
                <w:szCs w:val="20"/>
                <w:color w:val="auto"/>
              </w:rPr>
            </w:pPr>
            <w:r>
              <w:rPr>
                <w:rFonts w:ascii="Arial" w:cs="Arial" w:eastAsia="Arial" w:hAnsi="Arial"/>
                <w:sz w:val="14"/>
                <w:szCs w:val="14"/>
                <w:color w:val="auto"/>
                <w:w w:val="86"/>
              </w:rPr>
              <w:t>Other assets and</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5"/>
              </w:rPr>
              <w:t>Other liabilities</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$839,341,522</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$12,702,945</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$ 1,658,581</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$224,202,514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$2,722,580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$231,347</w:t>
            </w:r>
          </w:p>
        </w:tc>
        <w:tc>
          <w:tcPr>
            <w:tcW w:w="0" w:type="dxa"/>
            <w:vAlign w:val="bottom"/>
          </w:tcPr>
          <w:p>
            <w:pPr>
              <w:spacing w:after="0"/>
              <w:rPr>
                <w:sz w:val="1"/>
                <w:szCs w:val="1"/>
                <w:color w:val="auto"/>
              </w:rPr>
            </w:pPr>
          </w:p>
        </w:tc>
      </w:tr>
      <w:tr>
        <w:trPr>
          <w:trHeight w:val="179"/>
        </w:trPr>
        <w:tc>
          <w:tcPr>
            <w:tcW w:w="1640" w:type="dxa"/>
            <w:vAlign w:val="bottom"/>
          </w:tcPr>
          <w:p>
            <w:pPr>
              <w:ind w:left="20"/>
              <w:spacing w:after="0"/>
              <w:rPr>
                <w:sz w:val="20"/>
                <w:szCs w:val="20"/>
                <w:color w:val="auto"/>
              </w:rPr>
            </w:pPr>
            <w:r>
              <w:rPr>
                <w:rFonts w:ascii="Arial" w:cs="Arial" w:eastAsia="Arial" w:hAnsi="Arial"/>
                <w:sz w:val="14"/>
                <w:szCs w:val="14"/>
                <w:color w:val="auto"/>
              </w:rPr>
              <w:t>Call options</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Other liabilities</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3,126,800</w:t>
            </w:r>
          </w:p>
        </w:tc>
        <w:tc>
          <w:tcPr>
            <w:tcW w:w="2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73,451</w:t>
            </w:r>
          </w:p>
        </w:tc>
        <w:tc>
          <w:tcPr>
            <w:tcW w:w="240" w:type="dxa"/>
            <w:vAlign w:val="bottom"/>
          </w:tcPr>
          <w:p>
            <w:pPr>
              <w:spacing w:after="0"/>
              <w:rPr>
                <w:sz w:val="15"/>
                <w:szCs w:val="15"/>
                <w:color w:val="auto"/>
              </w:rPr>
            </w:pPr>
          </w:p>
        </w:tc>
        <w:tc>
          <w:tcPr>
            <w:tcW w:w="1180" w:type="dxa"/>
            <w:vAlign w:val="bottom"/>
            <w:vMerge w:val="restart"/>
          </w:tcPr>
          <w:p>
            <w:pPr>
              <w:jc w:val="right"/>
              <w:ind w:right="30"/>
              <w:spacing w:after="0"/>
              <w:rPr>
                <w:sz w:val="20"/>
                <w:szCs w:val="20"/>
                <w:color w:val="auto"/>
              </w:rPr>
            </w:pPr>
            <w:r>
              <w:rPr>
                <w:rFonts w:ascii="Arial" w:cs="Arial" w:eastAsia="Arial" w:hAnsi="Arial"/>
                <w:sz w:val="14"/>
                <w:szCs w:val="14"/>
                <w:color w:val="auto"/>
              </w:rPr>
              <w:t>1,813,500</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62,265</w:t>
            </w:r>
          </w:p>
        </w:tc>
        <w:tc>
          <w:tcPr>
            <w:tcW w:w="0" w:type="dxa"/>
            <w:vAlign w:val="bottom"/>
          </w:tcPr>
          <w:p>
            <w:pPr>
              <w:spacing w:after="0"/>
              <w:rPr>
                <w:sz w:val="1"/>
                <w:szCs w:val="1"/>
                <w:color w:val="auto"/>
              </w:rPr>
            </w:pPr>
          </w:p>
        </w:tc>
      </w:tr>
      <w:tr>
        <w:trPr>
          <w:trHeight w:val="71"/>
        </w:trPr>
        <w:tc>
          <w:tcPr>
            <w:tcW w:w="16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Put options</w:t>
            </w:r>
          </w:p>
        </w:tc>
        <w:tc>
          <w:tcPr>
            <w:tcW w:w="14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5"/>
              </w:rPr>
              <w:t>Other liabilities</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2,755,200</w:t>
            </w:r>
          </w:p>
        </w:tc>
        <w:tc>
          <w:tcPr>
            <w:tcW w:w="22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49,136</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1,573,100</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22,282</w:t>
            </w:r>
          </w:p>
        </w:tc>
        <w:tc>
          <w:tcPr>
            <w:tcW w:w="0" w:type="dxa"/>
            <w:vAlign w:val="bottom"/>
          </w:tcPr>
          <w:p>
            <w:pPr>
              <w:spacing w:after="0"/>
              <w:rPr>
                <w:sz w:val="1"/>
                <w:szCs w:val="1"/>
                <w:color w:val="auto"/>
              </w:rPr>
            </w:pPr>
          </w:p>
        </w:tc>
      </w:tr>
      <w:tr>
        <w:trPr>
          <w:trHeight w:val="76"/>
        </w:trPr>
        <w:tc>
          <w:tcPr>
            <w:tcW w:w="16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1640" w:type="dxa"/>
            <w:vAlign w:val="bottom"/>
          </w:tcPr>
          <w:p>
            <w:pPr>
              <w:ind w:left="20"/>
              <w:spacing w:after="0"/>
              <w:rPr>
                <w:sz w:val="20"/>
                <w:szCs w:val="20"/>
                <w:color w:val="auto"/>
              </w:rPr>
            </w:pPr>
            <w:r>
              <w:rPr>
                <w:rFonts w:ascii="Arial" w:cs="Arial" w:eastAsia="Arial" w:hAnsi="Arial"/>
                <w:sz w:val="14"/>
                <w:szCs w:val="14"/>
                <w:color w:val="auto"/>
              </w:rPr>
              <w:t>Total</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$845,223,522</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$12,702,945</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$ 1,781,168</w:t>
            </w:r>
          </w:p>
        </w:tc>
        <w:tc>
          <w:tcPr>
            <w:tcW w:w="240" w:type="dxa"/>
            <w:vAlign w:val="bottom"/>
          </w:tcPr>
          <w:p>
            <w:pPr>
              <w:spacing w:after="0"/>
              <w:rPr>
                <w:sz w:val="21"/>
                <w:szCs w:val="21"/>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$227,589,114</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$2,722,580</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$315,894</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4343"/>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903"/>
          </w:cols>
          <w:pgMar w:left="1197" w:top="122" w:right="799" w:bottom="1440" w:gutter="0" w:footer="0" w:header="0"/>
        </w:sectPr>
      </w:pPr>
    </w:p>
    <w:bookmarkStart w:id="42" w:name="page43"/>
    <w:bookmarkEnd w:id="42"/>
    <w:p>
      <w:pPr>
        <w:jc w:val="center"/>
        <w:ind w:right="597"/>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83" w:hanging="483"/>
        <w:spacing w:after="0"/>
        <w:tabs>
          <w:tab w:leader="none" w:pos="483"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Derivative Instruments</w:t>
      </w:r>
      <w:r>
        <w:rPr>
          <w:rFonts w:ascii="Arial" w:cs="Arial" w:eastAsia="Arial" w:hAnsi="Arial"/>
          <w:sz w:val="19"/>
          <w:szCs w:val="19"/>
          <w:color w:val="auto"/>
        </w:rPr>
        <w:t xml:space="preserve"> (Continued)</w:t>
      </w:r>
    </w:p>
    <w:p>
      <w:pPr>
        <w:spacing w:after="0" w:line="257" w:lineRule="exact"/>
        <w:rPr>
          <w:sz w:val="20"/>
          <w:szCs w:val="20"/>
          <w:color w:val="auto"/>
        </w:rPr>
      </w:pPr>
    </w:p>
    <w:p>
      <w:pPr>
        <w:ind w:left="3"/>
        <w:spacing w:after="0"/>
        <w:rPr>
          <w:sz w:val="20"/>
          <w:szCs w:val="20"/>
          <w:color w:val="auto"/>
        </w:rPr>
      </w:pPr>
      <w:r>
        <w:rPr>
          <w:rFonts w:ascii="Arial" w:cs="Arial" w:eastAsia="Arial" w:hAnsi="Arial"/>
          <w:sz w:val="19"/>
          <w:szCs w:val="19"/>
          <w:color w:val="auto"/>
        </w:rPr>
        <w:t>The following table shows the gains and losses on derivatives for the periods presented.</w:t>
      </w:r>
    </w:p>
    <w:p>
      <w:pPr>
        <w:spacing w:after="0" w:line="242" w:lineRule="exact"/>
        <w:rPr>
          <w:sz w:val="20"/>
          <w:szCs w:val="20"/>
          <w:color w:val="auto"/>
        </w:rPr>
      </w:pPr>
    </w:p>
    <w:tbl>
      <w:tblPr>
        <w:tblLayout w:type="fixed"/>
        <w:tblInd w:w="3" w:type="dxa"/>
        <w:tblCellMar>
          <w:top w:w="0" w:type="dxa"/>
          <w:left w:w="0" w:type="dxa"/>
          <w:bottom w:w="0" w:type="dxa"/>
          <w:right w:w="0" w:type="dxa"/>
        </w:tblCellMar>
      </w:tblPr>
      <w:tr>
        <w:trPr>
          <w:trHeight w:val="172"/>
        </w:trPr>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w w:val="98"/>
              </w:rPr>
              <w:t>Net Amount Gain (Loss)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color w:val="auto"/>
                <w:w w:val="98"/>
              </w:rPr>
              <w:t>Net Amount Gain (Loss)</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tcPr>
          <w:p>
            <w:pPr>
              <w:jc w:val="right"/>
              <w:ind w:right="720"/>
              <w:spacing w:after="0"/>
              <w:rPr>
                <w:sz w:val="20"/>
                <w:szCs w:val="20"/>
                <w:color w:val="auto"/>
              </w:rPr>
            </w:pPr>
            <w:r>
              <w:rPr>
                <w:rFonts w:ascii="Arial" w:cs="Arial" w:eastAsia="Arial" w:hAnsi="Arial"/>
                <w:sz w:val="14"/>
                <w:szCs w:val="14"/>
                <w:color w:val="auto"/>
                <w:w w:val="99"/>
              </w:rPr>
              <w:t>Three Months Ended June 30</w:t>
            </w:r>
          </w:p>
        </w:tc>
        <w:tc>
          <w:tcPr>
            <w:tcW w:w="280" w:type="dxa"/>
            <w:vAlign w:val="bottom"/>
          </w:tcPr>
          <w:p>
            <w:pPr>
              <w:spacing w:after="0"/>
              <w:rPr>
                <w:sz w:val="15"/>
                <w:szCs w:val="15"/>
                <w:color w:val="auto"/>
              </w:rPr>
            </w:pPr>
          </w:p>
        </w:tc>
        <w:tc>
          <w:tcPr>
            <w:tcW w:w="2360" w:type="dxa"/>
            <w:vAlign w:val="bottom"/>
            <w:gridSpan w:val="4"/>
          </w:tcPr>
          <w:p>
            <w:pPr>
              <w:jc w:val="right"/>
              <w:ind w:right="510"/>
              <w:spacing w:after="0"/>
              <w:rPr>
                <w:sz w:val="20"/>
                <w:szCs w:val="20"/>
                <w:color w:val="auto"/>
              </w:rPr>
            </w:pPr>
            <w:r>
              <w:rPr>
                <w:rFonts w:ascii="Arial" w:cs="Arial" w:eastAsia="Arial" w:hAnsi="Arial"/>
                <w:sz w:val="14"/>
                <w:szCs w:val="14"/>
                <w:color w:val="auto"/>
              </w:rPr>
              <w:t>Six Months Ended June 30</w:t>
            </w:r>
          </w:p>
        </w:tc>
        <w:tc>
          <w:tcPr>
            <w:tcW w:w="0" w:type="dxa"/>
            <w:vAlign w:val="bottom"/>
          </w:tcPr>
          <w:p>
            <w:pPr>
              <w:spacing w:after="0"/>
              <w:rPr>
                <w:sz w:val="1"/>
                <w:szCs w:val="1"/>
                <w:color w:val="auto"/>
              </w:rPr>
            </w:pPr>
          </w:p>
        </w:tc>
      </w:tr>
      <w:tr>
        <w:trPr>
          <w:trHeight w:val="165"/>
        </w:trPr>
        <w:tc>
          <w:tcPr>
            <w:tcW w:w="154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Derivative</w:t>
            </w:r>
          </w:p>
        </w:tc>
        <w:tc>
          <w:tcPr>
            <w:tcW w:w="220" w:type="dxa"/>
            <w:vAlign w:val="bottom"/>
            <w:tcBorders>
              <w:bottom w:val="single" w:sz="8" w:color="CCEEFF"/>
            </w:tcBorders>
          </w:tcPr>
          <w:p>
            <w:pPr>
              <w:spacing w:after="0"/>
              <w:rPr>
                <w:sz w:val="14"/>
                <w:szCs w:val="14"/>
                <w:color w:val="auto"/>
              </w:rPr>
            </w:pPr>
          </w:p>
        </w:tc>
        <w:tc>
          <w:tcPr>
            <w:tcW w:w="198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Classification</w:t>
            </w:r>
          </w:p>
        </w:tc>
        <w:tc>
          <w:tcPr>
            <w:tcW w:w="2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color w:val="auto"/>
              </w:rPr>
              <w:t>2020</w:t>
            </w:r>
          </w:p>
        </w:tc>
        <w:tc>
          <w:tcPr>
            <w:tcW w:w="200" w:type="dxa"/>
            <w:vAlign w:val="bottom"/>
            <w:tcBorders>
              <w:top w:val="single" w:sz="8" w:color="auto"/>
              <w:bottom w:val="single" w:sz="8" w:color="CCEEFF"/>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color w:val="auto"/>
              </w:rPr>
              <w:t>2019</w:t>
            </w:r>
          </w:p>
        </w:tc>
        <w:tc>
          <w:tcPr>
            <w:tcW w:w="22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color w:val="auto"/>
              </w:rPr>
              <w:t>2020</w:t>
            </w:r>
          </w:p>
        </w:tc>
        <w:tc>
          <w:tcPr>
            <w:tcW w:w="220" w:type="dxa"/>
            <w:vAlign w:val="bottom"/>
            <w:tcBorders>
              <w:top w:val="single" w:sz="8" w:color="auto"/>
              <w:bottom w:val="single" w:sz="8" w:color="CCEEFF"/>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323"/>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Loan commitments</w:t>
            </w: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Mortgage fee income</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5,278,099</w:t>
            </w: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603,797</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8,553,132</w:t>
            </w:r>
          </w:p>
        </w:tc>
        <w:tc>
          <w:tcPr>
            <w:tcW w:w="2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1,536,324</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Gains on investments and other</w:t>
            </w: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828,205</w:t>
            </w:r>
          </w:p>
        </w:tc>
        <w:tc>
          <w:tcPr>
            <w:tcW w:w="2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114,939</w:t>
            </w:r>
          </w:p>
        </w:tc>
        <w:tc>
          <w:tcPr>
            <w:tcW w:w="22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90,346</w:t>
            </w:r>
          </w:p>
        </w:tc>
        <w:tc>
          <w:tcPr>
            <w:tcW w:w="22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404,967</w:t>
            </w:r>
          </w:p>
        </w:tc>
        <w:tc>
          <w:tcPr>
            <w:tcW w:w="0" w:type="dxa"/>
            <w:vAlign w:val="bottom"/>
          </w:tcPr>
          <w:p>
            <w:pPr>
              <w:spacing w:after="0"/>
              <w:rPr>
                <w:sz w:val="1"/>
                <w:szCs w:val="1"/>
                <w:color w:val="auto"/>
              </w:rPr>
            </w:pPr>
          </w:p>
        </w:tc>
      </w:tr>
      <w:tr>
        <w:trPr>
          <w:trHeight w:val="164"/>
        </w:trPr>
        <w:tc>
          <w:tcPr>
            <w:tcW w:w="1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Call and put options</w:t>
            </w:r>
          </w:p>
        </w:tc>
        <w:tc>
          <w:tcPr>
            <w:tcW w:w="2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assets</w:t>
            </w: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83" w:hanging="483"/>
        <w:spacing w:after="0"/>
        <w:tabs>
          <w:tab w:leader="none" w:pos="483"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p>
    <w:p>
      <w:pPr>
        <w:spacing w:after="0" w:line="22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Reinsurance</w:t>
      </w:r>
    </w:p>
    <w:p>
      <w:pPr>
        <w:spacing w:after="0" w:line="236" w:lineRule="exact"/>
        <w:rPr>
          <w:sz w:val="20"/>
          <w:szCs w:val="20"/>
          <w:color w:val="auto"/>
        </w:rPr>
      </w:pPr>
    </w:p>
    <w:p>
      <w:pPr>
        <w:jc w:val="both"/>
        <w:ind w:left="3" w:right="600"/>
        <w:spacing w:after="0" w:line="261" w:lineRule="auto"/>
        <w:rPr>
          <w:sz w:val="20"/>
          <w:szCs w:val="20"/>
          <w:color w:val="auto"/>
        </w:rPr>
      </w:pPr>
      <w:r>
        <w:rPr>
          <w:rFonts w:ascii="Arial" w:cs="Arial" w:eastAsia="Arial" w:hAnsi="Arial"/>
          <w:sz w:val="19"/>
          <w:szCs w:val="19"/>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7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Mortgage Loan Loss Settlements</w:t>
      </w:r>
    </w:p>
    <w:p>
      <w:pPr>
        <w:spacing w:after="0" w:line="236" w:lineRule="exact"/>
        <w:rPr>
          <w:sz w:val="20"/>
          <w:szCs w:val="20"/>
          <w:color w:val="auto"/>
        </w:rPr>
      </w:pPr>
    </w:p>
    <w:p>
      <w:pPr>
        <w:jc w:val="both"/>
        <w:ind w:left="3" w:right="580"/>
        <w:spacing w:after="0" w:line="275" w:lineRule="auto"/>
        <w:rPr>
          <w:sz w:val="20"/>
          <w:szCs w:val="20"/>
          <w:color w:val="auto"/>
        </w:rPr>
      </w:pPr>
      <w:r>
        <w:rPr>
          <w:rFonts w:ascii="Arial" w:cs="Arial" w:eastAsia="Arial" w:hAnsi="Arial"/>
          <w:sz w:val="18"/>
          <w:szCs w:val="18"/>
          <w:color w:val="auto"/>
        </w:rPr>
        <w:t>Future loan losses can be extremely difficult to estimate. However, management believes that the Company’s reserve methodology and its current practice of property preservation allow it to estimate its potential losses on loans sold. The estimated liability for indemnification losses is included in other liabilities and accrued expenses and, as of June 30, 2020 and December 31, 2019, the balances were $4,786,000 and $4,046,000, respectively.</w:t>
      </w:r>
    </w:p>
    <w:p>
      <w:pPr>
        <w:spacing w:after="0" w:line="174" w:lineRule="exact"/>
        <w:rPr>
          <w:sz w:val="20"/>
          <w:szCs w:val="20"/>
          <w:color w:val="auto"/>
        </w:rPr>
      </w:pPr>
    </w:p>
    <w:p>
      <w:pPr>
        <w:jc w:val="both"/>
        <w:ind w:left="3" w:right="580"/>
        <w:spacing w:after="0" w:line="291" w:lineRule="auto"/>
        <w:rPr>
          <w:sz w:val="20"/>
          <w:szCs w:val="20"/>
          <w:color w:val="auto"/>
        </w:rPr>
      </w:pPr>
      <w:r>
        <w:rPr>
          <w:rFonts w:ascii="Arial" w:cs="Arial" w:eastAsia="Arial" w:hAnsi="Arial"/>
          <w:sz w:val="17"/>
          <w:szCs w:val="17"/>
          <w:color w:val="auto"/>
        </w:rPr>
        <w:t>As of June 30, 2020, the loan loss reserve includes an estimate of approximately $3,000,000 for remaining losses still to be settled on loans originated between 2004 and 2007. On July 30, 2020, a settlement agreement was executed which covered all potential asserted claims against the population of loans referenced above. Loss reserves are sufficient to cover the settlement expense and the reserves will be reduced by that amount during the third quarter 2020. No additional loss reserves are being held for loans originated between 2004 and 2007.</w:t>
      </w:r>
    </w:p>
    <w:p>
      <w:pPr>
        <w:spacing w:after="0" w:line="162" w:lineRule="exact"/>
        <w:rPr>
          <w:sz w:val="20"/>
          <w:szCs w:val="20"/>
          <w:color w:val="auto"/>
        </w:rPr>
      </w:pPr>
    </w:p>
    <w:p>
      <w:pPr>
        <w:jc w:val="both"/>
        <w:ind w:left="3" w:right="580"/>
        <w:spacing w:after="0" w:line="277" w:lineRule="auto"/>
        <w:rPr>
          <w:sz w:val="20"/>
          <w:szCs w:val="20"/>
          <w:color w:val="auto"/>
        </w:rPr>
      </w:pPr>
      <w:r>
        <w:rPr>
          <w:rFonts w:ascii="Arial" w:cs="Arial" w:eastAsia="Arial" w:hAnsi="Arial"/>
          <w:sz w:val="19"/>
          <w:szCs w:val="19"/>
          <w:color w:val="auto"/>
        </w:rPr>
        <w:t>Thus, the Company believes that the final loan loss reserve as of June 30, 2020, represents its best estimate for adequate loss reserves on loans sold.</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Mortgage Loan Loss Litigation</w:t>
      </w:r>
    </w:p>
    <w:p>
      <w:pPr>
        <w:spacing w:after="0" w:line="230"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Lehman Brothers Holdings Litigation – Delaware and New York</w:t>
      </w:r>
    </w:p>
    <w:p>
      <w:pPr>
        <w:spacing w:after="0" w:line="236" w:lineRule="exact"/>
        <w:rPr>
          <w:sz w:val="20"/>
          <w:szCs w:val="20"/>
          <w:color w:val="auto"/>
        </w:rPr>
      </w:pPr>
    </w:p>
    <w:p>
      <w:pPr>
        <w:jc w:val="both"/>
        <w:ind w:left="3" w:right="600"/>
        <w:spacing w:after="0" w:line="266" w:lineRule="auto"/>
        <w:rPr>
          <w:sz w:val="20"/>
          <w:szCs w:val="20"/>
          <w:color w:val="auto"/>
        </w:rPr>
      </w:pPr>
      <w:r>
        <w:rPr>
          <w:rFonts w:ascii="Arial" w:cs="Arial" w:eastAsia="Arial" w:hAnsi="Arial"/>
          <w:sz w:val="18"/>
          <w:szCs w:val="18"/>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residential mortgage loan originators, including SecurityNational Mortgage Company (“SecurityNational Mortgage”). A settlement based on similar circumstances was entered into between Lehman Holdings and the Federal Home Loan Mortgage Corporation (Freddie Mac) in February 2014.</w:t>
      </w:r>
    </w:p>
    <w:p>
      <w:pPr>
        <w:spacing w:after="0" w:line="198" w:lineRule="exact"/>
        <w:rPr>
          <w:sz w:val="20"/>
          <w:szCs w:val="20"/>
          <w:color w:val="auto"/>
        </w:rPr>
      </w:pPr>
    </w:p>
    <w:p>
      <w:pPr>
        <w:ind w:left="4343"/>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463"/>
          </w:cols>
          <w:pgMar w:left="1197" w:top="122" w:right="1239" w:bottom="1440" w:gutter="0" w:footer="0" w:header="0"/>
        </w:sectPr>
      </w:pPr>
    </w:p>
    <w:bookmarkStart w:id="43" w:name="page44"/>
    <w:bookmarkEnd w:id="43"/>
    <w:p>
      <w:pPr>
        <w:jc w:val="center"/>
        <w:ind w:left="1200" w:right="1280"/>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03" w:hanging="403"/>
        <w:spacing w:after="0"/>
        <w:tabs>
          <w:tab w:leader="none" w:pos="403"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3" w:right="399"/>
        <w:spacing w:after="0" w:line="254" w:lineRule="auto"/>
        <w:rPr>
          <w:sz w:val="20"/>
          <w:szCs w:val="20"/>
          <w:color w:val="auto"/>
        </w:rPr>
      </w:pPr>
      <w:r>
        <w:rPr>
          <w:rFonts w:ascii="Arial" w:cs="Arial" w:eastAsia="Arial" w:hAnsi="Arial"/>
          <w:sz w:val="19"/>
          <w:szCs w:val="19"/>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191" w:lineRule="exact"/>
        <w:rPr>
          <w:sz w:val="20"/>
          <w:szCs w:val="20"/>
          <w:color w:val="auto"/>
        </w:rPr>
      </w:pPr>
    </w:p>
    <w:p>
      <w:pPr>
        <w:jc w:val="both"/>
        <w:ind w:left="3" w:right="399"/>
        <w:spacing w:after="0" w:line="266" w:lineRule="auto"/>
        <w:rPr>
          <w:sz w:val="20"/>
          <w:szCs w:val="20"/>
          <w:color w:val="auto"/>
        </w:rPr>
      </w:pPr>
      <w:r>
        <w:rPr>
          <w:rFonts w:ascii="Arial" w:cs="Arial" w:eastAsia="Arial" w:hAnsi="Arial"/>
          <w:sz w:val="18"/>
          <w:szCs w:val="18"/>
          <w:color w:val="auto"/>
        </w:rPr>
        <w:t>On January 26, 2016, SecurityNational Mortgage filed a declaratory judgment action against Lehman Holdings in the Superior Court for the State of Delaware. In the Delaware action, SecurityNational Mortgage asserted its right 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pacing w:after="0" w:line="185" w:lineRule="exact"/>
        <w:rPr>
          <w:sz w:val="20"/>
          <w:szCs w:val="20"/>
          <w:color w:val="auto"/>
        </w:rPr>
      </w:pPr>
    </w:p>
    <w:p>
      <w:pPr>
        <w:jc w:val="both"/>
        <w:ind w:left="3" w:right="399"/>
        <w:spacing w:after="0" w:line="266" w:lineRule="auto"/>
        <w:rPr>
          <w:sz w:val="20"/>
          <w:szCs w:val="20"/>
          <w:color w:val="auto"/>
        </w:rPr>
      </w:pPr>
      <w:r>
        <w:rPr>
          <w:rFonts w:ascii="Arial" w:cs="Arial" w:eastAsia="Arial" w:hAnsi="Arial"/>
          <w:sz w:val="18"/>
          <w:szCs w:val="18"/>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declaration that SecurityNational Mortgage sought in its Delaware lawsuit, and for damages relating to the alleged obligations of the defendants under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185" w:lineRule="exact"/>
        <w:rPr>
          <w:sz w:val="20"/>
          <w:szCs w:val="20"/>
          <w:color w:val="auto"/>
        </w:rPr>
      </w:pPr>
    </w:p>
    <w:p>
      <w:pPr>
        <w:jc w:val="both"/>
        <w:ind w:left="3" w:right="399"/>
        <w:spacing w:after="0" w:line="251" w:lineRule="auto"/>
        <w:rPr>
          <w:sz w:val="20"/>
          <w:szCs w:val="20"/>
          <w:color w:val="auto"/>
        </w:rPr>
      </w:pPr>
      <w:r>
        <w:rPr>
          <w:rFonts w:ascii="Arial" w:cs="Arial" w:eastAsia="Arial" w:hAnsi="Arial"/>
          <w:sz w:val="19"/>
          <w:szCs w:val="19"/>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196" w:lineRule="exact"/>
        <w:rPr>
          <w:sz w:val="20"/>
          <w:szCs w:val="20"/>
          <w:color w:val="auto"/>
        </w:rPr>
      </w:pPr>
    </w:p>
    <w:p>
      <w:pPr>
        <w:jc w:val="both"/>
        <w:ind w:left="3" w:right="399"/>
        <w:spacing w:after="0" w:line="251" w:lineRule="auto"/>
        <w:rPr>
          <w:sz w:val="20"/>
          <w:szCs w:val="20"/>
          <w:color w:val="auto"/>
        </w:rPr>
      </w:pPr>
      <w:r>
        <w:rPr>
          <w:rFonts w:ascii="Arial" w:cs="Arial" w:eastAsia="Arial" w:hAnsi="Arial"/>
          <w:sz w:val="19"/>
          <w:szCs w:val="19"/>
          <w:color w:val="auto"/>
        </w:rPr>
        <w:t xml:space="preserve">On August 13, 2018, the Court issued its Memorandum Decision and Order (“Decision”) denying the motion. On August 27, 2018, a number of the defendants, including SecurityNational Mortgage, filed a joint motion with the United States District Court (Case No. 18-mc-00392(VEC)) requesting that the Bankruptcy Court’s Decision be treated as findings of fact and conclusions of law, and for the District Court to review the Decision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as to jurisdiction. Included with the motion were proposed objections to the Bankruptcy Court’s Decision. On September 18, 2018, Lehman Holdings filed its response to the joint motion, and defendants’ reply was filed on October 2, 2018.</w:t>
      </w:r>
    </w:p>
    <w:p>
      <w:pPr>
        <w:spacing w:after="0" w:line="196" w:lineRule="exact"/>
        <w:rPr>
          <w:sz w:val="20"/>
          <w:szCs w:val="20"/>
          <w:color w:val="auto"/>
        </w:rPr>
      </w:pPr>
    </w:p>
    <w:p>
      <w:pPr>
        <w:jc w:val="both"/>
        <w:ind w:left="3" w:right="399"/>
        <w:spacing w:after="0" w:line="250" w:lineRule="auto"/>
        <w:rPr>
          <w:sz w:val="20"/>
          <w:szCs w:val="20"/>
          <w:color w:val="auto"/>
        </w:rPr>
      </w:pPr>
      <w:r>
        <w:rPr>
          <w:rFonts w:ascii="Arial" w:cs="Arial" w:eastAsia="Arial" w:hAnsi="Arial"/>
          <w:sz w:val="19"/>
          <w:szCs w:val="19"/>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filed a joint reply to Lehman Holdings’ response on November 26, 2018. The motions to file appeals were consolidated before Valerie Caproni, U.S. District Court Judge, Case No. 18-cv-08986 (VEC). Case No. 18-mc-00392 (VEC) was also before Judge Caproni.</w:t>
      </w:r>
    </w:p>
    <w:p>
      <w:pPr>
        <w:spacing w:after="0" w:line="210" w:lineRule="exact"/>
        <w:rPr>
          <w:sz w:val="20"/>
          <w:szCs w:val="20"/>
          <w:color w:val="auto"/>
        </w:rPr>
      </w:pPr>
    </w:p>
    <w:p>
      <w:pPr>
        <w:jc w:val="center"/>
        <w:ind w:right="396"/>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44" w:name="page45"/>
    <w:bookmarkEnd w:id="44"/>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03" w:hanging="403"/>
        <w:spacing w:after="0"/>
        <w:tabs>
          <w:tab w:leader="none" w:pos="403"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3" w:right="399"/>
        <w:spacing w:after="0" w:line="256" w:lineRule="auto"/>
        <w:rPr>
          <w:sz w:val="20"/>
          <w:szCs w:val="20"/>
          <w:color w:val="auto"/>
        </w:rPr>
      </w:pPr>
      <w:r>
        <w:rPr>
          <w:rFonts w:ascii="Arial" w:cs="Arial" w:eastAsia="Arial" w:hAnsi="Arial"/>
          <w:sz w:val="19"/>
          <w:szCs w:val="19"/>
          <w:color w:val="auto"/>
        </w:rPr>
        <w:t xml:space="preserve">On May 8, 2019, Judge Caproni issued her Opinion and Order denying the motion for an interlocutory appeal of the bankruptcy court’s ruling relative to jurisdiction and venue. Further, the judge denied the motion for immediate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of the bankruptcy court’s ruling indicating that </w:t>
      </w:r>
      <w:r>
        <w:rPr>
          <w:rFonts w:ascii="Arial" w:cs="Arial" w:eastAsia="Arial" w:hAnsi="Arial"/>
          <w:sz w:val="19"/>
          <w:szCs w:val="19"/>
          <w:i w:val="1"/>
          <w:iCs w:val="1"/>
          <w:color w:val="auto"/>
        </w:rPr>
        <w:t>de novo</w:t>
      </w:r>
      <w:r>
        <w:rPr>
          <w:rFonts w:ascii="Arial" w:cs="Arial" w:eastAsia="Arial" w:hAnsi="Arial"/>
          <w:sz w:val="19"/>
          <w:szCs w:val="19"/>
          <w:color w:val="auto"/>
        </w:rPr>
        <w:t xml:space="preserve"> review can be left for the future.</w:t>
      </w:r>
    </w:p>
    <w:p>
      <w:pPr>
        <w:spacing w:after="0" w:line="190" w:lineRule="exact"/>
        <w:rPr>
          <w:sz w:val="20"/>
          <w:szCs w:val="20"/>
          <w:color w:val="auto"/>
        </w:rPr>
      </w:pPr>
    </w:p>
    <w:p>
      <w:pPr>
        <w:jc w:val="both"/>
        <w:ind w:left="3" w:right="399"/>
        <w:spacing w:after="0" w:line="284" w:lineRule="auto"/>
        <w:rPr>
          <w:sz w:val="20"/>
          <w:szCs w:val="20"/>
          <w:color w:val="auto"/>
        </w:rPr>
      </w:pPr>
      <w:r>
        <w:rPr>
          <w:rFonts w:ascii="Arial" w:cs="Arial" w:eastAsia="Arial" w:hAnsi="Arial"/>
          <w:sz w:val="17"/>
          <w:szCs w:val="17"/>
          <w:color w:val="auto"/>
        </w:rPr>
        <w:t>On October 1, 2018, Lehman Holdings filed a motion for leave to file Third Amended Complaints against numerous defendants including SecurityNational Mortgage. In addition to the Fannie Mae and Freddie Mac related loans, the amendments and 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170" w:lineRule="exact"/>
        <w:rPr>
          <w:sz w:val="20"/>
          <w:szCs w:val="20"/>
          <w:color w:val="auto"/>
        </w:rPr>
      </w:pPr>
    </w:p>
    <w:p>
      <w:pPr>
        <w:jc w:val="both"/>
        <w:ind w:left="3" w:right="379"/>
        <w:spacing w:after="0" w:line="269" w:lineRule="auto"/>
        <w:rPr>
          <w:sz w:val="20"/>
          <w:szCs w:val="20"/>
          <w:color w:val="auto"/>
        </w:rPr>
      </w:pPr>
      <w:r>
        <w:rPr>
          <w:rFonts w:ascii="Arial" w:cs="Arial" w:eastAsia="Arial" w:hAnsi="Arial"/>
          <w:sz w:val="18"/>
          <w:szCs w:val="18"/>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alternative dispute resolution procedures to take place including potential mediation. Over objections, at a hearing on October 29, 2018, the Court granted Lehman Holdings’ motion to amend or supplement its complaints adding the RMBS loans, and also to mandate alternative dispute resolution procedures affecting many defendants, including SecurityNational Mortgage.</w:t>
      </w:r>
    </w:p>
    <w:p>
      <w:pPr>
        <w:spacing w:after="0" w:line="179" w:lineRule="exact"/>
        <w:rPr>
          <w:sz w:val="20"/>
          <w:szCs w:val="20"/>
          <w:color w:val="auto"/>
        </w:rPr>
      </w:pPr>
    </w:p>
    <w:p>
      <w:pPr>
        <w:jc w:val="both"/>
        <w:ind w:left="3" w:right="399"/>
        <w:spacing w:after="0" w:line="250" w:lineRule="auto"/>
        <w:rPr>
          <w:sz w:val="20"/>
          <w:szCs w:val="20"/>
          <w:color w:val="auto"/>
        </w:rPr>
      </w:pPr>
      <w:r>
        <w:rPr>
          <w:rFonts w:ascii="Arial" w:cs="Arial" w:eastAsia="Arial" w:hAnsi="Arial"/>
          <w:sz w:val="19"/>
          <w:szCs w:val="19"/>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in addition to the Second Amended Complaint already on file. The RMBS Complaint seeks alleged damages relating to obligations under alleged contractual indemnification provisions in an amount to be determined at trial, interest, costs and expenses incurred by LBHI in enforcing alleged obligations, including attorneys' fees and costs and any expert witness fees incurred in litigation; and such other relief as the Court deems just and proper.</w:t>
      </w:r>
    </w:p>
    <w:p>
      <w:pPr>
        <w:spacing w:after="0" w:line="200" w:lineRule="exact"/>
        <w:rPr>
          <w:sz w:val="20"/>
          <w:szCs w:val="20"/>
          <w:color w:val="auto"/>
        </w:rPr>
      </w:pPr>
    </w:p>
    <w:p>
      <w:pPr>
        <w:jc w:val="both"/>
        <w:ind w:left="3" w:right="399"/>
        <w:spacing w:after="0" w:line="266" w:lineRule="auto"/>
        <w:rPr>
          <w:sz w:val="20"/>
          <w:szCs w:val="20"/>
          <w:color w:val="auto"/>
        </w:rPr>
      </w:pPr>
      <w:r>
        <w:rPr>
          <w:rFonts w:ascii="Arial" w:cs="Arial" w:eastAsia="Arial" w:hAnsi="Arial"/>
          <w:sz w:val="18"/>
          <w:szCs w:val="18"/>
          <w:color w:val="auto"/>
        </w:rPr>
        <w:t>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document production, taking depositions, and use of experts. At a hearing held on March 7, 2019, the Court considered differences of the parties as to the content of an amended case management order, and thereafter signed an amended case management order dated March 13, 2019. SecurityNational Mortgage filed an answer and amended answer in the Fannie Mae and Freddie Mac case, and in the RMBS case. Discovery is in process.</w:t>
      </w:r>
    </w:p>
    <w:p>
      <w:pPr>
        <w:spacing w:after="0" w:line="185" w:lineRule="exact"/>
        <w:rPr>
          <w:sz w:val="20"/>
          <w:szCs w:val="20"/>
          <w:color w:val="auto"/>
        </w:rPr>
      </w:pPr>
    </w:p>
    <w:p>
      <w:pPr>
        <w:jc w:val="both"/>
        <w:ind w:left="3" w:right="399"/>
        <w:spacing w:after="0" w:line="251" w:lineRule="auto"/>
        <w:rPr>
          <w:sz w:val="20"/>
          <w:szCs w:val="20"/>
          <w:color w:val="auto"/>
        </w:rPr>
      </w:pPr>
      <w:r>
        <w:rPr>
          <w:rFonts w:ascii="Arial" w:cs="Arial" w:eastAsia="Arial" w:hAnsi="Arial"/>
          <w:sz w:val="19"/>
          <w:szCs w:val="19"/>
          <w:color w:val="auto"/>
        </w:rPr>
        <w:t>Lehman Holdings sent an Indemnification Alternative Dispute Resolution Notice to SecurityNational Mortgage dated August 1, 2019. SecurityNational Mortgage sent its Statement of Position to Lehman Brothers Holdings dated September 3, 2019 in response to the notice. Thereafter, Lehman Holdings sent its Reply dated October 2, 2019 to SecurityNational Mortgage. On January 9, 2020, SecurityNational Mortgage submitted further information to the mediator. Mediation was set to take place on January 23, 2020 in New York. In view of SecurityNational Mortgage’s motion dated January 15, 2020, Lehman Holdings requested that the mediation be continued.</w:t>
      </w:r>
    </w:p>
    <w:p>
      <w:pPr>
        <w:spacing w:after="0" w:line="209"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45" w:name="page46"/>
    <w:bookmarkEnd w:id="45"/>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03" w:hanging="403"/>
        <w:spacing w:after="0"/>
        <w:tabs>
          <w:tab w:leader="none" w:pos="403"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3" w:right="379"/>
        <w:spacing w:after="0" w:line="250" w:lineRule="auto"/>
        <w:rPr>
          <w:sz w:val="20"/>
          <w:szCs w:val="20"/>
          <w:color w:val="auto"/>
        </w:rPr>
      </w:pPr>
      <w:r>
        <w:rPr>
          <w:rFonts w:ascii="Arial" w:cs="Arial" w:eastAsia="Arial" w:hAnsi="Arial"/>
          <w:sz w:val="19"/>
          <w:szCs w:val="19"/>
          <w:color w:val="auto"/>
        </w:rPr>
        <w:t>On January 15, 2020, SecurityNational Mortgage filed a motion to dismiss Lehman Holdings’ RMBS action in the Bankruptcy Court for lack of subject matter jurisdiction and standing. It was not filed in the Bankruptcy Court but in the United States District Court for the Southern District of New York. The District Court referred the matter to a magistrate judge for general pretrial, which “includes scheduling, discovery, non-dispositive pretrial motions, and settlement,” as well as for “a Report and Recommendation” as to the pending motion. The final disposition of the motion will be with the District Court judge. Lehman Holdings has asked the District Court to transfer the case to one of two other judges allegedly due to related matters. No action has been taken by the District Court to transfer the case.</w:t>
      </w:r>
    </w:p>
    <w:p>
      <w:pPr>
        <w:spacing w:after="0" w:line="200" w:lineRule="exact"/>
        <w:rPr>
          <w:sz w:val="20"/>
          <w:szCs w:val="20"/>
          <w:color w:val="auto"/>
        </w:rPr>
      </w:pPr>
    </w:p>
    <w:p>
      <w:pPr>
        <w:jc w:val="both"/>
        <w:ind w:left="3" w:right="379"/>
        <w:spacing w:after="0" w:line="286" w:lineRule="auto"/>
        <w:rPr>
          <w:sz w:val="20"/>
          <w:szCs w:val="20"/>
          <w:color w:val="auto"/>
        </w:rPr>
      </w:pPr>
      <w:r>
        <w:rPr>
          <w:rFonts w:ascii="Arial" w:cs="Arial" w:eastAsia="Arial" w:hAnsi="Arial"/>
          <w:sz w:val="17"/>
          <w:szCs w:val="17"/>
          <w:color w:val="auto"/>
        </w:rPr>
        <w:t>However, Lehman Holdings filed its response brief to the motion and SecurityNational Mortgage filed its reply so the matter is now fully briefed. On July 10, 2020, the magistrate judge filed a report and recommendation with the District Court judge recommending that SecurityNational Mortgage’s motion to dismiss be denied on the basis that the motion should not be in the District Court, but the Bankruptcy Court. SecurityNational Mortgage filed an objection to the report and recommendation to which Lehman Holdings is entitled to respond. A ruling relative to the issue as to the proper court will be made by the District Court, and if the motion is retained by the District Court, the matter of dismissal for lack of subject matter jurisdiction and standing will be before the District Court.</w:t>
      </w:r>
    </w:p>
    <w:p>
      <w:pPr>
        <w:spacing w:after="0" w:line="165" w:lineRule="exact"/>
        <w:rPr>
          <w:sz w:val="20"/>
          <w:szCs w:val="20"/>
          <w:color w:val="auto"/>
        </w:rPr>
      </w:pPr>
    </w:p>
    <w:p>
      <w:pPr>
        <w:jc w:val="both"/>
        <w:ind w:left="3" w:right="399"/>
        <w:spacing w:after="0" w:line="249" w:lineRule="auto"/>
        <w:rPr>
          <w:sz w:val="20"/>
          <w:szCs w:val="20"/>
          <w:color w:val="auto"/>
        </w:rPr>
      </w:pPr>
      <w:r>
        <w:rPr>
          <w:rFonts w:ascii="Arial" w:cs="Arial" w:eastAsia="Arial" w:hAnsi="Arial"/>
          <w:sz w:val="19"/>
          <w:szCs w:val="19"/>
          <w:color w:val="auto"/>
        </w:rPr>
        <w:t>On March 17, 2020, Lehman Holdings filed a motion for partial summary judgment against dozens of defendants asserting that sufficient notice was given defendants concerning the settlement of the RMBS claims so that Lehman Holdings, as an indemnitee, would not have to prove that it (Lehman Holdings) had liability to the RMBS Trustees, but only that its settlement was reasonable and in good faith. Defendants involved filed a response brief that for various reasons Lehman Holdings cannot establish sufficient notice as required by law. Certain defendants, excluding SecurityNational Mortgage, also filed a cross motion to seek an affirmative ruling on the issue of Lehman Holdings’ motion. Thereafter, Lehman Holdings filed a reply brief in support of its motion, and also a response brief to certain defendants’ cross motion. Defendants that filed a cross motion have the opportunity to file a reply brief in support of the cross motion. Even if Lehman Holdings were to prevail on its motion, it does not absolve Lehman Holdings of its burden to prove indemnity liability to the defendants. SecurityNational Mortgage denies any liability to Lehman Holdings and intends to vigorously protect and defend its position.</w:t>
      </w:r>
    </w:p>
    <w:p>
      <w:pPr>
        <w:spacing w:after="0" w:line="192"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Debt Covenants for Mortgage Warehouse Lines of Credit</w:t>
      </w:r>
    </w:p>
    <w:p>
      <w:pPr>
        <w:spacing w:after="0" w:line="236" w:lineRule="exact"/>
        <w:rPr>
          <w:sz w:val="20"/>
          <w:szCs w:val="20"/>
          <w:color w:val="auto"/>
        </w:rPr>
      </w:pPr>
    </w:p>
    <w:p>
      <w:pPr>
        <w:jc w:val="both"/>
        <w:ind w:left="3" w:right="399"/>
        <w:spacing w:after="0" w:line="254" w:lineRule="auto"/>
        <w:rPr>
          <w:sz w:val="20"/>
          <w:szCs w:val="20"/>
          <w:color w:val="auto"/>
        </w:rPr>
      </w:pPr>
      <w:r>
        <w:rPr>
          <w:rFonts w:ascii="Arial" w:cs="Arial" w:eastAsia="Arial" w:hAnsi="Arial"/>
          <w:sz w:val="19"/>
          <w:szCs w:val="19"/>
          <w:color w:val="auto"/>
        </w:rPr>
        <w:t>The Company, through its subsidiary SecurityNational Mortgage, has a $150,000,000 line of credit with Wells Fargo Bank N.A. The agreement charges interest at the 1-Month LIBOR rate plus 2.1% and matures on June 24, 2021. SecurityNational Mortgage is required to comply with covenants for adjusted tangible net worth, unrestricted cash balance, the ratio of indebtedness to adjusted tangible net worth, and the liquidity overhead coverage ratio, and a quarterly gross profit of at least $1.00.</w:t>
      </w:r>
    </w:p>
    <w:p>
      <w:pPr>
        <w:spacing w:after="0" w:line="191" w:lineRule="exact"/>
        <w:rPr>
          <w:sz w:val="20"/>
          <w:szCs w:val="20"/>
          <w:color w:val="auto"/>
        </w:rPr>
      </w:pPr>
    </w:p>
    <w:p>
      <w:pPr>
        <w:jc w:val="both"/>
        <w:ind w:left="3" w:right="399"/>
        <w:spacing w:after="0" w:line="269" w:lineRule="auto"/>
        <w:rPr>
          <w:sz w:val="20"/>
          <w:szCs w:val="20"/>
          <w:color w:val="auto"/>
        </w:rPr>
      </w:pPr>
      <w:r>
        <w:rPr>
          <w:rFonts w:ascii="Arial" w:cs="Arial" w:eastAsia="Arial" w:hAnsi="Arial"/>
          <w:sz w:val="18"/>
          <w:szCs w:val="18"/>
          <w:color w:val="auto"/>
        </w:rPr>
        <w:t>The Company, through its subsidiary SecurityNational Mortgage, also uses a line of credit with Texas Capital Bank N.A. This agreement with the bank allows SecurityNational Mortgage to borrow up to $100,000,000 for the sole purpose of funding mortgage loans. The agreement charges interest at the 1-Month LIBOR rate plus 3% and matures on September 9, 2020.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79" w:lineRule="exact"/>
        <w:rPr>
          <w:sz w:val="20"/>
          <w:szCs w:val="20"/>
          <w:color w:val="auto"/>
        </w:rPr>
      </w:pPr>
    </w:p>
    <w:p>
      <w:pPr>
        <w:jc w:val="both"/>
        <w:ind w:left="3" w:right="379"/>
        <w:spacing w:after="0" w:line="252" w:lineRule="auto"/>
        <w:rPr>
          <w:sz w:val="20"/>
          <w:szCs w:val="20"/>
          <w:color w:val="auto"/>
        </w:rPr>
      </w:pPr>
      <w:r>
        <w:rPr>
          <w:rFonts w:ascii="Arial" w:cs="Arial" w:eastAsia="Arial" w:hAnsi="Arial"/>
          <w:sz w:val="19"/>
          <w:szCs w:val="19"/>
          <w:color w:val="auto"/>
        </w:rPr>
        <w:t>The Company through its subsidiary SecurityNational Mortgage, also uses a line of credit with Comerica Bank. This agreement with the bank allows SecurityNational Mortgage to borrow up to $40,000,000 for the sole purpose of funding mortgage loans. The agreement charges interest at the 1-Month LIBOR rate plus 2.5% and matures on May 27, 2021. The Company is required to comply with covenants for adjusted tangible net worth, unrestricted cash balance, and minimum combined pre-tax income (excluding any changes in the fair value of mortgage servicing rights) of at least $1.00 on a rolling twelve months.</w:t>
      </w:r>
    </w:p>
    <w:p>
      <w:pPr>
        <w:spacing w:after="0" w:line="208"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46" w:name="page47"/>
    <w:bookmarkEnd w:id="46"/>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403" w:hanging="403"/>
        <w:spacing w:after="0"/>
        <w:tabs>
          <w:tab w:leader="none" w:pos="403"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Reinsurance, Commitments and Contingencies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3" w:right="379"/>
        <w:spacing w:after="0" w:line="252" w:lineRule="auto"/>
        <w:rPr>
          <w:sz w:val="20"/>
          <w:szCs w:val="20"/>
          <w:color w:val="auto"/>
        </w:rPr>
      </w:pPr>
      <w:r>
        <w:rPr>
          <w:rFonts w:ascii="Arial" w:cs="Arial" w:eastAsia="Arial" w:hAnsi="Arial"/>
          <w:sz w:val="19"/>
          <w:szCs w:val="19"/>
          <w:color w:val="auto"/>
        </w:rPr>
        <w:t>The Company, through its subsidiary EverLEND Mortgage, also uses a line of credit with Texas Capital Bank N.A. This agreement with the bank allows EverLEND Mortgage to borrow up to $10,000,000 for the sole purpose of funding mortgage loans. The agreement charges interest at the 1-Month LIBOR rate plus 2.5% and matures on August 1, 2020. The Company is required to comply with covenants for adjusted tangible net worth, unrestricted cash balance, and minimum combined pre-tax income (excluding any changes in the fair value of mortgage servicing rights) of at least $1.00 on a rolling four-quarter basis.</w:t>
      </w:r>
    </w:p>
    <w:p>
      <w:pPr>
        <w:spacing w:after="0" w:line="195"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color w:val="auto"/>
        </w:rPr>
        <w:t>The agreements for warehouse lines include cross default provisions in that a covenant violation under one agreement constitutes a covenant violation under the other agreement. As of June 30, 2020, the Company believes that it was in compliance with all debt covenants.</w:t>
      </w:r>
    </w:p>
    <w:p>
      <w:pPr>
        <w:spacing w:after="0" w:line="179"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Other Contingencies and Commitments</w:t>
      </w:r>
    </w:p>
    <w:p>
      <w:pPr>
        <w:spacing w:after="0" w:line="236" w:lineRule="exact"/>
        <w:rPr>
          <w:sz w:val="20"/>
          <w:szCs w:val="20"/>
          <w:color w:val="auto"/>
        </w:rPr>
      </w:pPr>
    </w:p>
    <w:p>
      <w:pPr>
        <w:jc w:val="both"/>
        <w:ind w:left="3" w:right="399"/>
        <w:spacing w:after="0" w:line="288" w:lineRule="auto"/>
        <w:rPr>
          <w:sz w:val="20"/>
          <w:szCs w:val="20"/>
          <w:color w:val="auto"/>
        </w:rPr>
      </w:pPr>
      <w:r>
        <w:rPr>
          <w:rFonts w:ascii="Arial" w:cs="Arial" w:eastAsia="Arial" w:hAnsi="Arial"/>
          <w:sz w:val="17"/>
          <w:szCs w:val="17"/>
          <w:color w:val="auto"/>
        </w:rPr>
        <w:t>The Company has entered into commitments to fund construction and land development loans and has also provided financing for land acquisition and development. As of June 30, 2020, the Company’s commitments were approximately $161,213,000 for these loans, of which $108,801,000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164" w:lineRule="exact"/>
        <w:rPr>
          <w:sz w:val="20"/>
          <w:szCs w:val="20"/>
          <w:color w:val="auto"/>
        </w:rPr>
      </w:pPr>
    </w:p>
    <w:p>
      <w:pPr>
        <w:jc w:val="both"/>
        <w:ind w:left="3" w:right="399"/>
        <w:spacing w:after="0" w:line="283"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65" w:lineRule="exact"/>
        <w:rPr>
          <w:sz w:val="20"/>
          <w:szCs w:val="20"/>
          <w:color w:val="auto"/>
        </w:rPr>
      </w:pPr>
    </w:p>
    <w:p>
      <w:pPr>
        <w:jc w:val="both"/>
        <w:ind w:left="3" w:right="399"/>
        <w:spacing w:after="0" w:line="254" w:lineRule="auto"/>
        <w:rPr>
          <w:sz w:val="20"/>
          <w:szCs w:val="20"/>
          <w:color w:val="auto"/>
        </w:rPr>
      </w:pPr>
      <w:r>
        <w:rPr>
          <w:rFonts w:ascii="Arial" w:cs="Arial" w:eastAsia="Arial" w:hAnsi="Arial"/>
          <w:sz w:val="19"/>
          <w:szCs w:val="19"/>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85"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200" w:lineRule="exact"/>
        <w:rPr>
          <w:sz w:val="20"/>
          <w:szCs w:val="20"/>
          <w:color w:val="auto"/>
        </w:rPr>
      </w:pPr>
    </w:p>
    <w:p>
      <w:pPr>
        <w:spacing w:after="0" w:line="342"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47" w:name="page48"/>
    <w:bookmarkEnd w:id="47"/>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104" w:lineRule="exact"/>
        <w:rPr>
          <w:sz w:val="20"/>
          <w:szCs w:val="20"/>
          <w:color w:val="auto"/>
        </w:rPr>
      </w:pPr>
    </w:p>
    <w:p>
      <w:pPr>
        <w:ind w:left="403" w:hanging="403"/>
        <w:spacing w:after="0"/>
        <w:tabs>
          <w:tab w:leader="none" w:pos="403"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Mortgage Servicing Rights</w:t>
      </w:r>
    </w:p>
    <w:p>
      <w:pPr>
        <w:spacing w:after="0" w:line="230" w:lineRule="exact"/>
        <w:rPr>
          <w:sz w:val="20"/>
          <w:szCs w:val="20"/>
          <w:color w:val="auto"/>
        </w:rPr>
      </w:pPr>
    </w:p>
    <w:p>
      <w:pPr>
        <w:ind w:left="3"/>
        <w:spacing w:after="0"/>
        <w:rPr>
          <w:sz w:val="20"/>
          <w:szCs w:val="20"/>
          <w:color w:val="auto"/>
        </w:rPr>
      </w:pPr>
      <w:r>
        <w:rPr>
          <w:rFonts w:ascii="Arial" w:cs="Arial" w:eastAsia="Arial" w:hAnsi="Arial"/>
          <w:sz w:val="19"/>
          <w:szCs w:val="19"/>
          <w:color w:val="auto"/>
        </w:rPr>
        <w:t>The Company initially records these MSRs at fair value as discussed in Note 8.</w:t>
      </w:r>
    </w:p>
    <w:p>
      <w:pPr>
        <w:spacing w:after="0" w:line="230" w:lineRule="exact"/>
        <w:rPr>
          <w:sz w:val="20"/>
          <w:szCs w:val="20"/>
          <w:color w:val="auto"/>
        </w:rPr>
      </w:pPr>
    </w:p>
    <w:p>
      <w:pPr>
        <w:jc w:val="both"/>
        <w:ind w:left="3" w:right="399"/>
        <w:spacing w:after="0" w:line="256" w:lineRule="auto"/>
        <w:rPr>
          <w:sz w:val="20"/>
          <w:szCs w:val="20"/>
          <w:color w:val="auto"/>
        </w:rPr>
      </w:pPr>
      <w:r>
        <w:rPr>
          <w:rFonts w:ascii="Arial" w:cs="Arial" w:eastAsia="Arial" w:hAnsi="Arial"/>
          <w:sz w:val="19"/>
          <w:szCs w:val="19"/>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190" w:lineRule="exact"/>
        <w:rPr>
          <w:sz w:val="20"/>
          <w:szCs w:val="20"/>
          <w:color w:val="auto"/>
        </w:rPr>
      </w:pPr>
    </w:p>
    <w:p>
      <w:pPr>
        <w:jc w:val="both"/>
        <w:ind w:left="3" w:right="379"/>
        <w:spacing w:after="0" w:line="256" w:lineRule="auto"/>
        <w:rPr>
          <w:sz w:val="20"/>
          <w:szCs w:val="20"/>
          <w:color w:val="auto"/>
        </w:rPr>
      </w:pPr>
      <w:r>
        <w:rPr>
          <w:rFonts w:ascii="Arial" w:cs="Arial" w:eastAsia="Arial" w:hAnsi="Arial"/>
          <w:sz w:val="19"/>
          <w:szCs w:val="19"/>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190" w:lineRule="exact"/>
        <w:rPr>
          <w:sz w:val="20"/>
          <w:szCs w:val="20"/>
          <w:color w:val="auto"/>
        </w:rPr>
      </w:pPr>
    </w:p>
    <w:p>
      <w:pPr>
        <w:jc w:val="both"/>
        <w:ind w:left="3" w:right="399"/>
        <w:spacing w:after="0" w:line="256" w:lineRule="auto"/>
        <w:rPr>
          <w:sz w:val="20"/>
          <w:szCs w:val="20"/>
          <w:color w:val="auto"/>
        </w:rPr>
      </w:pPr>
      <w:r>
        <w:rPr>
          <w:rFonts w:ascii="Arial" w:cs="Arial" w:eastAsia="Arial" w:hAnsi="Arial"/>
          <w:sz w:val="19"/>
          <w:szCs w:val="19"/>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90" w:lineRule="exact"/>
        <w:rPr>
          <w:sz w:val="20"/>
          <w:szCs w:val="20"/>
          <w:color w:val="auto"/>
        </w:rPr>
      </w:pPr>
    </w:p>
    <w:p>
      <w:pPr>
        <w:ind w:left="3"/>
        <w:spacing w:after="0"/>
        <w:rPr>
          <w:sz w:val="20"/>
          <w:szCs w:val="20"/>
          <w:color w:val="auto"/>
        </w:rPr>
      </w:pPr>
      <w:r>
        <w:rPr>
          <w:rFonts w:ascii="Arial" w:cs="Arial" w:eastAsia="Arial" w:hAnsi="Arial"/>
          <w:sz w:val="19"/>
          <w:szCs w:val="19"/>
          <w:color w:val="auto"/>
        </w:rPr>
        <w:t>The following is a summary of the MSR activity for the periods presented.</w:t>
      </w:r>
    </w:p>
    <w:p>
      <w:pPr>
        <w:spacing w:after="0" w:line="319"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20" w:type="dxa"/>
            <w:vAlign w:val="bottom"/>
            <w:gridSpan w:val="2"/>
          </w:tcPr>
          <w:p>
            <w:pPr>
              <w:jc w:val="right"/>
              <w:ind w:right="330"/>
              <w:spacing w:after="0"/>
              <w:rPr>
                <w:sz w:val="20"/>
                <w:szCs w:val="20"/>
                <w:color w:val="auto"/>
              </w:rPr>
            </w:pPr>
            <w:r>
              <w:rPr>
                <w:rFonts w:ascii="Arial" w:cs="Arial" w:eastAsia="Arial" w:hAnsi="Arial"/>
                <w:sz w:val="14"/>
                <w:szCs w:val="14"/>
                <w:color w:val="auto"/>
              </w:rPr>
              <w:t>As of June 30</w:t>
            </w:r>
          </w:p>
        </w:tc>
        <w:tc>
          <w:tcPr>
            <w:tcW w:w="1360" w:type="dxa"/>
            <w:vAlign w:val="bottom"/>
            <w:gridSpan w:val="2"/>
          </w:tcPr>
          <w:p>
            <w:pPr>
              <w:jc w:val="right"/>
              <w:ind w:right="90"/>
              <w:spacing w:after="0"/>
              <w:rPr>
                <w:sz w:val="20"/>
                <w:szCs w:val="20"/>
                <w:color w:val="auto"/>
              </w:rPr>
            </w:pPr>
            <w:r>
              <w:rPr>
                <w:rFonts w:ascii="Arial" w:cs="Arial" w:eastAsia="Arial" w:hAnsi="Arial"/>
                <w:sz w:val="14"/>
                <w:szCs w:val="14"/>
                <w:color w:val="auto"/>
                <w:w w:val="98"/>
              </w:rPr>
              <w:t>As of December 31</w:t>
            </w:r>
          </w:p>
        </w:tc>
      </w:tr>
      <w:tr>
        <w:trPr>
          <w:trHeight w:val="177"/>
        </w:trPr>
        <w:tc>
          <w:tcPr>
            <w:tcW w:w="35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color w:val="auto"/>
              </w:rPr>
              <w:t>2020</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color w:val="auto"/>
              </w:rPr>
              <w:t>2019</w:t>
            </w:r>
          </w:p>
        </w:tc>
      </w:tr>
      <w:tr>
        <w:trPr>
          <w:trHeight w:val="191"/>
        </w:trPr>
        <w:tc>
          <w:tcPr>
            <w:tcW w:w="3500" w:type="dxa"/>
            <w:vAlign w:val="bottom"/>
          </w:tcPr>
          <w:p>
            <w:pPr>
              <w:ind w:left="20"/>
              <w:spacing w:after="0"/>
              <w:rPr>
                <w:sz w:val="20"/>
                <w:szCs w:val="20"/>
                <w:color w:val="auto"/>
              </w:rPr>
            </w:pPr>
            <w:r>
              <w:rPr>
                <w:rFonts w:ascii="Arial" w:cs="Arial" w:eastAsia="Arial" w:hAnsi="Arial"/>
                <w:sz w:val="14"/>
                <w:szCs w:val="14"/>
                <w:color w:val="auto"/>
              </w:rPr>
              <w:t>Amortized cost:</w:t>
            </w: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Balance before valuation allowance at beginning of year</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17,155,529</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20,016,822</w:t>
            </w:r>
          </w:p>
        </w:tc>
      </w:tr>
      <w:tr>
        <w:trPr>
          <w:trHeight w:val="198"/>
        </w:trPr>
        <w:tc>
          <w:tcPr>
            <w:tcW w:w="3500" w:type="dxa"/>
            <w:vAlign w:val="bottom"/>
          </w:tcPr>
          <w:p>
            <w:pPr>
              <w:ind w:left="20"/>
              <w:spacing w:after="0"/>
              <w:rPr>
                <w:sz w:val="20"/>
                <w:szCs w:val="20"/>
                <w:color w:val="auto"/>
              </w:rPr>
            </w:pPr>
            <w:r>
              <w:rPr>
                <w:rFonts w:ascii="Arial" w:cs="Arial" w:eastAsia="Arial" w:hAnsi="Arial"/>
                <w:sz w:val="14"/>
                <w:szCs w:val="14"/>
                <w:color w:val="auto"/>
              </w:rPr>
              <w:t>MSR additions resulting from loan sales</w:t>
            </w:r>
          </w:p>
        </w:tc>
        <w:tc>
          <w:tcPr>
            <w:tcW w:w="520" w:type="dxa"/>
            <w:vAlign w:val="bottom"/>
          </w:tcPr>
          <w:p>
            <w:pPr>
              <w:spacing w:after="0"/>
              <w:rPr>
                <w:sz w:val="17"/>
                <w:szCs w:val="17"/>
                <w:color w:val="auto"/>
              </w:rPr>
            </w:pP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9,488,179</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4,194,502</w:t>
            </w: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(1)</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(4,948,585)</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(7,055,795)</w:t>
            </w:r>
          </w:p>
        </w:tc>
      </w:tr>
      <w:tr>
        <w:trPr>
          <w:trHeight w:val="285"/>
        </w:trPr>
        <w:tc>
          <w:tcPr>
            <w:tcW w:w="3500" w:type="dxa"/>
            <w:vAlign w:val="bottom"/>
          </w:tcPr>
          <w:p>
            <w:pPr>
              <w:ind w:left="20"/>
              <w:spacing w:after="0"/>
              <w:rPr>
                <w:sz w:val="20"/>
                <w:szCs w:val="20"/>
                <w:color w:val="auto"/>
              </w:rPr>
            </w:pPr>
            <w:r>
              <w:rPr>
                <w:rFonts w:ascii="Arial" w:cs="Arial" w:eastAsia="Arial" w:hAnsi="Arial"/>
                <w:sz w:val="14"/>
                <w:szCs w:val="14"/>
                <w:color w:val="auto"/>
              </w:rPr>
              <w:t>Application of valuation allowance to write down MSRs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7"/>
        </w:trPr>
        <w:tc>
          <w:tcPr>
            <w:tcW w:w="35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with other than temporary impairment</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before valuation allowance at end of period</w:t>
            </w: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21,695,123</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17,155,529</w:t>
            </w:r>
          </w:p>
        </w:tc>
      </w:tr>
      <w:tr>
        <w:trPr>
          <w:trHeight w:val="165"/>
        </w:trPr>
        <w:tc>
          <w:tcPr>
            <w:tcW w:w="3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Valuation allowance for impairment of MSRs: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1"/>
        </w:trPr>
        <w:tc>
          <w:tcPr>
            <w:tcW w:w="3500" w:type="dxa"/>
            <w:vAlign w:val="bottom"/>
          </w:tcPr>
          <w:p>
            <w:pPr>
              <w:ind w:left="20"/>
              <w:spacing w:after="0"/>
              <w:rPr>
                <w:sz w:val="20"/>
                <w:szCs w:val="20"/>
                <w:color w:val="auto"/>
              </w:rPr>
            </w:pPr>
            <w:r>
              <w:rPr>
                <w:rFonts w:ascii="Arial" w:cs="Arial" w:eastAsia="Arial" w:hAnsi="Arial"/>
                <w:sz w:val="14"/>
                <w:szCs w:val="14"/>
                <w:color w:val="auto"/>
              </w:rPr>
              <w:t>Balance at beginning of year</w:t>
            </w:r>
          </w:p>
        </w:tc>
        <w:tc>
          <w:tcPr>
            <w:tcW w:w="5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85"/>
        </w:trPr>
        <w:tc>
          <w:tcPr>
            <w:tcW w:w="3500" w:type="dxa"/>
            <w:vAlign w:val="bottom"/>
          </w:tcPr>
          <w:p>
            <w:pPr>
              <w:ind w:left="20"/>
              <w:spacing w:after="0"/>
              <w:rPr>
                <w:sz w:val="20"/>
                <w:szCs w:val="20"/>
                <w:color w:val="auto"/>
              </w:rPr>
            </w:pPr>
            <w:r>
              <w:rPr>
                <w:rFonts w:ascii="Arial" w:cs="Arial" w:eastAsia="Arial" w:hAnsi="Arial"/>
                <w:sz w:val="14"/>
                <w:szCs w:val="14"/>
                <w:color w:val="auto"/>
              </w:rPr>
              <w:t>Application of valuation allowance to write down MSRs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7"/>
        </w:trPr>
        <w:tc>
          <w:tcPr>
            <w:tcW w:w="350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with other than temporary impairment</w:t>
            </w: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end of period</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5"/>
        </w:trPr>
        <w:tc>
          <w:tcPr>
            <w:tcW w:w="3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1"/>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Mortgage servicing rights, net</w:t>
            </w: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21,695,123</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17,155,529</w:t>
            </w:r>
          </w:p>
        </w:tc>
      </w:tr>
      <w:tr>
        <w:trPr>
          <w:trHeight w:val="20"/>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1"/>
        </w:trPr>
        <w:tc>
          <w:tcPr>
            <w:tcW w:w="3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1"/>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Estimated fair value of MSRs at end of period</w:t>
            </w:r>
          </w:p>
        </w:tc>
        <w:tc>
          <w:tcPr>
            <w:tcW w:w="5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22,921,824</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22,784,571</w:t>
            </w:r>
          </w:p>
        </w:tc>
      </w:tr>
      <w:tr>
        <w:trPr>
          <w:trHeight w:val="20"/>
        </w:trPr>
        <w:tc>
          <w:tcPr>
            <w:tcW w:w="3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4050030" cy="142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50030" cy="142240"/>
                    </a:xfrm>
                    <a:prstGeom prst="rect">
                      <a:avLst/>
                    </a:prstGeom>
                    <a:noFill/>
                  </pic:spPr>
                </pic:pic>
              </a:graphicData>
            </a:graphic>
          </wp:anchor>
        </w:drawing>
      </w:r>
    </w:p>
    <w:p>
      <w:pPr>
        <w:spacing w:after="0" w:line="186" w:lineRule="exact"/>
        <w:rPr>
          <w:sz w:val="20"/>
          <w:szCs w:val="20"/>
          <w:color w:val="auto"/>
        </w:rPr>
      </w:pPr>
    </w:p>
    <w:p>
      <w:pPr>
        <w:ind w:left="23"/>
        <w:spacing w:after="0"/>
        <w:rPr>
          <w:sz w:val="20"/>
          <w:szCs w:val="20"/>
          <w:color w:val="auto"/>
        </w:rPr>
      </w:pPr>
      <w:r>
        <w:rPr>
          <w:rFonts w:ascii="Arial" w:cs="Arial" w:eastAsia="Arial" w:hAnsi="Arial"/>
          <w:sz w:val="14"/>
          <w:szCs w:val="14"/>
          <w:color w:val="auto"/>
        </w:rPr>
        <w:t>(1) Included in other expenses on the condensed consolidated statements of earnings</w:t>
      </w:r>
    </w:p>
    <w:p>
      <w:pPr>
        <w:spacing w:after="0" w:line="237"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48" w:name="page49"/>
    <w:bookmarkEnd w:id="48"/>
    <w:p>
      <w:pPr>
        <w:jc w:val="center"/>
        <w:ind w:right="396"/>
        <w:spacing w:after="0" w:line="255"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ind w:left="403" w:hanging="403"/>
        <w:spacing w:after="0"/>
        <w:tabs>
          <w:tab w:leader="none" w:pos="403"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Mortgage Servicing Rights</w:t>
      </w:r>
      <w:r>
        <w:rPr>
          <w:rFonts w:ascii="Arial" w:cs="Arial" w:eastAsia="Arial" w:hAnsi="Arial"/>
          <w:sz w:val="19"/>
          <w:szCs w:val="19"/>
          <w:color w:val="auto"/>
        </w:rPr>
        <w:t xml:space="preserve"> (Continued)</w:t>
      </w:r>
    </w:p>
    <w:p>
      <w:pPr>
        <w:spacing w:after="0" w:line="248" w:lineRule="exact"/>
        <w:rPr>
          <w:sz w:val="20"/>
          <w:szCs w:val="20"/>
          <w:color w:val="auto"/>
        </w:rPr>
      </w:pPr>
    </w:p>
    <w:p>
      <w:pPr>
        <w:ind w:left="3" w:right="699"/>
        <w:spacing w:after="0" w:line="277" w:lineRule="auto"/>
        <w:rPr>
          <w:sz w:val="20"/>
          <w:szCs w:val="20"/>
          <w:color w:val="auto"/>
        </w:rPr>
      </w:pPr>
      <w:r>
        <w:rPr>
          <w:rFonts w:ascii="Arial" w:cs="Arial" w:eastAsia="Arial" w:hAnsi="Arial"/>
          <w:sz w:val="19"/>
          <w:szCs w:val="19"/>
          <w:color w:val="auto"/>
        </w:rPr>
        <w:t>The following table summarizes the Company’s estimate of future amortization of its existing MSRs carried at amortized cost:</w:t>
      </w:r>
    </w:p>
    <w:p>
      <w:pPr>
        <w:spacing w:after="0" w:line="200" w:lineRule="exact"/>
        <w:rPr>
          <w:sz w:val="20"/>
          <w:szCs w:val="20"/>
          <w:color w:val="auto"/>
        </w:rPr>
      </w:pPr>
    </w:p>
    <w:p>
      <w:pPr>
        <w:spacing w:after="0" w:line="218"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126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Estimated MSR Amortization</w:t>
            </w:r>
          </w:p>
        </w:tc>
      </w:tr>
      <w:tr>
        <w:trPr>
          <w:trHeight w:val="178"/>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3,370,190</w:t>
            </w:r>
          </w:p>
        </w:tc>
      </w:tr>
      <w:tr>
        <w:trPr>
          <w:trHeight w:val="198"/>
        </w:trPr>
        <w:tc>
          <w:tcPr>
            <w:tcW w:w="1260" w:type="dxa"/>
            <w:vAlign w:val="bottom"/>
          </w:tcPr>
          <w:p>
            <w:pPr>
              <w:ind w:left="20"/>
              <w:spacing w:after="0"/>
              <w:rPr>
                <w:sz w:val="20"/>
                <w:szCs w:val="20"/>
                <w:color w:val="auto"/>
              </w:rPr>
            </w:pPr>
            <w:r>
              <w:rPr>
                <w:rFonts w:ascii="Arial" w:cs="Arial" w:eastAsia="Arial" w:hAnsi="Arial"/>
                <w:sz w:val="14"/>
                <w:szCs w:val="14"/>
                <w:color w:val="auto"/>
              </w:rPr>
              <w:t>2021</w:t>
            </w:r>
          </w:p>
        </w:tc>
        <w:tc>
          <w:tcPr>
            <w:tcW w:w="8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2,535,104</w:t>
            </w:r>
          </w:p>
        </w:tc>
      </w:tr>
      <w:tr>
        <w:trPr>
          <w:trHeight w:val="198"/>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1,999,989</w:t>
            </w:r>
          </w:p>
        </w:tc>
      </w:tr>
      <w:tr>
        <w:trPr>
          <w:trHeight w:val="198"/>
        </w:trPr>
        <w:tc>
          <w:tcPr>
            <w:tcW w:w="1260" w:type="dxa"/>
            <w:vAlign w:val="bottom"/>
          </w:tcPr>
          <w:p>
            <w:pPr>
              <w:ind w:left="20"/>
              <w:spacing w:after="0"/>
              <w:rPr>
                <w:sz w:val="20"/>
                <w:szCs w:val="20"/>
                <w:color w:val="auto"/>
              </w:rPr>
            </w:pPr>
            <w:r>
              <w:rPr>
                <w:rFonts w:ascii="Arial" w:cs="Arial" w:eastAsia="Arial" w:hAnsi="Arial"/>
                <w:sz w:val="14"/>
                <w:szCs w:val="14"/>
                <w:color w:val="auto"/>
              </w:rPr>
              <w:t>2023</w:t>
            </w:r>
          </w:p>
        </w:tc>
        <w:tc>
          <w:tcPr>
            <w:tcW w:w="8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1,608,753</w:t>
            </w:r>
          </w:p>
        </w:tc>
      </w:tr>
      <w:tr>
        <w:trPr>
          <w:trHeight w:val="198"/>
        </w:trPr>
        <w:tc>
          <w:tcPr>
            <w:tcW w:w="1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8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1,317,529</w:t>
            </w:r>
          </w:p>
        </w:tc>
      </w:tr>
      <w:tr>
        <w:trPr>
          <w:trHeight w:val="198"/>
        </w:trPr>
        <w:tc>
          <w:tcPr>
            <w:tcW w:w="1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8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10,863,558</w:t>
            </w:r>
          </w:p>
        </w:tc>
      </w:tr>
      <w:tr>
        <w:trPr>
          <w:trHeight w:val="178"/>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21,695,123</w:t>
            </w:r>
          </w:p>
        </w:tc>
      </w:tr>
      <w:tr>
        <w:trPr>
          <w:trHeight w:val="20"/>
        </w:trPr>
        <w:tc>
          <w:tcPr>
            <w:tcW w:w="1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3" w:right="399"/>
        <w:spacing w:after="0" w:line="277" w:lineRule="auto"/>
        <w:rPr>
          <w:sz w:val="20"/>
          <w:szCs w:val="20"/>
          <w:color w:val="auto"/>
        </w:rPr>
      </w:pPr>
      <w:r>
        <w:rPr>
          <w:rFonts w:ascii="Arial" w:cs="Arial" w:eastAsia="Arial" w:hAnsi="Arial"/>
          <w:sz w:val="19"/>
          <w:szCs w:val="19"/>
          <w:color w:val="auto"/>
        </w:rPr>
        <w:t>The Company collected the following contractual servicing fee income and late fee income as reported in other revenues on the condensed consolidated statement of earnings:</w:t>
      </w:r>
    </w:p>
    <w:p>
      <w:pPr>
        <w:spacing w:after="0" w:line="218"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6"/>
          </w:tcPr>
          <w:p>
            <w:pPr>
              <w:jc w:val="center"/>
              <w:ind w:right="640"/>
              <w:spacing w:after="0"/>
              <w:rPr>
                <w:sz w:val="20"/>
                <w:szCs w:val="20"/>
                <w:color w:val="auto"/>
              </w:rPr>
            </w:pPr>
            <w:r>
              <w:rPr>
                <w:rFonts w:ascii="Arial" w:cs="Arial" w:eastAsia="Arial" w:hAnsi="Arial"/>
                <w:sz w:val="14"/>
                <w:szCs w:val="14"/>
                <w:color w:val="auto"/>
                <w:w w:val="91"/>
              </w:rPr>
              <w:t>Three Months Ended</w:t>
            </w:r>
          </w:p>
        </w:tc>
        <w:tc>
          <w:tcPr>
            <w:tcW w:w="380" w:type="dxa"/>
            <w:vAlign w:val="bottom"/>
          </w:tcPr>
          <w:p>
            <w:pPr>
              <w:spacing w:after="0"/>
              <w:rPr>
                <w:sz w:val="14"/>
                <w:szCs w:val="14"/>
                <w:color w:val="auto"/>
              </w:rPr>
            </w:pPr>
          </w:p>
        </w:tc>
        <w:tc>
          <w:tcPr>
            <w:tcW w:w="1360" w:type="dxa"/>
            <w:vAlign w:val="bottom"/>
            <w:gridSpan w:val="4"/>
          </w:tcPr>
          <w:p>
            <w:pPr>
              <w:jc w:val="center"/>
              <w:ind w:left="210"/>
              <w:spacing w:after="0"/>
              <w:rPr>
                <w:sz w:val="20"/>
                <w:szCs w:val="20"/>
                <w:color w:val="auto"/>
              </w:rPr>
            </w:pPr>
            <w:r>
              <w:rPr>
                <w:rFonts w:ascii="Arial" w:cs="Arial" w:eastAsia="Arial" w:hAnsi="Arial"/>
                <w:sz w:val="14"/>
                <w:szCs w:val="14"/>
                <w:color w:val="auto"/>
                <w:w w:val="91"/>
              </w:rPr>
              <w:t>Six Months Ended</w:t>
            </w:r>
          </w:p>
        </w:tc>
        <w:tc>
          <w:tcPr>
            <w:tcW w:w="700" w:type="dxa"/>
            <w:vAlign w:val="bottom"/>
          </w:tcPr>
          <w:p>
            <w:pPr>
              <w:spacing w:after="0"/>
              <w:rPr>
                <w:sz w:val="14"/>
                <w:szCs w:val="14"/>
                <w:color w:val="auto"/>
              </w:rPr>
            </w:pPr>
          </w:p>
        </w:tc>
      </w:tr>
      <w:tr>
        <w:trPr>
          <w:trHeight w:val="177"/>
        </w:trPr>
        <w:tc>
          <w:tcPr>
            <w:tcW w:w="18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4"/>
                <w:szCs w:val="14"/>
                <w:color w:val="auto"/>
                <w:w w:val="88"/>
              </w:rPr>
              <w:t>June 30</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4"/>
                <w:szCs w:val="14"/>
                <w:color w:val="auto"/>
                <w:w w:val="88"/>
              </w:rPr>
              <w:t>June 30</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65"/>
        </w:trPr>
        <w:tc>
          <w:tcPr>
            <w:tcW w:w="18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w w:val="89"/>
              </w:rPr>
              <w:t>2020</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89"/>
              </w:rPr>
              <w:t>2019</w:t>
            </w: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w w:val="96"/>
              </w:rPr>
              <w:t>2020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w w:val="83"/>
              </w:rPr>
              <w:t>2019</w:t>
            </w:r>
          </w:p>
        </w:tc>
      </w:tr>
      <w:tr>
        <w:trPr>
          <w:trHeight w:val="165"/>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Contractual servicing fees</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1,929,565</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1,858,599</w:t>
            </w: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3,714,509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3,668,013</w:t>
            </w:r>
          </w:p>
        </w:tc>
      </w:tr>
      <w:tr>
        <w:trPr>
          <w:trHeight w:val="185"/>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Late fees</w:t>
            </w: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71,704</w:t>
            </w: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87,291</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169,512</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178,890</w:t>
            </w:r>
          </w:p>
        </w:tc>
      </w:tr>
      <w:tr>
        <w:trPr>
          <w:trHeight w:val="165"/>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2,001,269</w:t>
            </w:r>
          </w:p>
        </w:tc>
        <w:tc>
          <w:tcPr>
            <w:tcW w:w="2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1,945,890</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3,884,021</w:t>
            </w:r>
          </w:p>
        </w:tc>
        <w:tc>
          <w:tcPr>
            <w:tcW w:w="2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3,846,903</w:t>
            </w:r>
          </w:p>
        </w:tc>
      </w:tr>
      <w:tr>
        <w:trPr>
          <w:trHeight w:val="20"/>
        </w:trPr>
        <w:tc>
          <w:tcPr>
            <w:tcW w:w="1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left="3" w:right="379"/>
        <w:spacing w:after="0" w:line="277" w:lineRule="auto"/>
        <w:rPr>
          <w:sz w:val="20"/>
          <w:szCs w:val="20"/>
          <w:color w:val="auto"/>
        </w:rPr>
      </w:pPr>
      <w:r>
        <w:rPr>
          <w:rFonts w:ascii="Arial" w:cs="Arial" w:eastAsia="Arial" w:hAnsi="Arial"/>
          <w:sz w:val="19"/>
          <w:szCs w:val="19"/>
          <w:color w:val="auto"/>
        </w:rPr>
        <w:t>The following is a summary of the unpaid principal balances (“UPB”) of the servicing portfolio for the periods presented:</w:t>
      </w:r>
    </w:p>
    <w:p>
      <w:pPr>
        <w:spacing w:after="0" w:line="165"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40" w:type="dxa"/>
            <w:vAlign w:val="bottom"/>
            <w:gridSpan w:val="2"/>
          </w:tcPr>
          <w:p>
            <w:pPr>
              <w:jc w:val="center"/>
              <w:ind w:right="500"/>
              <w:spacing w:after="0"/>
              <w:rPr>
                <w:sz w:val="20"/>
                <w:szCs w:val="20"/>
                <w:color w:val="auto"/>
              </w:rPr>
            </w:pPr>
            <w:r>
              <w:rPr>
                <w:rFonts w:ascii="Arial" w:cs="Arial" w:eastAsia="Arial" w:hAnsi="Arial"/>
                <w:sz w:val="14"/>
                <w:szCs w:val="14"/>
                <w:color w:val="auto"/>
                <w:w w:val="95"/>
              </w:rPr>
              <w:t>As of June 30</w:t>
            </w:r>
          </w:p>
        </w:tc>
        <w:tc>
          <w:tcPr>
            <w:tcW w:w="2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Arial" w:cs="Arial" w:eastAsia="Arial" w:hAnsi="Arial"/>
                <w:sz w:val="14"/>
                <w:szCs w:val="14"/>
                <w:color w:val="auto"/>
              </w:rPr>
              <w:t>As of December 31</w:t>
            </w:r>
          </w:p>
        </w:tc>
      </w:tr>
      <w:tr>
        <w:trPr>
          <w:trHeight w:val="177"/>
        </w:trPr>
        <w:tc>
          <w:tcPr>
            <w:tcW w:w="14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color w:val="auto"/>
              </w:rPr>
              <w:t>2020</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rPr>
              <w:t>2019</w:t>
            </w:r>
          </w:p>
        </w:tc>
      </w:tr>
      <w:tr>
        <w:trPr>
          <w:trHeight w:val="165"/>
        </w:trPr>
        <w:tc>
          <w:tcPr>
            <w:tcW w:w="1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Servicing UPB</w:t>
            </w:r>
          </w:p>
        </w:tc>
        <w:tc>
          <w:tcPr>
            <w:tcW w:w="2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590"/>
              <w:spacing w:after="0"/>
              <w:rPr>
                <w:sz w:val="20"/>
                <w:szCs w:val="20"/>
                <w:color w:val="auto"/>
              </w:rPr>
            </w:pPr>
            <w:r>
              <w:rPr>
                <w:rFonts w:ascii="Arial" w:cs="Arial" w:eastAsia="Arial" w:hAnsi="Arial"/>
                <w:sz w:val="14"/>
                <w:szCs w:val="14"/>
                <w:color w:val="auto"/>
              </w:rPr>
              <w:t>3,430,482,161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2,804,139,415</w:t>
            </w:r>
          </w:p>
        </w:tc>
      </w:tr>
    </w:tbl>
    <w:p>
      <w:pPr>
        <w:spacing w:after="0" w:line="208" w:lineRule="exact"/>
        <w:rPr>
          <w:sz w:val="20"/>
          <w:szCs w:val="20"/>
          <w:color w:val="auto"/>
        </w:rPr>
      </w:pPr>
    </w:p>
    <w:p>
      <w:pPr>
        <w:ind w:left="3"/>
        <w:spacing w:after="0"/>
        <w:rPr>
          <w:sz w:val="20"/>
          <w:szCs w:val="20"/>
          <w:color w:val="auto"/>
        </w:rPr>
      </w:pPr>
      <w:r>
        <w:rPr>
          <w:rFonts w:ascii="Arial" w:cs="Arial" w:eastAsia="Arial" w:hAnsi="Arial"/>
          <w:sz w:val="19"/>
          <w:szCs w:val="19"/>
          <w:color w:val="auto"/>
        </w:rPr>
        <w:t>The following key assumptions were used in determining MSR value:</w:t>
      </w:r>
    </w:p>
    <w:p>
      <w:pPr>
        <w:spacing w:after="0" w:line="163" w:lineRule="exact"/>
        <w:rPr>
          <w:sz w:val="20"/>
          <w:szCs w:val="20"/>
          <w:color w:val="auto"/>
        </w:rPr>
      </w:pPr>
    </w:p>
    <w:tbl>
      <w:tblPr>
        <w:tblLayout w:type="fixed"/>
        <w:tblInd w:w="3" w:type="dxa"/>
        <w:tblCellMar>
          <w:top w:w="0" w:type="dxa"/>
          <w:left w:w="0" w:type="dxa"/>
          <w:bottom w:w="0" w:type="dxa"/>
          <w:right w:w="0" w:type="dxa"/>
        </w:tblCellMar>
      </w:tblPr>
      <w:tr>
        <w:trPr>
          <w:trHeight w:val="164"/>
        </w:trPr>
        <w:tc>
          <w:tcPr>
            <w:tcW w:w="1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4"/>
          </w:tcPr>
          <w:p>
            <w:pPr>
              <w:jc w:val="center"/>
              <w:ind w:right="280"/>
              <w:spacing w:after="0"/>
              <w:rPr>
                <w:sz w:val="20"/>
                <w:szCs w:val="20"/>
                <w:color w:val="auto"/>
              </w:rPr>
            </w:pPr>
            <w:r>
              <w:rPr>
                <w:rFonts w:ascii="Arial" w:cs="Arial" w:eastAsia="Arial" w:hAnsi="Arial"/>
                <w:sz w:val="14"/>
                <w:szCs w:val="14"/>
                <w:color w:val="auto"/>
                <w:w w:val="90"/>
              </w:rPr>
              <w:t>Prepayment</w:t>
            </w:r>
          </w:p>
        </w:tc>
        <w:tc>
          <w:tcPr>
            <w:tcW w:w="300" w:type="dxa"/>
            <w:vAlign w:val="bottom"/>
          </w:tcPr>
          <w:p>
            <w:pPr>
              <w:spacing w:after="0"/>
              <w:rPr>
                <w:sz w:val="14"/>
                <w:szCs w:val="14"/>
                <w:color w:val="auto"/>
              </w:rPr>
            </w:pPr>
          </w:p>
        </w:tc>
        <w:tc>
          <w:tcPr>
            <w:tcW w:w="1160" w:type="dxa"/>
            <w:vAlign w:val="bottom"/>
            <w:gridSpan w:val="4"/>
          </w:tcPr>
          <w:p>
            <w:pPr>
              <w:jc w:val="center"/>
              <w:ind w:right="500"/>
              <w:spacing w:after="0"/>
              <w:rPr>
                <w:sz w:val="20"/>
                <w:szCs w:val="20"/>
                <w:color w:val="auto"/>
              </w:rPr>
            </w:pPr>
            <w:r>
              <w:rPr>
                <w:rFonts w:ascii="Arial" w:cs="Arial" w:eastAsia="Arial" w:hAnsi="Arial"/>
                <w:sz w:val="14"/>
                <w:szCs w:val="14"/>
                <w:color w:val="auto"/>
                <w:w w:val="88"/>
              </w:rPr>
              <w:t>Average</w:t>
            </w:r>
          </w:p>
        </w:tc>
        <w:tc>
          <w:tcPr>
            <w:tcW w:w="780" w:type="dxa"/>
            <w:vAlign w:val="bottom"/>
            <w:gridSpan w:val="4"/>
          </w:tcPr>
          <w:p>
            <w:pPr>
              <w:jc w:val="center"/>
              <w:ind w:right="260"/>
              <w:spacing w:after="0"/>
              <w:rPr>
                <w:sz w:val="20"/>
                <w:szCs w:val="20"/>
                <w:color w:val="auto"/>
              </w:rPr>
            </w:pPr>
            <w:r>
              <w:rPr>
                <w:rFonts w:ascii="Arial" w:cs="Arial" w:eastAsia="Arial" w:hAnsi="Arial"/>
                <w:sz w:val="14"/>
                <w:szCs w:val="14"/>
                <w:color w:val="auto"/>
                <w:w w:val="95"/>
              </w:rPr>
              <w:t>Discount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jc w:val="center"/>
              <w:spacing w:after="0" w:line="125" w:lineRule="exact"/>
              <w:rPr>
                <w:sz w:val="20"/>
                <w:szCs w:val="20"/>
                <w:color w:val="auto"/>
              </w:rPr>
            </w:pPr>
            <w:r>
              <w:rPr>
                <w:rFonts w:ascii="Arial" w:cs="Arial" w:eastAsia="Arial" w:hAnsi="Arial"/>
                <w:sz w:val="14"/>
                <w:szCs w:val="14"/>
                <w:color w:val="auto"/>
                <w:w w:val="84"/>
              </w:rPr>
              <w:t>Speeds</w:t>
            </w:r>
          </w:p>
        </w:tc>
        <w:tc>
          <w:tcPr>
            <w:tcW w:w="12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460" w:type="dxa"/>
            <w:vAlign w:val="bottom"/>
            <w:gridSpan w:val="5"/>
          </w:tcPr>
          <w:p>
            <w:pPr>
              <w:jc w:val="center"/>
              <w:ind w:right="220"/>
              <w:spacing w:after="0" w:line="125" w:lineRule="exact"/>
              <w:rPr>
                <w:sz w:val="20"/>
                <w:szCs w:val="20"/>
                <w:color w:val="auto"/>
              </w:rPr>
            </w:pPr>
            <w:r>
              <w:rPr>
                <w:rFonts w:ascii="Arial" w:cs="Arial" w:eastAsia="Arial" w:hAnsi="Arial"/>
                <w:sz w:val="14"/>
                <w:szCs w:val="14"/>
                <w:color w:val="auto"/>
                <w:w w:val="93"/>
              </w:rPr>
              <w:t>Life (Years)</w:t>
            </w:r>
          </w:p>
        </w:tc>
        <w:tc>
          <w:tcPr>
            <w:tcW w:w="780" w:type="dxa"/>
            <w:vAlign w:val="bottom"/>
            <w:gridSpan w:val="4"/>
          </w:tcPr>
          <w:p>
            <w:pPr>
              <w:jc w:val="center"/>
              <w:ind w:right="240"/>
              <w:spacing w:after="0" w:line="125" w:lineRule="exact"/>
              <w:rPr>
                <w:sz w:val="20"/>
                <w:szCs w:val="20"/>
                <w:color w:val="auto"/>
              </w:rPr>
            </w:pPr>
            <w:r>
              <w:rPr>
                <w:rFonts w:ascii="Arial" w:cs="Arial" w:eastAsia="Arial" w:hAnsi="Arial"/>
                <w:sz w:val="14"/>
                <w:szCs w:val="14"/>
                <w:color w:val="auto"/>
                <w:w w:val="87"/>
              </w:rPr>
              <w:t>Rate</w:t>
            </w:r>
          </w:p>
        </w:tc>
        <w:tc>
          <w:tcPr>
            <w:tcW w:w="0" w:type="dxa"/>
            <w:vAlign w:val="bottom"/>
          </w:tcPr>
          <w:p>
            <w:pPr>
              <w:spacing w:after="0"/>
              <w:rPr>
                <w:sz w:val="1"/>
                <w:szCs w:val="1"/>
                <w:color w:val="auto"/>
              </w:rPr>
            </w:pPr>
          </w:p>
        </w:tc>
      </w:tr>
      <w:tr>
        <w:trPr>
          <w:trHeight w:val="165"/>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2020</w:t>
            </w:r>
          </w:p>
        </w:tc>
        <w:tc>
          <w:tcPr>
            <w:tcW w:w="660" w:type="dxa"/>
            <w:vAlign w:val="bottom"/>
            <w:gridSpan w:val="2"/>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1"/>
              </w:rPr>
              <w:t>18.90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tcBorders>
              <w:top w:val="single" w:sz="8" w:color="auto"/>
            </w:tcBorders>
            <w:gridSpan w:val="2"/>
            <w:shd w:val="clear" w:color="auto" w:fill="CCEEFF"/>
          </w:tcPr>
          <w:p>
            <w:pPr>
              <w:jc w:val="center"/>
              <w:ind w:left="30"/>
              <w:spacing w:after="0"/>
              <w:rPr>
                <w:sz w:val="20"/>
                <w:szCs w:val="20"/>
                <w:color w:val="auto"/>
              </w:rPr>
            </w:pPr>
            <w:r>
              <w:rPr>
                <w:rFonts w:ascii="Arial" w:cs="Arial" w:eastAsia="Arial" w:hAnsi="Arial"/>
                <w:sz w:val="14"/>
                <w:szCs w:val="14"/>
                <w:color w:val="auto"/>
                <w:w w:val="95"/>
              </w:rPr>
              <w:t>4.57</w:t>
            </w: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7"/>
              </w:rPr>
              <w:t>9.51</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620" w:type="dxa"/>
            <w:vAlign w:val="bottom"/>
          </w:tcPr>
          <w:p>
            <w:pPr>
              <w:ind w:left="20"/>
              <w:spacing w:after="0"/>
              <w:rPr>
                <w:sz w:val="20"/>
                <w:szCs w:val="20"/>
                <w:color w:val="auto"/>
              </w:rPr>
            </w:pPr>
            <w:r>
              <w:rPr>
                <w:rFonts w:ascii="Arial" w:cs="Arial" w:eastAsia="Arial" w:hAnsi="Arial"/>
                <w:sz w:val="14"/>
                <w:szCs w:val="14"/>
                <w:color w:val="auto"/>
              </w:rPr>
              <w:t>December 31, 2019</w:t>
            </w:r>
          </w:p>
        </w:tc>
        <w:tc>
          <w:tcPr>
            <w:tcW w:w="1060" w:type="dxa"/>
            <w:vAlign w:val="bottom"/>
            <w:gridSpan w:val="3"/>
          </w:tcPr>
          <w:p>
            <w:pPr>
              <w:jc w:val="center"/>
              <w:ind w:left="590"/>
              <w:spacing w:after="0"/>
              <w:rPr>
                <w:sz w:val="20"/>
                <w:szCs w:val="20"/>
                <w:color w:val="auto"/>
              </w:rPr>
            </w:pPr>
            <w:r>
              <w:rPr>
                <w:rFonts w:ascii="Arial" w:cs="Arial" w:eastAsia="Arial" w:hAnsi="Arial"/>
                <w:sz w:val="14"/>
                <w:szCs w:val="14"/>
                <w:color w:val="auto"/>
                <w:w w:val="91"/>
              </w:rPr>
              <w:t>15.30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gridSpan w:val="3"/>
          </w:tcPr>
          <w:p>
            <w:pPr>
              <w:jc w:val="center"/>
              <w:ind w:left="330"/>
              <w:spacing w:after="0"/>
              <w:rPr>
                <w:sz w:val="20"/>
                <w:szCs w:val="20"/>
                <w:color w:val="auto"/>
              </w:rPr>
            </w:pPr>
            <w:r>
              <w:rPr>
                <w:rFonts w:ascii="Arial" w:cs="Arial" w:eastAsia="Arial" w:hAnsi="Arial"/>
                <w:sz w:val="14"/>
                <w:szCs w:val="14"/>
                <w:color w:val="auto"/>
                <w:w w:val="95"/>
              </w:rPr>
              <w:t>5.27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gridSpan w:val="2"/>
          </w:tcPr>
          <w:p>
            <w:pPr>
              <w:jc w:val="center"/>
              <w:ind w:left="70"/>
              <w:spacing w:after="0"/>
              <w:rPr>
                <w:sz w:val="20"/>
                <w:szCs w:val="20"/>
                <w:color w:val="auto"/>
              </w:rPr>
            </w:pPr>
            <w:r>
              <w:rPr>
                <w:rFonts w:ascii="Arial" w:cs="Arial" w:eastAsia="Arial" w:hAnsi="Arial"/>
                <w:sz w:val="14"/>
                <w:szCs w:val="14"/>
                <w:color w:val="auto"/>
                <w:w w:val="87"/>
              </w:rPr>
              <w:t>9.51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03" w:hanging="303"/>
        <w:spacing w:after="0"/>
        <w:tabs>
          <w:tab w:leader="none" w:pos="303"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Income Taxes</w:t>
      </w:r>
    </w:p>
    <w:p>
      <w:pPr>
        <w:spacing w:after="0" w:line="230" w:lineRule="exact"/>
        <w:rPr>
          <w:sz w:val="20"/>
          <w:szCs w:val="20"/>
          <w:color w:val="auto"/>
        </w:rPr>
      </w:pPr>
    </w:p>
    <w:p>
      <w:pPr>
        <w:jc w:val="both"/>
        <w:ind w:left="3" w:right="399"/>
        <w:spacing w:after="0" w:line="267" w:lineRule="auto"/>
        <w:rPr>
          <w:sz w:val="20"/>
          <w:szCs w:val="20"/>
          <w:color w:val="auto"/>
        </w:rPr>
      </w:pPr>
      <w:r>
        <w:rPr>
          <w:rFonts w:ascii="Arial" w:cs="Arial" w:eastAsia="Arial" w:hAnsi="Arial"/>
          <w:sz w:val="18"/>
          <w:szCs w:val="18"/>
          <w:color w:val="auto"/>
        </w:rPr>
        <w:t>The Company’s overall effective tax rate for the three months ended June 30, 2020 and 2019 was 24.4% and 24.7%, respectively, which resulted in a provision for income taxes of $6,636,709 and $1,143,789, respectively. The Company’s overall effective tax rate for the six months ended June 30, 2020 and 2019 was 23.3% and 23.3%, respectively, which resulted in a provision for income taxes of $6,686,494 and $1,645,630, respectively. The Company's effective tax rates differ from the U.S. federal statutory rate of 21% partially due to its provision for state income taxes. The effective tax rate in the current period decreased when compared to the prior year period partly due to the Company’s provision for state income taxes.</w:t>
      </w:r>
    </w:p>
    <w:p>
      <w:pPr>
        <w:spacing w:after="0" w:line="197"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49" w:name="page50"/>
    <w:bookmarkEnd w:id="49"/>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210" w:lineRule="exact"/>
        <w:rPr>
          <w:sz w:val="20"/>
          <w:szCs w:val="20"/>
          <w:color w:val="auto"/>
        </w:rPr>
      </w:pPr>
    </w:p>
    <w:p>
      <w:pPr>
        <w:ind w:left="303" w:hanging="303"/>
        <w:spacing w:after="0"/>
        <w:tabs>
          <w:tab w:leader="none" w:pos="303"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Revenues from Contracts with Customers</w:t>
      </w:r>
    </w:p>
    <w:p>
      <w:pPr>
        <w:spacing w:after="0" w:line="230" w:lineRule="exact"/>
        <w:rPr>
          <w:sz w:val="20"/>
          <w:szCs w:val="20"/>
          <w:color w:val="auto"/>
        </w:rPr>
      </w:pPr>
    </w:p>
    <w:p>
      <w:pPr>
        <w:jc w:val="both"/>
        <w:ind w:left="3" w:right="399"/>
        <w:spacing w:after="0" w:line="277" w:lineRule="auto"/>
        <w:rPr>
          <w:sz w:val="20"/>
          <w:szCs w:val="20"/>
          <w:color w:val="auto"/>
        </w:rPr>
      </w:pPr>
      <w:r>
        <w:rPr>
          <w:rFonts w:ascii="Arial" w:cs="Arial" w:eastAsia="Arial" w:hAnsi="Arial"/>
          <w:sz w:val="19"/>
          <w:szCs w:val="19"/>
          <w:color w:val="auto"/>
        </w:rPr>
        <w:t>The Company reports revenues from contracts with customers pursuant to ASC No. 606, Revenue from Contracts with Customers.</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Information about Performance Obligations and Contract Balances</w:t>
      </w:r>
    </w:p>
    <w:p>
      <w:pPr>
        <w:spacing w:after="0" w:line="236"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185" w:lineRule="exact"/>
        <w:rPr>
          <w:sz w:val="20"/>
          <w:szCs w:val="20"/>
          <w:color w:val="auto"/>
        </w:rPr>
      </w:pPr>
    </w:p>
    <w:p>
      <w:pPr>
        <w:ind w:left="3"/>
        <w:spacing w:after="0"/>
        <w:rPr>
          <w:sz w:val="20"/>
          <w:szCs w:val="20"/>
          <w:color w:val="auto"/>
        </w:rPr>
      </w:pPr>
      <w:r>
        <w:rPr>
          <w:rFonts w:ascii="Arial" w:cs="Arial" w:eastAsia="Arial" w:hAnsi="Arial"/>
          <w:sz w:val="19"/>
          <w:szCs w:val="19"/>
          <w:color w:val="auto"/>
        </w:rPr>
        <w:t>The Company’s three types of future obligations are as follows:</w:t>
      </w:r>
    </w:p>
    <w:p>
      <w:pPr>
        <w:spacing w:after="0" w:line="230" w:lineRule="exact"/>
        <w:rPr>
          <w:sz w:val="20"/>
          <w:szCs w:val="20"/>
          <w:color w:val="auto"/>
        </w:rPr>
      </w:pPr>
    </w:p>
    <w:p>
      <w:pPr>
        <w:jc w:val="both"/>
        <w:ind w:left="3" w:right="379"/>
        <w:spacing w:after="0" w:line="261" w:lineRule="auto"/>
        <w:rPr>
          <w:sz w:val="20"/>
          <w:szCs w:val="20"/>
          <w:color w:val="auto"/>
        </w:rPr>
      </w:pPr>
      <w:r>
        <w:rPr>
          <w:rFonts w:ascii="Arial" w:cs="Arial" w:eastAsia="Arial" w:hAnsi="Arial"/>
          <w:sz w:val="19"/>
          <w:szCs w:val="19"/>
          <w:i w:val="1"/>
          <w:iCs w:val="1"/>
          <w:u w:val="single" w:color="auto"/>
          <w:color w:val="auto"/>
        </w:rPr>
        <w:t>Pre-need Merchandise and Service Revenue</w:t>
      </w:r>
      <w:r>
        <w:rPr>
          <w:rFonts w:ascii="Arial" w:cs="Arial" w:eastAsia="Arial" w:hAnsi="Arial"/>
          <w:sz w:val="19"/>
          <w:szCs w:val="19"/>
          <w:color w:val="auto"/>
        </w:rPr>
        <w:t>: All pre-need merchandise and service revenue is deferred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funds are placed in trust until the need arises, the merchandise is received or the service is performed. The trust is then relieved, and the revenue and commissions are recognized.</w:t>
      </w:r>
    </w:p>
    <w:p>
      <w:pPr>
        <w:spacing w:after="0" w:line="185" w:lineRule="exact"/>
        <w:rPr>
          <w:sz w:val="20"/>
          <w:szCs w:val="20"/>
          <w:color w:val="auto"/>
        </w:rPr>
      </w:pPr>
    </w:p>
    <w:p>
      <w:pPr>
        <w:jc w:val="both"/>
        <w:ind w:left="3" w:right="399"/>
        <w:spacing w:after="0" w:line="256" w:lineRule="auto"/>
        <w:rPr>
          <w:sz w:val="20"/>
          <w:szCs w:val="20"/>
          <w:color w:val="auto"/>
        </w:rPr>
      </w:pPr>
      <w:r>
        <w:rPr>
          <w:rFonts w:ascii="Arial" w:cs="Arial" w:eastAsia="Arial" w:hAnsi="Arial"/>
          <w:sz w:val="19"/>
          <w:szCs w:val="19"/>
          <w:i w:val="1"/>
          <w:iCs w:val="1"/>
          <w:u w:val="single" w:color="auto"/>
          <w:color w:val="auto"/>
        </w:rPr>
        <w:t>At-need Specialty Merchandise Revenue</w:t>
      </w:r>
      <w:r>
        <w:rPr>
          <w:rFonts w:ascii="Arial" w:cs="Arial" w:eastAsia="Arial" w:hAnsi="Arial"/>
          <w:sz w:val="19"/>
          <w:szCs w:val="19"/>
          <w:color w:val="auto"/>
        </w:rPr>
        <w:t>: At-need specialty merchandise revenue consists of customizable</w:t>
      </w:r>
      <w:r>
        <w:rPr>
          <w:rFonts w:ascii="Arial" w:cs="Arial" w:eastAsia="Arial" w:hAnsi="Arial"/>
          <w:sz w:val="19"/>
          <w:szCs w:val="19"/>
          <w:i w:val="1"/>
          <w:iCs w:val="1"/>
          <w:color w:val="auto"/>
        </w:rPr>
        <w:t xml:space="preserve"> </w:t>
      </w:r>
      <w:r>
        <w:rPr>
          <w:rFonts w:ascii="Arial" w:cs="Arial" w:eastAsia="Arial" w:hAnsi="Arial"/>
          <w:sz w:val="19"/>
          <w:szCs w:val="19"/>
          <w:color w:val="auto"/>
        </w:rPr>
        <w:t>merchandise ordered from a manufacturer such as markers and bases. When specialty merchandise is ordered, it can take time to manufacture and deliver the product. Revenue is deferred until the at-need merchandise is received.</w:t>
      </w:r>
    </w:p>
    <w:p>
      <w:pPr>
        <w:spacing w:after="0" w:line="190"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i w:val="1"/>
          <w:iCs w:val="1"/>
          <w:u w:val="single" w:color="auto"/>
          <w:color w:val="auto"/>
        </w:rPr>
        <w:t>Deferred Pre-need Land Revenue</w:t>
      </w:r>
      <w:r>
        <w:rPr>
          <w:rFonts w:ascii="Arial" w:cs="Arial" w:eastAsia="Arial" w:hAnsi="Arial"/>
          <w:sz w:val="19"/>
          <w:szCs w:val="19"/>
          <w:color w:val="auto"/>
        </w:rPr>
        <w:t>: Deferred pre-need revenue and corresponding commissions are deferred until</w:t>
      </w:r>
      <w:r>
        <w:rPr>
          <w:rFonts w:ascii="Arial" w:cs="Arial" w:eastAsia="Arial" w:hAnsi="Arial"/>
          <w:sz w:val="19"/>
          <w:szCs w:val="19"/>
          <w:i w:val="1"/>
          <w:iCs w:val="1"/>
          <w:color w:val="auto"/>
        </w:rPr>
        <w:t xml:space="preserve"> </w:t>
      </w:r>
      <w:r>
        <w:rPr>
          <w:rFonts w:ascii="Arial" w:cs="Arial" w:eastAsia="Arial" w:hAnsi="Arial"/>
          <w:sz w:val="19"/>
          <w:szCs w:val="19"/>
          <w:color w:val="auto"/>
        </w:rPr>
        <w:t>10% of the funds are received from the customer through regular monthly payments. Deferred pre-need land revenue is not placed in trust.</w:t>
      </w:r>
    </w:p>
    <w:p>
      <w:pPr>
        <w:spacing w:after="0" w:line="185" w:lineRule="exact"/>
        <w:rPr>
          <w:sz w:val="20"/>
          <w:szCs w:val="20"/>
          <w:color w:val="auto"/>
        </w:rPr>
      </w:pPr>
    </w:p>
    <w:p>
      <w:pPr>
        <w:jc w:val="both"/>
        <w:ind w:left="3" w:right="379"/>
        <w:spacing w:after="0" w:line="269" w:lineRule="auto"/>
        <w:rPr>
          <w:sz w:val="20"/>
          <w:szCs w:val="20"/>
          <w:color w:val="auto"/>
        </w:rPr>
      </w:pPr>
      <w:r>
        <w:rPr>
          <w:rFonts w:ascii="Arial" w:cs="Arial" w:eastAsia="Arial" w:hAnsi="Arial"/>
          <w:sz w:val="18"/>
          <w:szCs w:val="18"/>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179" w:lineRule="exact"/>
        <w:rPr>
          <w:sz w:val="20"/>
          <w:szCs w:val="20"/>
          <w:color w:val="auto"/>
        </w:rPr>
      </w:pPr>
    </w:p>
    <w:p>
      <w:pPr>
        <w:jc w:val="both"/>
        <w:ind w:left="3" w:right="399"/>
        <w:spacing w:after="0" w:line="277" w:lineRule="auto"/>
        <w:rPr>
          <w:sz w:val="20"/>
          <w:szCs w:val="20"/>
          <w:color w:val="auto"/>
        </w:rPr>
      </w:pPr>
      <w:r>
        <w:rPr>
          <w:rFonts w:ascii="Arial" w:cs="Arial" w:eastAsia="Arial" w:hAnsi="Arial"/>
          <w:sz w:val="19"/>
          <w:szCs w:val="19"/>
          <w:color w:val="auto"/>
        </w:rPr>
        <w:t>The opening and closing balances of the Company’s receivables, contract assets and contract liabilities are as follows:</w:t>
      </w:r>
    </w:p>
    <w:p>
      <w:pPr>
        <w:spacing w:after="0" w:line="273" w:lineRule="exact"/>
        <w:rPr>
          <w:sz w:val="20"/>
          <w:szCs w:val="20"/>
          <w:color w:val="auto"/>
        </w:rPr>
      </w:pPr>
    </w:p>
    <w:tbl>
      <w:tblPr>
        <w:tblLayout w:type="fixed"/>
        <w:tblInd w:w="3"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color w:val="auto"/>
              </w:rPr>
              <w:t>Contract Balances</w:t>
            </w:r>
          </w:p>
        </w:tc>
        <w:tc>
          <w:tcPr>
            <w:tcW w:w="7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color w:val="auto"/>
              </w:rPr>
              <w:t>Receivables (1)</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Contract Asset</w:t>
            </w:r>
          </w:p>
        </w:tc>
        <w:tc>
          <w:tcPr>
            <w:tcW w:w="4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color w:val="auto"/>
              </w:rPr>
              <w:t>Contract Liability</w:t>
            </w:r>
          </w:p>
        </w:tc>
      </w:tr>
      <w:tr>
        <w:trPr>
          <w:trHeight w:val="244"/>
        </w:trPr>
        <w:tc>
          <w:tcPr>
            <w:tcW w:w="2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Opening (1/1/2020)</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2,778,879</w:t>
            </w:r>
          </w:p>
        </w:tc>
        <w:tc>
          <w:tcPr>
            <w:tcW w:w="118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12,607,978</w:t>
            </w:r>
          </w:p>
        </w:tc>
      </w:tr>
      <w:tr>
        <w:trPr>
          <w:trHeight w:val="264"/>
        </w:trPr>
        <w:tc>
          <w:tcPr>
            <w:tcW w:w="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Closing (6/30/2020)</w:t>
            </w: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3,575,456</w:t>
            </w:r>
          </w:p>
        </w:tc>
        <w:tc>
          <w:tcPr>
            <w:tcW w:w="11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12,930,466</w:t>
            </w: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Increase/(decrease)</w:t>
            </w:r>
          </w:p>
        </w:tc>
        <w:tc>
          <w:tcPr>
            <w:tcW w:w="7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796,577</w:t>
            </w:r>
          </w:p>
        </w:tc>
        <w:tc>
          <w:tcPr>
            <w:tcW w:w="11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322,488</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color w:val="auto"/>
              </w:rPr>
              <w:t>Contract Balances</w:t>
            </w: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44"/>
        </w:trPr>
        <w:tc>
          <w:tcPr>
            <w:tcW w:w="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4"/>
                <w:szCs w:val="14"/>
                <w:color w:val="auto"/>
              </w:rPr>
              <w:t>Receivables (1)</w:t>
            </w: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Contract Asset</w:t>
            </w:r>
          </w:p>
        </w:tc>
        <w:tc>
          <w:tcPr>
            <w:tcW w:w="4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color w:val="auto"/>
              </w:rPr>
              <w:t>Contract Liability</w:t>
            </w:r>
          </w:p>
        </w:tc>
      </w:tr>
      <w:tr>
        <w:trPr>
          <w:trHeight w:val="244"/>
        </w:trPr>
        <w:tc>
          <w:tcPr>
            <w:tcW w:w="20" w:type="dxa"/>
            <w:vAlign w:val="bottom"/>
            <w:shd w:val="clear" w:color="auto" w:fill="CCEEFF"/>
          </w:tcPr>
          <w:p>
            <w:pPr>
              <w:spacing w:after="0"/>
              <w:rPr>
                <w:sz w:val="21"/>
                <w:szCs w:val="21"/>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Opening (1/1/2019)</w:t>
            </w:r>
          </w:p>
        </w:tc>
        <w:tc>
          <w:tcPr>
            <w:tcW w:w="7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rPr>
              <w:t>2,816,225</w:t>
            </w:r>
          </w:p>
        </w:tc>
        <w:tc>
          <w:tcPr>
            <w:tcW w:w="1180" w:type="dxa"/>
            <w:vAlign w:val="bottom"/>
            <w:shd w:val="clear" w:color="auto" w:fill="CCEEFF"/>
          </w:tcPr>
          <w:p>
            <w:pPr>
              <w:jc w:val="right"/>
              <w:ind w:right="63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12,508,625</w:t>
            </w:r>
          </w:p>
        </w:tc>
      </w:tr>
      <w:tr>
        <w:trPr>
          <w:trHeight w:val="264"/>
        </w:trPr>
        <w:tc>
          <w:tcPr>
            <w:tcW w:w="20" w:type="dxa"/>
            <w:vAlign w:val="bottom"/>
            <w:tcBorders>
              <w:bottom w:val="single" w:sz="8" w:color="CCEEFF"/>
            </w:tcBorders>
          </w:tcPr>
          <w:p>
            <w:pPr>
              <w:spacing w:after="0"/>
              <w:rPr>
                <w:sz w:val="22"/>
                <w:szCs w:val="22"/>
                <w:color w:val="auto"/>
              </w:rPr>
            </w:pPr>
          </w:p>
        </w:tc>
        <w:tc>
          <w:tcPr>
            <w:tcW w:w="25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Closing (12/31/2019)</w:t>
            </w: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2,778,879</w:t>
            </w:r>
          </w:p>
        </w:tc>
        <w:tc>
          <w:tcPr>
            <w:tcW w:w="11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12,607,978</w:t>
            </w: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Increase/(decrease)</w:t>
            </w:r>
          </w:p>
        </w:tc>
        <w:tc>
          <w:tcPr>
            <w:tcW w:w="7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rPr>
              <w:t>(37,346)</w:t>
            </w:r>
          </w:p>
        </w:tc>
        <w:tc>
          <w:tcPr>
            <w:tcW w:w="118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99,353</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r>
    </w:tbl>
    <w:p>
      <w:pPr>
        <w:spacing w:after="0" w:line="87" w:lineRule="exact"/>
        <w:rPr>
          <w:sz w:val="20"/>
          <w:szCs w:val="20"/>
          <w:color w:val="auto"/>
        </w:rPr>
      </w:pPr>
    </w:p>
    <w:p>
      <w:pPr>
        <w:ind w:left="23"/>
        <w:spacing w:after="0"/>
        <w:rPr>
          <w:sz w:val="20"/>
          <w:szCs w:val="20"/>
          <w:color w:val="auto"/>
        </w:rPr>
      </w:pPr>
      <w:r>
        <w:rPr>
          <w:rFonts w:ascii="Arial" w:cs="Arial" w:eastAsia="Arial" w:hAnsi="Arial"/>
          <w:sz w:val="14"/>
          <w:szCs w:val="14"/>
          <w:color w:val="auto"/>
        </w:rPr>
        <w:t>(1) Included in Receivables, net on the condensed consolidated balance sheets</w:t>
      </w:r>
    </w:p>
    <w:p>
      <w:pPr>
        <w:sectPr>
          <w:pgSz w:w="11900" w:h="16838" w:orient="portrait"/>
          <w:cols w:equalWidth="0" w:num="1">
            <w:col w:w="9262"/>
          </w:cols>
          <w:pgMar w:left="1197" w:top="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76"/>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634355" cy="336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type w:val="continuous"/>
        </w:sectPr>
      </w:pPr>
    </w:p>
    <w:bookmarkStart w:id="50" w:name="page51"/>
    <w:bookmarkEnd w:id="50"/>
    <w:p>
      <w:pPr>
        <w:jc w:val="center"/>
        <w:ind w:left="1200" w:right="1280"/>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303" w:hanging="303"/>
        <w:spacing w:after="0"/>
        <w:tabs>
          <w:tab w:leader="none" w:pos="303"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Revenues from Contracts with Customers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color w:val="auto"/>
        </w:rPr>
        <w:t>The amount of revenue recognized and included in the opening contract liability balance for the three months ended June 30, 2020 and 2019 was $880,633 and $889,578, respectively, and for the six months ended June 30, 2020 and 2019 was $1,831,406 and $1,631,098, respectively.</w:t>
      </w:r>
    </w:p>
    <w:p>
      <w:pPr>
        <w:spacing w:after="0" w:line="185" w:lineRule="exact"/>
        <w:rPr>
          <w:sz w:val="20"/>
          <w:szCs w:val="20"/>
          <w:color w:val="auto"/>
        </w:rPr>
      </w:pPr>
    </w:p>
    <w:p>
      <w:pPr>
        <w:jc w:val="both"/>
        <w:ind w:left="3" w:right="399"/>
        <w:spacing w:after="0" w:line="338" w:lineRule="auto"/>
        <w:rPr>
          <w:sz w:val="20"/>
          <w:szCs w:val="20"/>
          <w:color w:val="auto"/>
        </w:rPr>
      </w:pPr>
      <w:r>
        <w:rPr>
          <w:rFonts w:ascii="Arial" w:cs="Arial" w:eastAsia="Arial" w:hAnsi="Arial"/>
          <w:sz w:val="17"/>
          <w:szCs w:val="17"/>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Disaggregation of Revenue</w:t>
      </w:r>
    </w:p>
    <w:p>
      <w:pPr>
        <w:spacing w:after="0" w:line="236" w:lineRule="exact"/>
        <w:rPr>
          <w:sz w:val="20"/>
          <w:szCs w:val="20"/>
          <w:color w:val="auto"/>
        </w:rPr>
      </w:pPr>
    </w:p>
    <w:p>
      <w:pPr>
        <w:jc w:val="both"/>
        <w:ind w:left="3" w:right="399"/>
        <w:spacing w:after="0" w:line="277" w:lineRule="auto"/>
        <w:rPr>
          <w:sz w:val="20"/>
          <w:szCs w:val="20"/>
          <w:color w:val="auto"/>
        </w:rPr>
      </w:pPr>
      <w:r>
        <w:rPr>
          <w:rFonts w:ascii="Arial" w:cs="Arial" w:eastAsia="Arial" w:hAnsi="Arial"/>
          <w:sz w:val="19"/>
          <w:szCs w:val="19"/>
          <w:color w:val="auto"/>
        </w:rPr>
        <w:t>The following table disaggregates revenue for the Company’s cemetery and mortuary contracts for the periods presented:</w:t>
      </w:r>
    </w:p>
    <w:p>
      <w:pPr>
        <w:spacing w:after="0" w:line="165"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5"/>
          </w:tcPr>
          <w:p>
            <w:pPr>
              <w:jc w:val="center"/>
              <w:ind w:right="740"/>
              <w:spacing w:after="0"/>
              <w:rPr>
                <w:sz w:val="20"/>
                <w:szCs w:val="20"/>
                <w:color w:val="auto"/>
              </w:rPr>
            </w:pPr>
            <w:r>
              <w:rPr>
                <w:rFonts w:ascii="Arial" w:cs="Arial" w:eastAsia="Arial" w:hAnsi="Arial"/>
                <w:sz w:val="14"/>
                <w:szCs w:val="14"/>
                <w:color w:val="auto"/>
                <w:w w:val="90"/>
              </w:rPr>
              <w:t>Three Months Ended</w:t>
            </w:r>
          </w:p>
        </w:tc>
        <w:tc>
          <w:tcPr>
            <w:tcW w:w="640" w:type="dxa"/>
            <w:vAlign w:val="bottom"/>
          </w:tcPr>
          <w:p>
            <w:pPr>
              <w:spacing w:after="0"/>
              <w:rPr>
                <w:sz w:val="14"/>
                <w:szCs w:val="14"/>
                <w:color w:val="auto"/>
              </w:rPr>
            </w:pPr>
          </w:p>
        </w:tc>
        <w:tc>
          <w:tcPr>
            <w:tcW w:w="1220" w:type="dxa"/>
            <w:vAlign w:val="bottom"/>
            <w:gridSpan w:val="3"/>
          </w:tcPr>
          <w:p>
            <w:pPr>
              <w:jc w:val="center"/>
              <w:ind w:left="130"/>
              <w:spacing w:after="0"/>
              <w:rPr>
                <w:sz w:val="20"/>
                <w:szCs w:val="20"/>
                <w:color w:val="auto"/>
              </w:rPr>
            </w:pPr>
            <w:r>
              <w:rPr>
                <w:rFonts w:ascii="Arial" w:cs="Arial" w:eastAsia="Arial" w:hAnsi="Arial"/>
                <w:sz w:val="14"/>
                <w:szCs w:val="14"/>
                <w:color w:val="auto"/>
                <w:w w:val="95"/>
              </w:rPr>
              <w:t>Six Months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4"/>
                <w:szCs w:val="14"/>
                <w:color w:val="auto"/>
                <w:w w:val="84"/>
              </w:rPr>
              <w:t>June 30</w:t>
            </w: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4"/>
                <w:szCs w:val="14"/>
                <w:color w:val="auto"/>
                <w:w w:val="87"/>
              </w:rPr>
              <w:t>Ended June 30</w:t>
            </w: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2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color w:val="auto"/>
              </w:rPr>
              <w:t>2020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21"/>
                <w:szCs w:val="21"/>
                <w:color w:val="auto"/>
              </w:rPr>
            </w:pPr>
          </w:p>
        </w:tc>
        <w:tc>
          <w:tcPr>
            <w:tcW w:w="132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color w:val="auto"/>
              </w:rPr>
              <w:t>2020</w:t>
            </w:r>
          </w:p>
        </w:tc>
        <w:tc>
          <w:tcPr>
            <w:tcW w:w="1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40" w:type="dxa"/>
            <w:vAlign w:val="bottom"/>
            <w:gridSpan w:val="3"/>
          </w:tcPr>
          <w:p>
            <w:pPr>
              <w:spacing w:after="0"/>
              <w:rPr>
                <w:sz w:val="20"/>
                <w:szCs w:val="20"/>
                <w:color w:val="auto"/>
              </w:rPr>
            </w:pPr>
            <w:r>
              <w:rPr>
                <w:rFonts w:ascii="Arial" w:cs="Arial" w:eastAsia="Arial" w:hAnsi="Arial"/>
                <w:sz w:val="14"/>
                <w:szCs w:val="14"/>
                <w:b w:val="1"/>
                <w:bCs w:val="1"/>
                <w:color w:val="auto"/>
              </w:rPr>
              <w:t>Major goods/service lines</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At-need</w:t>
            </w:r>
          </w:p>
        </w:tc>
        <w:tc>
          <w:tcPr>
            <w:tcW w:w="1640" w:type="dxa"/>
            <w:vAlign w:val="bottom"/>
            <w:gridSpan w:val="2"/>
            <w:shd w:val="clear" w:color="auto" w:fill="CCEEFF"/>
          </w:tcPr>
          <w:p>
            <w:pPr>
              <w:spacing w:after="0"/>
              <w:rPr>
                <w:sz w:val="22"/>
                <w:szCs w:val="22"/>
                <w:color w:val="auto"/>
              </w:rPr>
            </w:pPr>
          </w:p>
        </w:tc>
        <w:tc>
          <w:tcPr>
            <w:tcW w:w="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3,257,705</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$ 3,025,783</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6,642,896</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5,994,850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1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Pre-need</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1,443,073</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974,947</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2,515,973</w:t>
            </w:r>
          </w:p>
        </w:tc>
        <w:tc>
          <w:tcPr>
            <w:tcW w:w="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1,684,508</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4,700,778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$ 4,000,730</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9,158,869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7,679,358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Timing of Revenue Recognition</w:t>
            </w: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20" w:type="dxa"/>
            <w:vAlign w:val="bottom"/>
          </w:tcPr>
          <w:p>
            <w:pPr>
              <w:spacing w:after="0"/>
              <w:rPr>
                <w:sz w:val="24"/>
                <w:szCs w:val="24"/>
                <w:color w:val="auto"/>
              </w:rPr>
            </w:pPr>
          </w:p>
        </w:tc>
        <w:tc>
          <w:tcPr>
            <w:tcW w:w="314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Goods transferred at a point in time</w:t>
            </w:r>
          </w:p>
        </w:tc>
        <w:tc>
          <w:tcPr>
            <w:tcW w:w="5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3,088,616</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$ 2,754,230</w:t>
            </w: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6,082,320</w:t>
            </w: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5,144,840</w:t>
            </w: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14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Services transferred at a point in time</w:t>
            </w: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1,612,162</w:t>
            </w:r>
          </w:p>
        </w:tc>
        <w:tc>
          <w:tcPr>
            <w:tcW w:w="2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1,246,500</w:t>
            </w:r>
          </w:p>
        </w:tc>
        <w:tc>
          <w:tcPr>
            <w:tcW w:w="1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3,076,549</w:t>
            </w:r>
          </w:p>
        </w:tc>
        <w:tc>
          <w:tcPr>
            <w:tcW w:w="16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2,534,518</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4,700,778</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$ 4,000,730</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9,158,869</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9"/>
              </w:rPr>
              <w:t>7,679,358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 w:right="399"/>
        <w:spacing w:after="0" w:line="277" w:lineRule="auto"/>
        <w:rPr>
          <w:sz w:val="20"/>
          <w:szCs w:val="20"/>
          <w:color w:val="auto"/>
        </w:rPr>
      </w:pPr>
      <w:r>
        <w:rPr>
          <w:rFonts w:ascii="Arial" w:cs="Arial" w:eastAsia="Arial" w:hAnsi="Arial"/>
          <w:sz w:val="19"/>
          <w:szCs w:val="19"/>
          <w:color w:val="auto"/>
        </w:rPr>
        <w:t>The following table reconciles revenues from cemetery and mortuary contracts to Note 7 – Business Segment Information for the Cemetery/Mortuary Segment for the periods presented:</w:t>
      </w:r>
    </w:p>
    <w:p>
      <w:pPr>
        <w:spacing w:after="0" w:line="191"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580" w:type="dxa"/>
            <w:vAlign w:val="bottom"/>
            <w:gridSpan w:val="5"/>
          </w:tcPr>
          <w:p>
            <w:pPr>
              <w:ind w:left="600"/>
              <w:spacing w:after="0"/>
              <w:rPr>
                <w:sz w:val="20"/>
                <w:szCs w:val="20"/>
                <w:color w:val="auto"/>
              </w:rPr>
            </w:pPr>
            <w:r>
              <w:rPr>
                <w:rFonts w:ascii="Arial" w:cs="Arial" w:eastAsia="Arial" w:hAnsi="Arial"/>
                <w:sz w:val="14"/>
                <w:szCs w:val="14"/>
                <w:color w:val="auto"/>
              </w:rPr>
              <w:t>Three Months Ended</w:t>
            </w:r>
          </w:p>
        </w:tc>
        <w:tc>
          <w:tcPr>
            <w:tcW w:w="2500" w:type="dxa"/>
            <w:vAlign w:val="bottom"/>
            <w:gridSpan w:val="4"/>
          </w:tcPr>
          <w:p>
            <w:pPr>
              <w:jc w:val="right"/>
              <w:ind w:right="670"/>
              <w:spacing w:after="0"/>
              <w:rPr>
                <w:sz w:val="20"/>
                <w:szCs w:val="20"/>
                <w:color w:val="auto"/>
              </w:rPr>
            </w:pPr>
            <w:r>
              <w:rPr>
                <w:rFonts w:ascii="Arial" w:cs="Arial" w:eastAsia="Arial" w:hAnsi="Arial"/>
                <w:sz w:val="14"/>
                <w:szCs w:val="14"/>
                <w:color w:val="auto"/>
              </w:rPr>
              <w:t>Six Months Ended</w:t>
            </w:r>
          </w:p>
        </w:tc>
      </w:tr>
      <w:tr>
        <w:trPr>
          <w:trHeight w:val="177"/>
        </w:trPr>
        <w:tc>
          <w:tcPr>
            <w:tcW w:w="3660" w:type="dxa"/>
            <w:vAlign w:val="bottom"/>
          </w:tcPr>
          <w:p>
            <w:pPr>
              <w:spacing w:after="0"/>
              <w:rPr>
                <w:sz w:val="15"/>
                <w:szCs w:val="15"/>
                <w:color w:val="auto"/>
              </w:rPr>
            </w:pPr>
          </w:p>
        </w:tc>
        <w:tc>
          <w:tcPr>
            <w:tcW w:w="154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color w:val="auto"/>
              </w:rPr>
              <w:t>June 30</w:t>
            </w: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Borders>
              <w:bottom w:val="single" w:sz="8" w:color="auto"/>
            </w:tcBorders>
            <w:gridSpan w:val="3"/>
          </w:tcPr>
          <w:p>
            <w:pPr>
              <w:ind w:left="1040"/>
              <w:spacing w:after="0"/>
              <w:rPr>
                <w:sz w:val="20"/>
                <w:szCs w:val="20"/>
                <w:color w:val="auto"/>
              </w:rPr>
            </w:pPr>
            <w:r>
              <w:rPr>
                <w:rFonts w:ascii="Arial" w:cs="Arial" w:eastAsia="Arial" w:hAnsi="Arial"/>
                <w:sz w:val="14"/>
                <w:szCs w:val="14"/>
                <w:color w:val="auto"/>
              </w:rPr>
              <w:t>June 30</w:t>
            </w:r>
          </w:p>
        </w:tc>
        <w:tc>
          <w:tcPr>
            <w:tcW w:w="900" w:type="dxa"/>
            <w:vAlign w:val="bottom"/>
            <w:tcBorders>
              <w:bottom w:val="single" w:sz="8" w:color="auto"/>
            </w:tcBorders>
          </w:tcPr>
          <w:p>
            <w:pPr>
              <w:spacing w:after="0"/>
              <w:rPr>
                <w:sz w:val="15"/>
                <w:szCs w:val="15"/>
                <w:color w:val="auto"/>
              </w:rPr>
            </w:pPr>
          </w:p>
        </w:tc>
      </w:tr>
      <w:tr>
        <w:trPr>
          <w:trHeight w:val="244"/>
        </w:trPr>
        <w:tc>
          <w:tcPr>
            <w:tcW w:w="366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2019</w:t>
            </w:r>
          </w:p>
        </w:tc>
        <w:tc>
          <w:tcPr>
            <w:tcW w:w="1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2019</w:t>
            </w:r>
          </w:p>
        </w:tc>
      </w:tr>
      <w:tr>
        <w:trPr>
          <w:trHeight w:val="24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mortuary and cemetery sales</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$ 4,700,778</w:t>
            </w: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$ 4,000,730</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$ 9,158,869</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$ 7,679,358</w:t>
            </w:r>
          </w:p>
        </w:tc>
      </w:tr>
      <w:tr>
        <w:trPr>
          <w:trHeight w:val="264"/>
        </w:trPr>
        <w:tc>
          <w:tcPr>
            <w:tcW w:w="3660" w:type="dxa"/>
            <w:vAlign w:val="bottom"/>
          </w:tcPr>
          <w:p>
            <w:pPr>
              <w:ind w:left="20"/>
              <w:spacing w:after="0"/>
              <w:rPr>
                <w:sz w:val="20"/>
                <w:szCs w:val="20"/>
                <w:color w:val="auto"/>
              </w:rPr>
            </w:pPr>
            <w:r>
              <w:rPr>
                <w:rFonts w:ascii="Arial" w:cs="Arial" w:eastAsia="Arial" w:hAnsi="Arial"/>
                <w:sz w:val="14"/>
                <w:szCs w:val="14"/>
                <w:color w:val="auto"/>
              </w:rPr>
              <w:t>Gains (losses) on investments and other assets</w:t>
            </w:r>
          </w:p>
        </w:tc>
        <w:tc>
          <w:tcPr>
            <w:tcW w:w="1140" w:type="dxa"/>
            <w:vAlign w:val="bottom"/>
          </w:tcPr>
          <w:p>
            <w:pPr>
              <w:jc w:val="right"/>
              <w:spacing w:after="0"/>
              <w:rPr>
                <w:sz w:val="20"/>
                <w:szCs w:val="20"/>
                <w:color w:val="auto"/>
              </w:rPr>
            </w:pPr>
            <w:r>
              <w:rPr>
                <w:rFonts w:ascii="Arial" w:cs="Arial" w:eastAsia="Arial" w:hAnsi="Arial"/>
                <w:sz w:val="14"/>
                <w:szCs w:val="14"/>
                <w:color w:val="auto"/>
              </w:rPr>
              <w:t>482,383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354,500</w:t>
            </w:r>
          </w:p>
        </w:tc>
        <w:tc>
          <w:tcPr>
            <w:tcW w:w="1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(177,740)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853,097</w:t>
            </w:r>
          </w:p>
        </w:tc>
      </w:tr>
      <w:tr>
        <w:trPr>
          <w:trHeight w:val="264"/>
        </w:trPr>
        <w:tc>
          <w:tcPr>
            <w:tcW w:w="3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investment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71,647</w:t>
            </w:r>
          </w:p>
        </w:tc>
        <w:tc>
          <w:tcPr>
            <w:tcW w:w="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162,562</w:t>
            </w: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276,493</w:t>
            </w:r>
          </w:p>
        </w:tc>
        <w:tc>
          <w:tcPr>
            <w:tcW w:w="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275,371</w:t>
            </w:r>
          </w:p>
        </w:tc>
      </w:tr>
      <w:tr>
        <w:trPr>
          <w:trHeight w:val="264"/>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51,497</w:t>
            </w:r>
          </w:p>
        </w:tc>
        <w:tc>
          <w:tcPr>
            <w:tcW w:w="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25,215</w:t>
            </w:r>
          </w:p>
        </w:tc>
        <w:tc>
          <w:tcPr>
            <w:tcW w:w="18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62,379</w:t>
            </w:r>
          </w:p>
        </w:tc>
        <w:tc>
          <w:tcPr>
            <w:tcW w:w="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94,466</w:t>
            </w: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5,306,305</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4,543,007</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9,320,001</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8,902,292</w:t>
            </w:r>
          </w:p>
        </w:tc>
      </w:tr>
      <w:tr>
        <w:trPr>
          <w:trHeight w:val="20"/>
        </w:trPr>
        <w:tc>
          <w:tcPr>
            <w:tcW w:w="3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ind w:right="396"/>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51" w:name="page52"/>
    <w:bookmarkEnd w:id="51"/>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210" w:lineRule="exact"/>
        <w:rPr>
          <w:sz w:val="20"/>
          <w:szCs w:val="20"/>
          <w:color w:val="auto"/>
        </w:rPr>
      </w:pPr>
    </w:p>
    <w:p>
      <w:pPr>
        <w:ind w:left="303" w:hanging="303"/>
        <w:spacing w:after="0"/>
        <w:tabs>
          <w:tab w:leader="none" w:pos="303"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Acquisitions</w:t>
      </w:r>
    </w:p>
    <w:p>
      <w:pPr>
        <w:spacing w:after="0" w:line="224"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Probst Family Funerals and Cremations and Heber Valley Funeral Home</w:t>
      </w:r>
    </w:p>
    <w:p>
      <w:pPr>
        <w:spacing w:after="0" w:line="236" w:lineRule="exact"/>
        <w:rPr>
          <w:sz w:val="20"/>
          <w:szCs w:val="20"/>
          <w:color w:val="auto"/>
        </w:rPr>
      </w:pPr>
    </w:p>
    <w:p>
      <w:pPr>
        <w:jc w:val="both"/>
        <w:ind w:left="3" w:right="379"/>
        <w:spacing w:after="0" w:line="275" w:lineRule="auto"/>
        <w:rPr>
          <w:sz w:val="20"/>
          <w:szCs w:val="20"/>
          <w:color w:val="auto"/>
        </w:rPr>
      </w:pPr>
      <w:r>
        <w:rPr>
          <w:rFonts w:ascii="Arial" w:cs="Arial" w:eastAsia="Arial" w:hAnsi="Arial"/>
          <w:sz w:val="18"/>
          <w:szCs w:val="18"/>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w:t>
      </w:r>
    </w:p>
    <w:p>
      <w:pPr>
        <w:spacing w:after="0" w:line="174" w:lineRule="exact"/>
        <w:rPr>
          <w:sz w:val="20"/>
          <w:szCs w:val="20"/>
          <w:color w:val="auto"/>
        </w:rPr>
      </w:pPr>
    </w:p>
    <w:p>
      <w:pPr>
        <w:jc w:val="both"/>
        <w:ind w:left="3" w:right="399"/>
        <w:spacing w:after="0" w:line="256" w:lineRule="auto"/>
        <w:rPr>
          <w:sz w:val="20"/>
          <w:szCs w:val="20"/>
          <w:color w:val="auto"/>
        </w:rPr>
      </w:pPr>
      <w:r>
        <w:rPr>
          <w:rFonts w:ascii="Arial" w:cs="Arial" w:eastAsia="Arial" w:hAnsi="Arial"/>
          <w:sz w:val="19"/>
          <w:szCs w:val="19"/>
          <w:color w:val="auto"/>
        </w:rPr>
        <w:t>Under the terms of the transaction, as set forth in the Asset Purchase Agreement, dated February 15, 2019, Memorial Mortuary Inc. paid a net purchase price of $3,315,647 for the business and assets of Probst Family Funerals and Heber Valley Funeral Home, subject to a $150,000 holdback. In August 2019, this escrow account was settled and $137,550 was paid to the prior owners.</w:t>
      </w:r>
    </w:p>
    <w:p>
      <w:pPr>
        <w:spacing w:after="0" w:line="190" w:lineRule="exact"/>
        <w:rPr>
          <w:sz w:val="20"/>
          <w:szCs w:val="20"/>
          <w:color w:val="auto"/>
        </w:rPr>
      </w:pPr>
    </w:p>
    <w:p>
      <w:pPr>
        <w:jc w:val="both"/>
        <w:ind w:left="3" w:right="399"/>
        <w:spacing w:after="0" w:line="277" w:lineRule="auto"/>
        <w:rPr>
          <w:sz w:val="20"/>
          <w:szCs w:val="20"/>
          <w:color w:val="auto"/>
        </w:rPr>
      </w:pPr>
      <w:r>
        <w:rPr>
          <w:rFonts w:ascii="Arial" w:cs="Arial" w:eastAsia="Arial" w:hAnsi="Arial"/>
          <w:sz w:val="19"/>
          <w:szCs w:val="19"/>
          <w:color w:val="auto"/>
        </w:rPr>
        <w:t>The estimated fair values of the assets acquired and liabilities assumed as of the date of acquisition were as follows:</w:t>
      </w:r>
    </w:p>
    <w:p>
      <w:pPr>
        <w:spacing w:after="0" w:line="80" w:lineRule="exact"/>
        <w:rPr>
          <w:sz w:val="20"/>
          <w:szCs w:val="20"/>
          <w:color w:val="auto"/>
        </w:rPr>
      </w:pPr>
    </w:p>
    <w:tbl>
      <w:tblPr>
        <w:tblLayout w:type="fixed"/>
        <w:tblInd w:w="3" w:type="dxa"/>
        <w:tblCellMar>
          <w:top w:w="0" w:type="dxa"/>
          <w:left w:w="0" w:type="dxa"/>
          <w:bottom w:w="0" w:type="dxa"/>
          <w:right w:w="0" w:type="dxa"/>
        </w:tblCellMar>
      </w:tblPr>
      <w:tr>
        <w:trPr>
          <w:trHeight w:val="26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53,859</w:t>
            </w:r>
          </w:p>
        </w:tc>
        <w:tc>
          <w:tcPr>
            <w:tcW w:w="3700" w:type="dxa"/>
            <w:vAlign w:val="bottom"/>
          </w:tcPr>
          <w:p>
            <w:pPr>
              <w:spacing w:after="0"/>
              <w:rPr>
                <w:sz w:val="22"/>
                <w:szCs w:val="22"/>
                <w:color w:val="auto"/>
              </w:rPr>
            </w:pPr>
          </w:p>
        </w:tc>
      </w:tr>
      <w:tr>
        <w:trPr>
          <w:trHeight w:val="264"/>
        </w:trPr>
        <w:tc>
          <w:tcPr>
            <w:tcW w:w="4140" w:type="dxa"/>
            <w:vAlign w:val="bottom"/>
          </w:tcPr>
          <w:p>
            <w:pPr>
              <w:ind w:left="20"/>
              <w:spacing w:after="0"/>
              <w:rPr>
                <w:sz w:val="20"/>
                <w:szCs w:val="20"/>
                <w:color w:val="auto"/>
              </w:rPr>
            </w:pPr>
            <w:r>
              <w:rPr>
                <w:rFonts w:ascii="Arial" w:cs="Arial" w:eastAsia="Arial" w:hAnsi="Arial"/>
                <w:sz w:val="14"/>
                <w:szCs w:val="14"/>
                <w:color w:val="auto"/>
              </w:rPr>
              <w:t>Property and equipment</w:t>
            </w:r>
          </w:p>
        </w:tc>
        <w:tc>
          <w:tcPr>
            <w:tcW w:w="1040" w:type="dxa"/>
            <w:vAlign w:val="bottom"/>
          </w:tcPr>
          <w:p>
            <w:pPr>
              <w:jc w:val="right"/>
              <w:spacing w:after="0"/>
              <w:rPr>
                <w:sz w:val="20"/>
                <w:szCs w:val="20"/>
                <w:color w:val="auto"/>
              </w:rPr>
            </w:pPr>
            <w:r>
              <w:rPr>
                <w:rFonts w:ascii="Arial" w:cs="Arial" w:eastAsia="Arial" w:hAnsi="Arial"/>
                <w:sz w:val="14"/>
                <w:szCs w:val="14"/>
                <w:color w:val="auto"/>
              </w:rPr>
              <w:t>2,475,526</w:t>
            </w:r>
          </w:p>
        </w:tc>
        <w:tc>
          <w:tcPr>
            <w:tcW w:w="3700" w:type="dxa"/>
            <w:vAlign w:val="bottom"/>
          </w:tcPr>
          <w:p>
            <w:pPr>
              <w:spacing w:after="0"/>
              <w:rPr>
                <w:sz w:val="22"/>
                <w:szCs w:val="22"/>
                <w:color w:val="auto"/>
              </w:rPr>
            </w:pPr>
          </w:p>
        </w:tc>
      </w:tr>
      <w:tr>
        <w:trPr>
          <w:trHeight w:val="26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Receivables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13,620</w:t>
            </w:r>
          </w:p>
        </w:tc>
        <w:tc>
          <w:tcPr>
            <w:tcW w:w="3700" w:type="dxa"/>
            <w:vAlign w:val="bottom"/>
          </w:tcPr>
          <w:p>
            <w:pPr>
              <w:spacing w:after="0"/>
              <w:rPr>
                <w:sz w:val="22"/>
                <w:szCs w:val="22"/>
                <w:color w:val="auto"/>
              </w:rPr>
            </w:pPr>
          </w:p>
        </w:tc>
      </w:tr>
      <w:tr>
        <w:trPr>
          <w:trHeight w:val="264"/>
        </w:trPr>
        <w:tc>
          <w:tcPr>
            <w:tcW w:w="4140" w:type="dxa"/>
            <w:vAlign w:val="bottom"/>
          </w:tcPr>
          <w:p>
            <w:pPr>
              <w:ind w:left="20"/>
              <w:spacing w:after="0"/>
              <w:rPr>
                <w:sz w:val="20"/>
                <w:szCs w:val="20"/>
                <w:color w:val="auto"/>
              </w:rPr>
            </w:pPr>
            <w:r>
              <w:rPr>
                <w:rFonts w:ascii="Arial" w:cs="Arial" w:eastAsia="Arial" w:hAnsi="Arial"/>
                <w:sz w:val="14"/>
                <w:szCs w:val="14"/>
                <w:color w:val="auto"/>
              </w:rPr>
              <w:t>Goodwill</w:t>
            </w:r>
          </w:p>
        </w:tc>
        <w:tc>
          <w:tcPr>
            <w:tcW w:w="1040" w:type="dxa"/>
            <w:vAlign w:val="bottom"/>
          </w:tcPr>
          <w:p>
            <w:pPr>
              <w:jc w:val="right"/>
              <w:spacing w:after="0"/>
              <w:rPr>
                <w:sz w:val="20"/>
                <w:szCs w:val="20"/>
                <w:color w:val="auto"/>
              </w:rPr>
            </w:pPr>
            <w:r>
              <w:rPr>
                <w:rFonts w:ascii="Arial" w:cs="Arial" w:eastAsia="Arial" w:hAnsi="Arial"/>
                <w:sz w:val="14"/>
                <w:szCs w:val="14"/>
                <w:color w:val="auto"/>
              </w:rPr>
              <w:t>754,018</w:t>
            </w:r>
          </w:p>
        </w:tc>
        <w:tc>
          <w:tcPr>
            <w:tcW w:w="3700" w:type="dxa"/>
            <w:vAlign w:val="bottom"/>
          </w:tcPr>
          <w:p>
            <w:pPr>
              <w:spacing w:after="0"/>
              <w:rPr>
                <w:sz w:val="22"/>
                <w:szCs w:val="22"/>
                <w:color w:val="auto"/>
              </w:rPr>
            </w:pPr>
          </w:p>
        </w:tc>
      </w:tr>
      <w:tr>
        <w:trPr>
          <w:trHeight w:val="26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21,800</w:t>
            </w:r>
          </w:p>
        </w:tc>
        <w:tc>
          <w:tcPr>
            <w:tcW w:w="3700" w:type="dxa"/>
            <w:vAlign w:val="bottom"/>
          </w:tcPr>
          <w:p>
            <w:pPr>
              <w:spacing w:after="0"/>
              <w:rPr>
                <w:sz w:val="22"/>
                <w:szCs w:val="22"/>
                <w:color w:val="auto"/>
              </w:rPr>
            </w:pPr>
          </w:p>
        </w:tc>
      </w:tr>
      <w:tr>
        <w:trPr>
          <w:trHeight w:val="244"/>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assets acquired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3,318,823</w:t>
            </w:r>
          </w:p>
        </w:tc>
        <w:tc>
          <w:tcPr>
            <w:tcW w:w="3700" w:type="dxa"/>
            <w:vAlign w:val="bottom"/>
          </w:tcPr>
          <w:p>
            <w:pPr>
              <w:spacing w:after="0"/>
              <w:rPr>
                <w:sz w:val="21"/>
                <w:szCs w:val="21"/>
                <w:color w:val="auto"/>
              </w:rPr>
            </w:pPr>
          </w:p>
        </w:tc>
      </w:tr>
      <w:tr>
        <w:trPr>
          <w:trHeight w:val="165"/>
        </w:trPr>
        <w:tc>
          <w:tcPr>
            <w:tcW w:w="4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3700" w:type="dxa"/>
            <w:vAlign w:val="bottom"/>
          </w:tcPr>
          <w:p>
            <w:pPr>
              <w:spacing w:after="0"/>
              <w:rPr>
                <w:sz w:val="14"/>
                <w:szCs w:val="14"/>
                <w:color w:val="auto"/>
              </w:rPr>
            </w:pPr>
          </w:p>
        </w:tc>
      </w:tr>
      <w:tr>
        <w:trPr>
          <w:trHeight w:val="264"/>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Bank and other loans payable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(3,176)</w:t>
            </w:r>
          </w:p>
        </w:tc>
        <w:tc>
          <w:tcPr>
            <w:tcW w:w="3700" w:type="dxa"/>
            <w:vAlign w:val="bottom"/>
          </w:tcPr>
          <w:p>
            <w:pPr>
              <w:spacing w:after="0"/>
              <w:rPr>
                <w:sz w:val="22"/>
                <w:szCs w:val="22"/>
                <w:color w:val="auto"/>
              </w:rPr>
            </w:pPr>
          </w:p>
        </w:tc>
      </w:tr>
      <w:tr>
        <w:trPr>
          <w:trHeight w:val="244"/>
        </w:trPr>
        <w:tc>
          <w:tcPr>
            <w:tcW w:w="4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 assumed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(3,176)</w:t>
            </w:r>
          </w:p>
        </w:tc>
        <w:tc>
          <w:tcPr>
            <w:tcW w:w="3700" w:type="dxa"/>
            <w:vAlign w:val="bottom"/>
          </w:tcPr>
          <w:p>
            <w:pPr>
              <w:spacing w:after="0"/>
              <w:rPr>
                <w:sz w:val="21"/>
                <w:szCs w:val="21"/>
                <w:color w:val="auto"/>
              </w:rPr>
            </w:pPr>
          </w:p>
        </w:tc>
      </w:tr>
      <w:tr>
        <w:trPr>
          <w:trHeight w:val="244"/>
        </w:trPr>
        <w:tc>
          <w:tcPr>
            <w:tcW w:w="4140" w:type="dxa"/>
            <w:vAlign w:val="bottom"/>
          </w:tcPr>
          <w:p>
            <w:pPr>
              <w:ind w:left="20"/>
              <w:spacing w:after="0"/>
              <w:rPr>
                <w:sz w:val="20"/>
                <w:szCs w:val="20"/>
                <w:color w:val="auto"/>
              </w:rPr>
            </w:pPr>
            <w:r>
              <w:rPr>
                <w:rFonts w:ascii="Arial" w:cs="Arial" w:eastAsia="Arial" w:hAnsi="Arial"/>
                <w:sz w:val="14"/>
                <w:szCs w:val="14"/>
                <w:color w:val="auto"/>
              </w:rPr>
              <w:t>Fair value of net assets acquired/consideration paid</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$ 3,315,647</w:t>
            </w:r>
          </w:p>
        </w:tc>
        <w:tc>
          <w:tcPr>
            <w:tcW w:w="3700" w:type="dxa"/>
            <w:vAlign w:val="bottom"/>
          </w:tcPr>
          <w:p>
            <w:pPr>
              <w:spacing w:after="0"/>
              <w:rPr>
                <w:sz w:val="21"/>
                <w:szCs w:val="2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47"/>
        </w:trPr>
        <w:tc>
          <w:tcPr>
            <w:tcW w:w="4140" w:type="dxa"/>
            <w:vAlign w:val="bottom"/>
          </w:tcPr>
          <w:p>
            <w:pPr>
              <w:spacing w:after="0"/>
              <w:rPr>
                <w:sz w:val="24"/>
                <w:szCs w:val="24"/>
                <w:color w:val="auto"/>
              </w:rPr>
            </w:pPr>
          </w:p>
        </w:tc>
        <w:tc>
          <w:tcPr>
            <w:tcW w:w="1040" w:type="dxa"/>
            <w:vAlign w:val="bottom"/>
          </w:tcPr>
          <w:p>
            <w:pPr>
              <w:jc w:val="right"/>
              <w:ind w:right="567"/>
              <w:spacing w:after="0"/>
              <w:rPr>
                <w:sz w:val="20"/>
                <w:szCs w:val="20"/>
                <w:color w:val="auto"/>
              </w:rPr>
            </w:pPr>
            <w:r>
              <w:rPr>
                <w:rFonts w:ascii="Arial" w:cs="Arial" w:eastAsia="Arial" w:hAnsi="Arial"/>
                <w:sz w:val="19"/>
                <w:szCs w:val="19"/>
                <w:color w:val="auto"/>
              </w:rPr>
              <w:t>52</w:t>
            </w:r>
          </w:p>
        </w:tc>
        <w:tc>
          <w:tcPr>
            <w:tcW w:w="3700" w:type="dxa"/>
            <w:vAlign w:val="bottom"/>
          </w:tcPr>
          <w:p>
            <w:pPr>
              <w:spacing w:after="0"/>
              <w:rPr>
                <w:sz w:val="24"/>
                <w:szCs w:val="24"/>
                <w:color w:val="auto"/>
              </w:rPr>
            </w:pPr>
          </w:p>
        </w:tc>
      </w:tr>
      <w:tr>
        <w:trPr>
          <w:trHeight w:val="173"/>
        </w:trPr>
        <w:tc>
          <w:tcPr>
            <w:tcW w:w="4140" w:type="dxa"/>
            <w:vAlign w:val="bottom"/>
            <w:tcBorders>
              <w:bottom w:val="single" w:sz="8" w:color="909090"/>
            </w:tcBorders>
          </w:tcPr>
          <w:p>
            <w:pPr>
              <w:spacing w:after="0"/>
              <w:rPr>
                <w:sz w:val="15"/>
                <w:szCs w:val="15"/>
                <w:color w:val="auto"/>
              </w:rPr>
            </w:pPr>
          </w:p>
        </w:tc>
        <w:tc>
          <w:tcPr>
            <w:tcW w:w="1040" w:type="dxa"/>
            <w:vAlign w:val="bottom"/>
            <w:tcBorders>
              <w:bottom w:val="single" w:sz="8" w:color="909090"/>
            </w:tcBorders>
          </w:tcPr>
          <w:p>
            <w:pPr>
              <w:spacing w:after="0"/>
              <w:rPr>
                <w:sz w:val="15"/>
                <w:szCs w:val="15"/>
                <w:color w:val="auto"/>
              </w:rPr>
            </w:pPr>
          </w:p>
        </w:tc>
        <w:tc>
          <w:tcPr>
            <w:tcW w:w="3700" w:type="dxa"/>
            <w:vAlign w:val="bottom"/>
            <w:tcBorders>
              <w:bottom w:val="single" w:sz="8" w:color="909090"/>
            </w:tcBorders>
          </w:tcPr>
          <w:p>
            <w:pPr>
              <w:spacing w:after="0"/>
              <w:rPr>
                <w:sz w:val="15"/>
                <w:szCs w:val="15"/>
                <w:color w:val="auto"/>
              </w:rPr>
            </w:pPr>
          </w:p>
        </w:tc>
      </w:tr>
    </w:tbl>
    <w:p>
      <w:pPr>
        <w:sectPr>
          <w:pgSz w:w="11900" w:h="16838" w:orient="portrait"/>
          <w:cols w:equalWidth="0" w:num="1">
            <w:col w:w="9262"/>
          </w:cols>
          <w:pgMar w:left="1197" w:top="122" w:right="1440" w:bottom="1440" w:gutter="0" w:footer="0" w:header="0"/>
        </w:sectPr>
      </w:pPr>
    </w:p>
    <w:bookmarkStart w:id="52" w:name="page53"/>
    <w:bookmarkEnd w:id="52"/>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303" w:hanging="303"/>
        <w:spacing w:after="0"/>
        <w:tabs>
          <w:tab w:leader="none" w:pos="303"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Acquisitions</w:t>
      </w:r>
      <w:r>
        <w:rPr>
          <w:rFonts w:ascii="Arial" w:cs="Arial" w:eastAsia="Arial" w:hAnsi="Arial"/>
          <w:sz w:val="19"/>
          <w:szCs w:val="19"/>
          <w:color w:val="auto"/>
        </w:rPr>
        <w:t xml:space="preserve"> (Continued)</w:t>
      </w:r>
    </w:p>
    <w:p>
      <w:pPr>
        <w:spacing w:after="0" w:line="251"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Kilpatrick Life Insurance Company</w:t>
      </w:r>
    </w:p>
    <w:p>
      <w:pPr>
        <w:spacing w:after="0" w:line="131" w:lineRule="exact"/>
        <w:rPr>
          <w:sz w:val="20"/>
          <w:szCs w:val="20"/>
          <w:color w:val="auto"/>
        </w:rPr>
      </w:pPr>
    </w:p>
    <w:p>
      <w:pPr>
        <w:jc w:val="both"/>
        <w:ind w:left="3" w:right="399"/>
        <w:spacing w:after="0" w:line="266" w:lineRule="auto"/>
        <w:rPr>
          <w:sz w:val="20"/>
          <w:szCs w:val="20"/>
          <w:color w:val="auto"/>
        </w:rPr>
      </w:pPr>
      <w:r>
        <w:rPr>
          <w:rFonts w:ascii="Arial" w:cs="Arial" w:eastAsia="Arial" w:hAnsi="Arial"/>
          <w:sz w:val="18"/>
          <w:szCs w:val="18"/>
          <w:color w:val="auto"/>
        </w:rPr>
        <w:t>On December 13, 2019, the Company, through its wholly owned subsidiary, Security National Life Insurance Company (“Security National Life”) completed a stock purchase transaction with Kilpatrick Life Insurance Company, a Louisiana domiciled life insurance company (“Kilpatrick Life”) and its shareholders, which resulted in the purchase of all the outstanding shares of common stock of Kilpatrick Life. The closing of the transaction was subject to approval by the Louisiana Department of Insurance of the change of control of Kilpatrick Life, which was received on December 12, 2019. Under the terms of the transaction, the total Purchase Price that Security National Life paid for all the shares held by the Kilpatrick shareholders was $23,779,940 subject to a $1,400,000 holdback, as agreed with the shareholders.</w:t>
      </w:r>
    </w:p>
    <w:p>
      <w:pPr>
        <w:spacing w:after="0" w:line="185" w:lineRule="exact"/>
        <w:rPr>
          <w:sz w:val="20"/>
          <w:szCs w:val="20"/>
          <w:color w:val="auto"/>
        </w:rPr>
      </w:pPr>
    </w:p>
    <w:p>
      <w:pPr>
        <w:jc w:val="both"/>
        <w:ind w:left="3" w:right="379"/>
        <w:spacing w:after="0" w:line="229" w:lineRule="exact"/>
        <w:rPr>
          <w:sz w:val="20"/>
          <w:szCs w:val="20"/>
          <w:color w:val="auto"/>
        </w:rPr>
      </w:pPr>
      <w:r>
        <w:rPr>
          <w:rFonts w:ascii="Arial" w:cs="Arial" w:eastAsia="Arial" w:hAnsi="Arial"/>
          <w:sz w:val="19"/>
          <w:szCs w:val="19"/>
          <w:color w:val="auto"/>
        </w:rPr>
        <w:t>Kilpatrick Life has been in operation since 1932 and provides life insurance products and services through insurance plans such as permanent and term life insurance, asset protection plans, graded whole life insurance, and annuities. Additionally, it provides insurance services for emergencies and pre</w:t>
      </w:r>
      <w:r>
        <w:rPr>
          <w:rFonts w:ascii="MS PGothic" w:cs="MS PGothic" w:eastAsia="MS PGothic" w:hAnsi="MS PGothic"/>
          <w:sz w:val="19"/>
          <w:szCs w:val="19"/>
          <w:color w:val="auto"/>
        </w:rPr>
        <w:t>‐</w:t>
      </w:r>
      <w:r>
        <w:rPr>
          <w:rFonts w:ascii="Arial" w:cs="Arial" w:eastAsia="Arial" w:hAnsi="Arial"/>
          <w:sz w:val="19"/>
          <w:szCs w:val="19"/>
          <w:color w:val="auto"/>
        </w:rPr>
        <w:t>arranged funeral services. Kilpatrick Life is based in Shreveport, Louisiana with additional offices in Jena, Alexandria, Minden, and Arcadia, Louisiana.</w:t>
      </w:r>
    </w:p>
    <w:p>
      <w:pPr>
        <w:spacing w:after="0" w:line="204" w:lineRule="exact"/>
        <w:rPr>
          <w:sz w:val="20"/>
          <w:szCs w:val="20"/>
          <w:color w:val="auto"/>
        </w:rPr>
      </w:pPr>
    </w:p>
    <w:p>
      <w:pPr>
        <w:jc w:val="both"/>
        <w:ind w:left="3" w:right="399"/>
        <w:spacing w:after="0" w:line="256" w:lineRule="auto"/>
        <w:rPr>
          <w:sz w:val="20"/>
          <w:szCs w:val="20"/>
          <w:color w:val="auto"/>
        </w:rPr>
      </w:pPr>
      <w:r>
        <w:rPr>
          <w:rFonts w:ascii="Arial" w:cs="Arial" w:eastAsia="Arial" w:hAnsi="Arial"/>
          <w:sz w:val="19"/>
          <w:szCs w:val="19"/>
          <w:color w:val="auto"/>
        </w:rPr>
        <w:t>Kilpatrick Life employs a staff of almost 120 associates in four offices in Louisiana and is licensed to operate in Louisiana, Texas, Arkansas, Oklahoma, and Mississippi with the home office located in Shreveport, LA. It is the mission of Kilpatrick Life to continue providing the utmost service and protection for its policyholders for generations to come.</w:t>
      </w:r>
    </w:p>
    <w:p>
      <w:pPr>
        <w:spacing w:after="0" w:line="190" w:lineRule="exact"/>
        <w:rPr>
          <w:sz w:val="20"/>
          <w:szCs w:val="20"/>
          <w:color w:val="auto"/>
        </w:rPr>
      </w:pPr>
    </w:p>
    <w:p>
      <w:pPr>
        <w:jc w:val="both"/>
        <w:ind w:left="3" w:right="399"/>
        <w:spacing w:after="0" w:line="269" w:lineRule="auto"/>
        <w:rPr>
          <w:sz w:val="20"/>
          <w:szCs w:val="20"/>
          <w:color w:val="auto"/>
        </w:rPr>
      </w:pPr>
      <w:r>
        <w:rPr>
          <w:rFonts w:ascii="Arial" w:cs="Arial" w:eastAsia="Arial" w:hAnsi="Arial"/>
          <w:sz w:val="18"/>
          <w:szCs w:val="18"/>
          <w:color w:val="auto"/>
        </w:rPr>
        <w:t>Prior to the stock purchase transaction, Security National life and Kilpatrick Life entered into a coinsurance agreement, effective October 1, 2019. After the effective date, Security National Life, as coinsurer, agreed to be responsible for and was obligated with respect to 100% of the contractual liabilities under the Kilpatrick Life’s life insurance policies in accordance with the terms and conditions of the policies and applicable law. Unless otherwise directed by Security National Life, as coinsurer, Kilpatrick Life continued to administer the policies on behalf of Security National Life, as coinsurer, for the duration of the coinsurance agreement.</w:t>
      </w:r>
    </w:p>
    <w:p>
      <w:pPr>
        <w:spacing w:after="0" w:line="179" w:lineRule="exact"/>
        <w:rPr>
          <w:sz w:val="20"/>
          <w:szCs w:val="20"/>
          <w:color w:val="auto"/>
        </w:rPr>
      </w:pPr>
    </w:p>
    <w:p>
      <w:pPr>
        <w:jc w:val="both"/>
        <w:ind w:left="3" w:right="399"/>
        <w:spacing w:after="0" w:line="277" w:lineRule="auto"/>
        <w:rPr>
          <w:sz w:val="20"/>
          <w:szCs w:val="20"/>
          <w:color w:val="auto"/>
        </w:rPr>
      </w:pPr>
      <w:r>
        <w:rPr>
          <w:rFonts w:ascii="Arial" w:cs="Arial" w:eastAsia="Arial" w:hAnsi="Arial"/>
          <w:sz w:val="19"/>
          <w:szCs w:val="19"/>
          <w:color w:val="auto"/>
        </w:rPr>
        <w:t>As part of the coinsurance agreement, effective October 1, 2019, Security National Life acquired the following assets and assumed the following contractual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3462655" cy="167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62655" cy="167640"/>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p>
      <w:pPr>
        <w:spacing w:after="0" w:line="273" w:lineRule="exact"/>
        <w:rPr>
          <w:sz w:val="20"/>
          <w:szCs w:val="20"/>
          <w:color w:val="auto"/>
        </w:rPr>
      </w:pPr>
    </w:p>
    <w:p>
      <w:pPr>
        <w:ind w:left="23"/>
        <w:spacing w:after="0"/>
        <w:rPr>
          <w:sz w:val="20"/>
          <w:szCs w:val="20"/>
          <w:color w:val="auto"/>
        </w:rPr>
      </w:pPr>
      <w:r>
        <w:rPr>
          <w:rFonts w:ascii="Arial" w:cs="Arial" w:eastAsia="Arial" w:hAnsi="Arial"/>
          <w:sz w:val="14"/>
          <w:szCs w:val="14"/>
          <w:color w:val="auto"/>
        </w:rPr>
        <w:t>Other investments and policy loans</w:t>
      </w:r>
    </w:p>
    <w:p>
      <w:pPr>
        <w:spacing w:after="0" w:line="103" w:lineRule="exact"/>
        <w:rPr>
          <w:sz w:val="20"/>
          <w:szCs w:val="20"/>
          <w:color w:val="auto"/>
        </w:rPr>
      </w:pPr>
    </w:p>
    <w:p>
      <w:pPr>
        <w:ind w:left="23"/>
        <w:spacing w:after="0"/>
        <w:rPr>
          <w:sz w:val="20"/>
          <w:szCs w:val="20"/>
          <w:color w:val="auto"/>
        </w:rPr>
      </w:pPr>
      <w:r>
        <w:rPr>
          <w:rFonts w:ascii="Arial" w:cs="Arial" w:eastAsia="Arial" w:hAnsi="Arial"/>
          <w:sz w:val="14"/>
          <w:szCs w:val="14"/>
          <w:color w:val="auto"/>
        </w:rPr>
        <w:t>Real estate held for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3462655" cy="167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62655" cy="167640"/>
                    </a:xfrm>
                    <a:prstGeom prst="rect">
                      <a:avLst/>
                    </a:prstGeom>
                    <a:noFill/>
                  </pic:spPr>
                </pic:pic>
              </a:graphicData>
            </a:graphic>
          </wp:anchor>
        </w:drawing>
      </w:r>
    </w:p>
    <w:p>
      <w:pPr>
        <w:spacing w:after="0" w:line="83" w:lineRule="exact"/>
        <w:rPr>
          <w:sz w:val="20"/>
          <w:szCs w:val="20"/>
          <w:color w:val="auto"/>
        </w:rPr>
      </w:pPr>
    </w:p>
    <w:p>
      <w:pPr>
        <w:ind w:left="23"/>
        <w:spacing w:after="0"/>
        <w:rPr>
          <w:sz w:val="20"/>
          <w:szCs w:val="20"/>
          <w:color w:val="auto"/>
        </w:rPr>
      </w:pPr>
      <w:r>
        <w:rPr>
          <w:rFonts w:ascii="Arial" w:cs="Arial" w:eastAsia="Arial" w:hAnsi="Arial"/>
          <w:sz w:val="14"/>
          <w:szCs w:val="14"/>
          <w:color w:val="auto"/>
        </w:rPr>
        <w:t>Mortgage loans held for investment</w:t>
      </w:r>
    </w:p>
    <w:p>
      <w:pPr>
        <w:spacing w:after="0" w:line="103" w:lineRule="exact"/>
        <w:rPr>
          <w:sz w:val="20"/>
          <w:szCs w:val="20"/>
          <w:color w:val="auto"/>
        </w:rPr>
      </w:pPr>
    </w:p>
    <w:p>
      <w:pPr>
        <w:ind w:left="23"/>
        <w:spacing w:after="0"/>
        <w:rPr>
          <w:sz w:val="20"/>
          <w:szCs w:val="20"/>
          <w:color w:val="auto"/>
        </w:rPr>
      </w:pPr>
      <w:r>
        <w:rPr>
          <w:rFonts w:ascii="Arial" w:cs="Arial" w:eastAsia="Arial" w:hAnsi="Arial"/>
          <w:sz w:val="14"/>
          <w:szCs w:val="14"/>
          <w:color w:val="auto"/>
        </w:rPr>
        <w:t>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3462655" cy="167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62655" cy="167640"/>
                    </a:xfrm>
                    <a:prstGeom prst="rect">
                      <a:avLst/>
                    </a:prstGeom>
                    <a:noFill/>
                  </pic:spPr>
                </pic:pic>
              </a:graphicData>
            </a:graphic>
          </wp:anchor>
        </w:drawing>
      </w:r>
    </w:p>
    <w:p>
      <w:pPr>
        <w:spacing w:after="0" w:line="83" w:lineRule="exact"/>
        <w:rPr>
          <w:sz w:val="20"/>
          <w:szCs w:val="20"/>
          <w:color w:val="auto"/>
        </w:rPr>
      </w:pPr>
    </w:p>
    <w:p>
      <w:pPr>
        <w:ind w:left="23"/>
        <w:spacing w:after="0"/>
        <w:rPr>
          <w:sz w:val="20"/>
          <w:szCs w:val="20"/>
          <w:color w:val="auto"/>
        </w:rPr>
      </w:pPr>
      <w:r>
        <w:rPr>
          <w:rFonts w:ascii="Arial" w:cs="Arial" w:eastAsia="Arial" w:hAnsi="Arial"/>
          <w:sz w:val="14"/>
          <w:szCs w:val="14"/>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3462655" cy="167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62655" cy="167640"/>
                    </a:xfrm>
                    <a:prstGeom prst="rect">
                      <a:avLst/>
                    </a:prstGeom>
                    <a:noFill/>
                  </pic:spPr>
                </pic:pic>
              </a:graphicData>
            </a:graphic>
          </wp:anchor>
        </w:drawing>
      </w:r>
    </w:p>
    <w:p>
      <w:pPr>
        <w:spacing w:after="0" w:line="268" w:lineRule="exact"/>
        <w:rPr>
          <w:sz w:val="20"/>
          <w:szCs w:val="20"/>
          <w:color w:val="auto"/>
        </w:rPr>
      </w:pPr>
    </w:p>
    <w:p>
      <w:pPr>
        <w:ind w:left="23"/>
        <w:spacing w:after="0"/>
        <w:rPr>
          <w:sz w:val="20"/>
          <w:szCs w:val="20"/>
          <w:color w:val="auto"/>
        </w:rPr>
      </w:pPr>
      <w:r>
        <w:rPr>
          <w:rFonts w:ascii="Arial" w:cs="Arial" w:eastAsia="Arial" w:hAnsi="Arial"/>
          <w:sz w:val="12"/>
          <w:szCs w:val="12"/>
          <w:color w:val="auto"/>
        </w:rPr>
        <w:t>Future policy benefits and unpaid claims</w:t>
      </w:r>
    </w:p>
    <w:p>
      <w:pPr>
        <w:spacing w:after="0" w:line="126" w:lineRule="exact"/>
        <w:rPr>
          <w:sz w:val="20"/>
          <w:szCs w:val="20"/>
          <w:color w:val="auto"/>
        </w:rPr>
      </w:pPr>
    </w:p>
    <w:p>
      <w:pPr>
        <w:ind w:left="23"/>
        <w:spacing w:after="0"/>
        <w:rPr>
          <w:sz w:val="20"/>
          <w:szCs w:val="20"/>
          <w:color w:val="auto"/>
        </w:rPr>
      </w:pPr>
      <w:r>
        <w:rPr>
          <w:rFonts w:ascii="Arial" w:cs="Arial" w:eastAsia="Arial" w:hAnsi="Arial"/>
          <w:sz w:val="13"/>
          <w:szCs w:val="13"/>
          <w:color w:val="auto"/>
        </w:rPr>
        <w:t>Other liabilities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3462655" cy="167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62655" cy="167640"/>
                    </a:xfrm>
                    <a:prstGeom prst="rect">
                      <a:avLst/>
                    </a:prstGeom>
                    <a:noFill/>
                  </pic:spPr>
                </pic:pic>
              </a:graphicData>
            </a:graphic>
          </wp:anchor>
        </w:drawing>
      </w:r>
    </w:p>
    <w:p>
      <w:pPr>
        <w:spacing w:after="0" w:line="95" w:lineRule="exact"/>
        <w:rPr>
          <w:sz w:val="20"/>
          <w:szCs w:val="20"/>
          <w:color w:val="auto"/>
        </w:rPr>
      </w:pPr>
    </w:p>
    <w:p>
      <w:pPr>
        <w:ind w:left="23"/>
        <w:spacing w:after="0"/>
        <w:rPr>
          <w:sz w:val="20"/>
          <w:szCs w:val="20"/>
          <w:color w:val="auto"/>
        </w:rPr>
      </w:pPr>
      <w:r>
        <w:rPr>
          <w:rFonts w:ascii="Arial" w:cs="Arial" w:eastAsia="Arial" w:hAnsi="Arial"/>
          <w:sz w:val="14"/>
          <w:szCs w:val="14"/>
          <w:color w:val="auto"/>
        </w:rPr>
        <w:t>Total liabilities assumed</w:t>
      </w:r>
    </w:p>
    <w:p>
      <w:pPr>
        <w:spacing w:after="0" w:line="116" w:lineRule="exact"/>
        <w:rPr>
          <w:sz w:val="20"/>
          <w:szCs w:val="20"/>
          <w:color w:val="auto"/>
        </w:rPr>
      </w:pPr>
    </w:p>
    <w:p>
      <w:pPr>
        <w:ind w:left="23"/>
        <w:spacing w:after="0"/>
        <w:rPr>
          <w:sz w:val="20"/>
          <w:szCs w:val="20"/>
          <w:color w:val="auto"/>
        </w:rPr>
      </w:pPr>
      <w:r>
        <w:rPr>
          <w:rFonts w:ascii="Arial" w:cs="Arial" w:eastAsia="Arial" w:hAnsi="Arial"/>
          <w:sz w:val="12"/>
          <w:szCs w:val="12"/>
          <w:color w:val="auto"/>
        </w:rPr>
        <w:t>Cash received for reinsurance assumed</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287" w:hanging="287"/>
        <w:spacing w:after="0"/>
        <w:tabs>
          <w:tab w:leader="none" w:pos="287" w:val="left"/>
        </w:tabs>
        <w:numPr>
          <w:ilvl w:val="0"/>
          <w:numId w:val="67"/>
        </w:numPr>
        <w:rPr>
          <w:rFonts w:ascii="Arial" w:cs="Arial" w:eastAsia="Arial" w:hAnsi="Arial"/>
          <w:sz w:val="12"/>
          <w:szCs w:val="12"/>
          <w:color w:val="auto"/>
        </w:rPr>
      </w:pPr>
      <w:r>
        <w:rPr>
          <w:rFonts w:ascii="Arial" w:cs="Arial" w:eastAsia="Arial" w:hAnsi="Arial"/>
          <w:sz w:val="12"/>
          <w:szCs w:val="12"/>
          <w:color w:val="auto"/>
        </w:rPr>
        <w:t>9,124,459</w:t>
      </w:r>
    </w:p>
    <w:p>
      <w:pPr>
        <w:spacing w:after="0" w:line="126" w:lineRule="exact"/>
        <w:rPr>
          <w:rFonts w:ascii="Arial" w:cs="Arial" w:eastAsia="Arial" w:hAnsi="Arial"/>
          <w:sz w:val="12"/>
          <w:szCs w:val="12"/>
          <w:color w:val="auto"/>
        </w:rPr>
      </w:pPr>
    </w:p>
    <w:p>
      <w:pPr>
        <w:ind w:left="287"/>
        <w:spacing w:after="0"/>
        <w:rPr>
          <w:rFonts w:ascii="Arial" w:cs="Arial" w:eastAsia="Arial" w:hAnsi="Arial"/>
          <w:sz w:val="12"/>
          <w:szCs w:val="12"/>
          <w:color w:val="auto"/>
        </w:rPr>
      </w:pPr>
      <w:r>
        <w:rPr>
          <w:rFonts w:ascii="Arial" w:cs="Arial" w:eastAsia="Arial" w:hAnsi="Arial"/>
          <w:sz w:val="12"/>
          <w:szCs w:val="12"/>
          <w:color w:val="auto"/>
        </w:rPr>
        <w:t>2,850,000</w:t>
      </w:r>
    </w:p>
    <w:p>
      <w:pPr>
        <w:spacing w:after="0" w:line="126" w:lineRule="exact"/>
        <w:rPr>
          <w:rFonts w:ascii="Arial" w:cs="Arial" w:eastAsia="Arial" w:hAnsi="Arial"/>
          <w:sz w:val="12"/>
          <w:szCs w:val="12"/>
          <w:color w:val="auto"/>
        </w:rPr>
      </w:pPr>
    </w:p>
    <w:p>
      <w:pPr>
        <w:ind w:left="387"/>
        <w:spacing w:after="0"/>
        <w:rPr>
          <w:rFonts w:ascii="Arial" w:cs="Arial" w:eastAsia="Arial" w:hAnsi="Arial"/>
          <w:sz w:val="12"/>
          <w:szCs w:val="12"/>
          <w:color w:val="auto"/>
        </w:rPr>
      </w:pPr>
      <w:r>
        <w:rPr>
          <w:rFonts w:ascii="Arial" w:cs="Arial" w:eastAsia="Arial" w:hAnsi="Arial"/>
          <w:sz w:val="12"/>
          <w:szCs w:val="12"/>
          <w:color w:val="auto"/>
        </w:rPr>
        <w:t>200,000</w:t>
      </w:r>
    </w:p>
    <w:p>
      <w:pPr>
        <w:spacing w:after="0" w:line="126" w:lineRule="exact"/>
        <w:rPr>
          <w:sz w:val="20"/>
          <w:szCs w:val="20"/>
          <w:color w:val="auto"/>
        </w:rPr>
      </w:pPr>
    </w:p>
    <w:p>
      <w:pPr>
        <w:jc w:val="right"/>
        <w:ind w:right="3819"/>
        <w:spacing w:after="0"/>
        <w:rPr>
          <w:sz w:val="20"/>
          <w:szCs w:val="20"/>
          <w:color w:val="auto"/>
        </w:rPr>
      </w:pPr>
      <w:r>
        <w:rPr>
          <w:rFonts w:ascii="Arial" w:cs="Arial" w:eastAsia="Arial" w:hAnsi="Arial"/>
          <w:sz w:val="14"/>
          <w:szCs w:val="14"/>
          <w:color w:val="auto"/>
        </w:rPr>
        <w:t>131,258</w:t>
      </w:r>
    </w:p>
    <w:p>
      <w:pPr>
        <w:spacing w:after="0" w:line="103" w:lineRule="exact"/>
        <w:rPr>
          <w:sz w:val="20"/>
          <w:szCs w:val="20"/>
          <w:color w:val="auto"/>
        </w:rPr>
      </w:pPr>
    </w:p>
    <w:p>
      <w:pPr>
        <w:ind w:left="207"/>
        <w:spacing w:after="0"/>
        <w:rPr>
          <w:sz w:val="20"/>
          <w:szCs w:val="20"/>
          <w:color w:val="auto"/>
        </w:rPr>
      </w:pPr>
      <w:r>
        <w:rPr>
          <w:rFonts w:ascii="Arial" w:cs="Arial" w:eastAsia="Arial" w:hAnsi="Arial"/>
          <w:sz w:val="12"/>
          <w:szCs w:val="12"/>
          <w:color w:val="auto"/>
        </w:rPr>
        <w:t>12,305,717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24765</wp:posOffset>
            </wp:positionV>
            <wp:extent cx="8382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291" w:lineRule="exact"/>
        <w:rPr>
          <w:sz w:val="20"/>
          <w:szCs w:val="20"/>
          <w:color w:val="auto"/>
        </w:rPr>
      </w:pPr>
    </w:p>
    <w:p>
      <w:pPr>
        <w:jc w:val="right"/>
        <w:ind w:right="3819"/>
        <w:spacing w:after="0"/>
        <w:rPr>
          <w:sz w:val="20"/>
          <w:szCs w:val="20"/>
          <w:color w:val="auto"/>
        </w:rPr>
      </w:pPr>
      <w:r>
        <w:rPr>
          <w:rFonts w:ascii="Arial" w:cs="Arial" w:eastAsia="Arial" w:hAnsi="Arial"/>
          <w:sz w:val="13"/>
          <w:szCs w:val="13"/>
          <w:color w:val="auto"/>
        </w:rPr>
        <w:t>(165,404,970)</w:t>
      </w:r>
    </w:p>
    <w:p>
      <w:pPr>
        <w:spacing w:after="0" w:line="115" w:lineRule="exact"/>
        <w:rPr>
          <w:sz w:val="20"/>
          <w:szCs w:val="20"/>
          <w:color w:val="auto"/>
        </w:rPr>
      </w:pPr>
    </w:p>
    <w:p>
      <w:pPr>
        <w:jc w:val="right"/>
        <w:ind w:right="3819"/>
        <w:spacing w:after="0"/>
        <w:rPr>
          <w:sz w:val="20"/>
          <w:szCs w:val="20"/>
          <w:color w:val="auto"/>
        </w:rPr>
      </w:pPr>
      <w:r>
        <w:rPr>
          <w:rFonts w:ascii="Arial" w:cs="Arial" w:eastAsia="Arial" w:hAnsi="Arial"/>
          <w:sz w:val="14"/>
          <w:szCs w:val="14"/>
          <w:color w:val="auto"/>
        </w:rPr>
        <w:t>(5,259,341)</w:t>
      </w:r>
    </w:p>
    <w:p>
      <w:pPr>
        <w:spacing w:after="0" w:line="103" w:lineRule="exact"/>
        <w:rPr>
          <w:sz w:val="20"/>
          <w:szCs w:val="20"/>
          <w:color w:val="auto"/>
        </w:rPr>
      </w:pPr>
    </w:p>
    <w:p>
      <w:pPr>
        <w:jc w:val="right"/>
        <w:ind w:right="3819"/>
        <w:spacing w:after="0"/>
        <w:rPr>
          <w:sz w:val="20"/>
          <w:szCs w:val="20"/>
          <w:color w:val="auto"/>
        </w:rPr>
      </w:pPr>
      <w:r>
        <w:rPr>
          <w:rFonts w:ascii="Arial" w:cs="Arial" w:eastAsia="Arial" w:hAnsi="Arial"/>
          <w:sz w:val="13"/>
          <w:szCs w:val="13"/>
          <w:color w:val="auto"/>
        </w:rPr>
        <w:t>(170,664,311)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17780</wp:posOffset>
            </wp:positionV>
            <wp:extent cx="8382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95" w:lineRule="exact"/>
        <w:rPr>
          <w:sz w:val="20"/>
          <w:szCs w:val="20"/>
          <w:color w:val="auto"/>
        </w:rPr>
      </w:pPr>
    </w:p>
    <w:p>
      <w:pPr>
        <w:jc w:val="right"/>
        <w:ind w:right="3819"/>
        <w:spacing w:after="0"/>
        <w:rPr>
          <w:sz w:val="20"/>
          <w:szCs w:val="20"/>
          <w:color w:val="auto"/>
        </w:rPr>
      </w:pPr>
      <w:r>
        <w:rPr>
          <w:rFonts w:ascii="Arial" w:cs="Arial" w:eastAsia="Arial" w:hAnsi="Arial"/>
          <w:sz w:val="13"/>
          <w:szCs w:val="13"/>
          <w:color w:val="auto"/>
        </w:rPr>
        <w:t>$ 158,358,594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17780</wp:posOffset>
            </wp:positionV>
            <wp:extent cx="8382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38200" cy="825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34290</wp:posOffset>
            </wp:positionV>
            <wp:extent cx="8382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38200" cy="825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876" w:space="720"/>
            <w:col w:w="4666"/>
          </w:cols>
          <w:pgMar w:left="1197" w:top="122" w:right="1440" w:bottom="1440" w:gutter="0" w:footer="0" w:header="0"/>
          <w:type w:val="continuous"/>
        </w:sectPr>
      </w:pPr>
    </w:p>
    <w:p>
      <w:pPr>
        <w:spacing w:after="0" w:line="86" w:lineRule="exact"/>
        <w:rPr>
          <w:sz w:val="20"/>
          <w:szCs w:val="20"/>
          <w:color w:val="auto"/>
        </w:rPr>
      </w:pPr>
    </w:p>
    <w:p>
      <w:pPr>
        <w:jc w:val="center"/>
        <w:ind w:right="376"/>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5634355" cy="336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type w:val="continuous"/>
        </w:sectPr>
      </w:pPr>
    </w:p>
    <w:bookmarkStart w:id="53" w:name="page54"/>
    <w:bookmarkEnd w:id="53"/>
    <w:p>
      <w:pPr>
        <w:jc w:val="center"/>
        <w:ind w:right="396"/>
        <w:spacing w:after="0" w:line="262" w:lineRule="auto"/>
        <w:rPr>
          <w:sz w:val="20"/>
          <w:szCs w:val="20"/>
          <w:color w:val="auto"/>
        </w:rPr>
      </w:pPr>
      <w:r>
        <w:rPr>
          <w:rFonts w:ascii="Arial" w:cs="Arial" w:eastAsia="Arial" w:hAnsi="Arial"/>
          <w:sz w:val="19"/>
          <w:szCs w:val="19"/>
          <w:color w:val="auto"/>
        </w:rPr>
        <w:t>SECURITY NATIONAL FINANCIAL CORPORATION AND SUBSIDIARIES Notes to Condensed Consolidated Financial Statements June 30, 2020 (Unaudited)</w:t>
      </w:r>
    </w:p>
    <w:p>
      <w:pPr>
        <w:spacing w:after="0" w:line="78" w:lineRule="exact"/>
        <w:rPr>
          <w:sz w:val="20"/>
          <w:szCs w:val="20"/>
          <w:color w:val="auto"/>
        </w:rPr>
      </w:pPr>
    </w:p>
    <w:p>
      <w:pPr>
        <w:ind w:left="303" w:hanging="303"/>
        <w:spacing w:after="0"/>
        <w:tabs>
          <w:tab w:leader="none" w:pos="303"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Acquisitions</w:t>
      </w:r>
      <w:r>
        <w:rPr>
          <w:rFonts w:ascii="Arial" w:cs="Arial" w:eastAsia="Arial" w:hAnsi="Arial"/>
          <w:sz w:val="19"/>
          <w:szCs w:val="19"/>
          <w:color w:val="auto"/>
        </w:rPr>
        <w:t xml:space="preserve"> (Continued)</w:t>
      </w:r>
    </w:p>
    <w:p>
      <w:pPr>
        <w:spacing w:after="0" w:line="257" w:lineRule="exact"/>
        <w:rPr>
          <w:sz w:val="20"/>
          <w:szCs w:val="20"/>
          <w:color w:val="auto"/>
        </w:rPr>
      </w:pPr>
    </w:p>
    <w:p>
      <w:pPr>
        <w:jc w:val="both"/>
        <w:ind w:left="3" w:right="379"/>
        <w:spacing w:after="0" w:line="254" w:lineRule="auto"/>
        <w:rPr>
          <w:sz w:val="20"/>
          <w:szCs w:val="20"/>
          <w:color w:val="auto"/>
        </w:rPr>
      </w:pPr>
      <w:r>
        <w:rPr>
          <w:rFonts w:ascii="Arial" w:cs="Arial" w:eastAsia="Arial" w:hAnsi="Arial"/>
          <w:sz w:val="19"/>
          <w:szCs w:val="19"/>
          <w:color w:val="auto"/>
        </w:rPr>
        <w:t>Contemporaneous with the stock purchase transaction, both Kilpatrick Life and Security National Life, as coinsurer, agreed to terminate the coinsurance agreement, to require the recapture of the life insurance policies by Kilpatrick Life and provided notification to the Louisiana Department of Insurance. The final settlement and transfer of the coinsurance trust assets from Security National Life back to Kilpatrick Life occurred shortly thereafter.</w:t>
      </w:r>
    </w:p>
    <w:p>
      <w:pPr>
        <w:spacing w:after="0" w:line="191" w:lineRule="exact"/>
        <w:rPr>
          <w:sz w:val="20"/>
          <w:szCs w:val="20"/>
          <w:color w:val="auto"/>
        </w:rPr>
      </w:pPr>
    </w:p>
    <w:p>
      <w:pPr>
        <w:jc w:val="both"/>
        <w:ind w:left="3" w:right="399"/>
        <w:spacing w:after="0" w:line="261" w:lineRule="auto"/>
        <w:rPr>
          <w:sz w:val="20"/>
          <w:szCs w:val="20"/>
          <w:color w:val="auto"/>
        </w:rPr>
      </w:pPr>
      <w:r>
        <w:rPr>
          <w:rFonts w:ascii="Arial" w:cs="Arial" w:eastAsia="Arial" w:hAnsi="Arial"/>
          <w:sz w:val="19"/>
          <w:szCs w:val="19"/>
          <w:color w:val="auto"/>
        </w:rPr>
        <w:t>The estimated fair values of the assets acquired and liabilities assumed as of the date of acquisition, on December 13, 2019, are shown in the following table. At the time of acquisition some of these assets and liabilities became intercompany items, and the Company has eliminated them for consolidation.</w:t>
      </w:r>
    </w:p>
    <w:p>
      <w:pPr>
        <w:spacing w:after="0" w:line="202" w:lineRule="exact"/>
        <w:rPr>
          <w:sz w:val="20"/>
          <w:szCs w:val="20"/>
          <w:color w:val="auto"/>
        </w:rPr>
      </w:pPr>
    </w:p>
    <w:tbl>
      <w:tblPr>
        <w:tblLayout w:type="fixed"/>
        <w:tblInd w:w="3" w:type="dxa"/>
        <w:tblCellMar>
          <w:top w:w="0" w:type="dxa"/>
          <w:left w:w="0" w:type="dxa"/>
          <w:bottom w:w="0" w:type="dxa"/>
          <w:right w:w="0" w:type="dxa"/>
        </w:tblCellMar>
      </w:tblPr>
      <w:tr>
        <w:trPr>
          <w:trHeight w:val="211"/>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maturity securities, available for sale</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22,766,520</w:t>
            </w:r>
          </w:p>
        </w:tc>
        <w:tc>
          <w:tcPr>
            <w:tcW w:w="4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Fixed maturity securities, held to maturity</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16,436</w:t>
            </w:r>
          </w:p>
        </w:tc>
        <w:tc>
          <w:tcPr>
            <w:tcW w:w="400" w:type="dxa"/>
            <w:vAlign w:val="bottom"/>
          </w:tcPr>
          <w:p>
            <w:pPr>
              <w:spacing w:after="0"/>
              <w:rPr>
                <w:sz w:val="18"/>
                <w:szCs w:val="18"/>
                <w:color w:val="auto"/>
              </w:rPr>
            </w:pPr>
          </w:p>
        </w:tc>
      </w:tr>
      <w:tr>
        <w:trPr>
          <w:trHeight w:val="211"/>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Mortgage loans held for investment</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8,011,660</w:t>
            </w:r>
          </w:p>
        </w:tc>
        <w:tc>
          <w:tcPr>
            <w:tcW w:w="4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Real estate held for investment</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2,708,557</w:t>
            </w:r>
          </w:p>
        </w:tc>
        <w:tc>
          <w:tcPr>
            <w:tcW w:w="400" w:type="dxa"/>
            <w:vAlign w:val="bottom"/>
          </w:tcPr>
          <w:p>
            <w:pPr>
              <w:spacing w:after="0"/>
              <w:rPr>
                <w:sz w:val="18"/>
                <w:szCs w:val="18"/>
                <w:color w:val="auto"/>
              </w:rPr>
            </w:pPr>
          </w:p>
        </w:tc>
      </w:tr>
      <w:tr>
        <w:trPr>
          <w:trHeight w:val="211"/>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investments</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446,655</w:t>
            </w:r>
          </w:p>
        </w:tc>
        <w:tc>
          <w:tcPr>
            <w:tcW w:w="400" w:type="dxa"/>
            <w:vAlign w:val="bottom"/>
            <w:shd w:val="clear" w:color="auto" w:fill="CCEEFF"/>
          </w:tcPr>
          <w:p>
            <w:pPr>
              <w:spacing w:after="0"/>
              <w:rPr>
                <w:sz w:val="18"/>
                <w:szCs w:val="18"/>
                <w:color w:val="auto"/>
              </w:rPr>
            </w:pPr>
          </w:p>
        </w:tc>
      </w:tr>
      <w:tr>
        <w:trPr>
          <w:trHeight w:val="211"/>
        </w:trPr>
        <w:tc>
          <w:tcPr>
            <w:tcW w:w="20" w:type="dxa"/>
            <w:vAlign w:val="bottom"/>
            <w:tcBorders>
              <w:bottom w:val="single" w:sz="8" w:color="CCEEFF"/>
            </w:tcBorders>
          </w:tcPr>
          <w:p>
            <w:pPr>
              <w:spacing w:after="0"/>
              <w:rPr>
                <w:sz w:val="18"/>
                <w:szCs w:val="18"/>
                <w:color w:val="auto"/>
              </w:rPr>
            </w:pPr>
          </w:p>
        </w:tc>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Accrued investment income</w:t>
            </w:r>
          </w:p>
        </w:tc>
        <w:tc>
          <w:tcPr>
            <w:tcW w:w="7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183,527</w:t>
            </w:r>
          </w:p>
        </w:tc>
        <w:tc>
          <w:tcPr>
            <w:tcW w:w="400" w:type="dxa"/>
            <w:vAlign w:val="bottom"/>
            <w:tcBorders>
              <w:bottom w:val="single" w:sz="8" w:color="CCEEFF"/>
            </w:tcBorders>
          </w:tcPr>
          <w:p>
            <w:pPr>
              <w:spacing w:after="0"/>
              <w:rPr>
                <w:sz w:val="18"/>
                <w:szCs w:val="18"/>
                <w:color w:val="auto"/>
              </w:rPr>
            </w:pPr>
          </w:p>
        </w:tc>
      </w:tr>
      <w:tr>
        <w:trPr>
          <w:trHeight w:val="191"/>
        </w:trPr>
        <w:tc>
          <w:tcPr>
            <w:tcW w:w="20" w:type="dxa"/>
            <w:vAlign w:val="bottom"/>
            <w:shd w:val="clear" w:color="auto" w:fill="CCEEFF"/>
          </w:tcPr>
          <w:p>
            <w:pPr>
              <w:spacing w:after="0"/>
              <w:rPr>
                <w:sz w:val="16"/>
                <w:szCs w:val="16"/>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investments</w:t>
            </w:r>
          </w:p>
        </w:tc>
        <w:tc>
          <w:tcPr>
            <w:tcW w:w="7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34,133,355</w:t>
            </w:r>
          </w:p>
        </w:tc>
        <w:tc>
          <w:tcPr>
            <w:tcW w:w="400" w:type="dxa"/>
            <w:vAlign w:val="bottom"/>
            <w:shd w:val="clear" w:color="auto" w:fill="CCEEFF"/>
          </w:tcPr>
          <w:p>
            <w:pPr>
              <w:spacing w:after="0"/>
              <w:rPr>
                <w:sz w:val="16"/>
                <w:szCs w:val="16"/>
                <w:color w:val="auto"/>
              </w:rPr>
            </w:pPr>
          </w:p>
        </w:tc>
      </w:tr>
      <w:tr>
        <w:trPr>
          <w:trHeight w:val="165"/>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11"/>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6,900,654</w:t>
            </w:r>
          </w:p>
        </w:tc>
        <w:tc>
          <w:tcPr>
            <w:tcW w:w="4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5,407,736</w:t>
            </w:r>
          </w:p>
        </w:tc>
        <w:tc>
          <w:tcPr>
            <w:tcW w:w="400" w:type="dxa"/>
            <w:vAlign w:val="bottom"/>
          </w:tcPr>
          <w:p>
            <w:pPr>
              <w:jc w:val="right"/>
              <w:ind w:right="170"/>
              <w:spacing w:after="0"/>
              <w:rPr>
                <w:sz w:val="20"/>
                <w:szCs w:val="20"/>
                <w:color w:val="auto"/>
              </w:rPr>
            </w:pPr>
            <w:r>
              <w:rPr>
                <w:rFonts w:ascii="Arial" w:cs="Arial" w:eastAsia="Arial" w:hAnsi="Arial"/>
                <w:sz w:val="14"/>
                <w:szCs w:val="14"/>
                <w:color w:val="auto"/>
                <w:w w:val="81"/>
              </w:rPr>
              <w:t>(1)</w:t>
            </w:r>
          </w:p>
        </w:tc>
      </w:tr>
      <w:tr>
        <w:trPr>
          <w:trHeight w:val="211"/>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Receivables from reinsurers</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168,105,064</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w w:val="81"/>
              </w:rPr>
              <w:t>(1)</w:t>
            </w:r>
          </w:p>
        </w:tc>
      </w:tr>
      <w:tr>
        <w:trPr>
          <w:trHeight w:val="211"/>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Property and equipment, net</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1,498,245</w:t>
            </w:r>
          </w:p>
        </w:tc>
        <w:tc>
          <w:tcPr>
            <w:tcW w:w="400" w:type="dxa"/>
            <w:vAlign w:val="bottom"/>
          </w:tcPr>
          <w:p>
            <w:pPr>
              <w:spacing w:after="0"/>
              <w:rPr>
                <w:sz w:val="18"/>
                <w:szCs w:val="18"/>
                <w:color w:val="auto"/>
              </w:rPr>
            </w:pPr>
          </w:p>
        </w:tc>
      </w:tr>
      <w:tr>
        <w:trPr>
          <w:trHeight w:val="211"/>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Value of business acquired</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4,962,831</w:t>
            </w:r>
          </w:p>
        </w:tc>
        <w:tc>
          <w:tcPr>
            <w:tcW w:w="4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Deferred taxes</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167,344</w:t>
            </w:r>
          </w:p>
        </w:tc>
        <w:tc>
          <w:tcPr>
            <w:tcW w:w="400" w:type="dxa"/>
            <w:vAlign w:val="bottom"/>
          </w:tcPr>
          <w:p>
            <w:pPr>
              <w:spacing w:after="0"/>
              <w:rPr>
                <w:sz w:val="18"/>
                <w:szCs w:val="18"/>
                <w:color w:val="auto"/>
              </w:rPr>
            </w:pPr>
          </w:p>
        </w:tc>
      </w:tr>
      <w:tr>
        <w:trPr>
          <w:trHeight w:val="211"/>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7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712,323</w:t>
            </w:r>
          </w:p>
        </w:tc>
        <w:tc>
          <w:tcPr>
            <w:tcW w:w="400" w:type="dxa"/>
            <w:vAlign w:val="bottom"/>
            <w:shd w:val="clear" w:color="auto" w:fill="CCEEFF"/>
          </w:tcPr>
          <w:p>
            <w:pPr>
              <w:spacing w:after="0"/>
              <w:rPr>
                <w:sz w:val="18"/>
                <w:szCs w:val="18"/>
                <w:color w:val="auto"/>
              </w:rPr>
            </w:pPr>
          </w:p>
        </w:tc>
      </w:tr>
      <w:tr>
        <w:trPr>
          <w:trHeight w:val="191"/>
        </w:trPr>
        <w:tc>
          <w:tcPr>
            <w:tcW w:w="2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assets acquired</w:t>
            </w: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221,887,552</w:t>
            </w:r>
          </w:p>
        </w:tc>
        <w:tc>
          <w:tcPr>
            <w:tcW w:w="400" w:type="dxa"/>
            <w:vAlign w:val="bottom"/>
            <w:tcBorders>
              <w:bottom w:val="single" w:sz="8" w:color="CCEEFF"/>
            </w:tcBorders>
          </w:tcPr>
          <w:p>
            <w:pPr>
              <w:spacing w:after="0"/>
              <w:rPr>
                <w:sz w:val="16"/>
                <w:szCs w:val="16"/>
                <w:color w:val="auto"/>
              </w:rPr>
            </w:pPr>
          </w:p>
        </w:tc>
      </w:tr>
      <w:tr>
        <w:trPr>
          <w:trHeight w:val="165"/>
        </w:trPr>
        <w:tc>
          <w:tcPr>
            <w:tcW w:w="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211"/>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Future policy benefits and unpaid claims</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w w:val="89"/>
              </w:rPr>
              <w:t>(189,071,407)</w:t>
            </w:r>
          </w:p>
        </w:tc>
        <w:tc>
          <w:tcPr>
            <w:tcW w:w="400" w:type="dxa"/>
            <w:vAlign w:val="bottom"/>
          </w:tcPr>
          <w:p>
            <w:pPr>
              <w:spacing w:after="0"/>
              <w:rPr>
                <w:sz w:val="18"/>
                <w:szCs w:val="18"/>
                <w:color w:val="auto"/>
              </w:rPr>
            </w:pPr>
          </w:p>
        </w:tc>
      </w:tr>
      <w:tr>
        <w:trPr>
          <w:trHeight w:val="211"/>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(283,304)</w:t>
            </w:r>
          </w:p>
        </w:tc>
        <w:tc>
          <w:tcPr>
            <w:tcW w:w="40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4"/>
                <w:szCs w:val="14"/>
                <w:color w:val="auto"/>
              </w:rPr>
              <w:t>Other liabilities and accrued expenses</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(7,870,944)</w:t>
            </w:r>
          </w:p>
        </w:tc>
        <w:tc>
          <w:tcPr>
            <w:tcW w:w="400" w:type="dxa"/>
            <w:vAlign w:val="bottom"/>
          </w:tcPr>
          <w:p>
            <w:pPr>
              <w:spacing w:after="0"/>
              <w:rPr>
                <w:sz w:val="18"/>
                <w:szCs w:val="18"/>
                <w:color w:val="auto"/>
              </w:rPr>
            </w:pPr>
          </w:p>
        </w:tc>
      </w:tr>
      <w:tr>
        <w:trPr>
          <w:trHeight w:val="211"/>
        </w:trPr>
        <w:tc>
          <w:tcPr>
            <w:tcW w:w="20" w:type="dxa"/>
            <w:vAlign w:val="bottom"/>
            <w:shd w:val="clear" w:color="auto" w:fill="CCEEFF"/>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Income taxes</w:t>
            </w:r>
          </w:p>
        </w:tc>
        <w:tc>
          <w:tcPr>
            <w:tcW w:w="7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(881,957)</w:t>
            </w:r>
          </w:p>
        </w:tc>
        <w:tc>
          <w:tcPr>
            <w:tcW w:w="400" w:type="dxa"/>
            <w:vAlign w:val="bottom"/>
            <w:shd w:val="clear" w:color="auto" w:fill="CCEEFF"/>
          </w:tcPr>
          <w:p>
            <w:pPr>
              <w:spacing w:after="0"/>
              <w:rPr>
                <w:sz w:val="18"/>
                <w:szCs w:val="18"/>
                <w:color w:val="auto"/>
              </w:rPr>
            </w:pPr>
          </w:p>
        </w:tc>
      </w:tr>
      <w:tr>
        <w:trPr>
          <w:trHeight w:val="191"/>
        </w:trPr>
        <w:tc>
          <w:tcPr>
            <w:tcW w:w="2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Total liabilities assumed</w:t>
            </w: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(198,107,612)</w:t>
            </w:r>
          </w:p>
        </w:tc>
        <w:tc>
          <w:tcPr>
            <w:tcW w:w="400" w:type="dxa"/>
            <w:vAlign w:val="bottom"/>
            <w:tcBorders>
              <w:bottom w:val="single" w:sz="8" w:color="CCEEFF"/>
            </w:tcBorders>
          </w:tcPr>
          <w:p>
            <w:pPr>
              <w:spacing w:after="0"/>
              <w:rPr>
                <w:sz w:val="16"/>
                <w:szCs w:val="16"/>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Fair value of net assets acquired/consideration paid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23,779,940</w:t>
            </w:r>
          </w:p>
        </w:tc>
        <w:tc>
          <w:tcPr>
            <w:tcW w:w="400" w:type="dxa"/>
            <w:vAlign w:val="bottom"/>
            <w:tcBorders>
              <w:bottom w:val="single" w:sz="8" w:color="CCEEFF"/>
            </w:tcBorders>
            <w:shd w:val="clear" w:color="auto" w:fill="CCEEFF"/>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423"/>
        </w:trPr>
        <w:tc>
          <w:tcPr>
            <w:tcW w:w="20" w:type="dxa"/>
            <w:vAlign w:val="bottom"/>
            <w:tcBorders>
              <w:bottom w:val="single" w:sz="8" w:color="CCEEFF"/>
            </w:tcBorders>
            <w:shd w:val="clear" w:color="auto" w:fill="CCEEFF"/>
          </w:tcPr>
          <w:p>
            <w:pPr>
              <w:spacing w:after="0"/>
              <w:rPr>
                <w:sz w:val="24"/>
                <w:szCs w:val="24"/>
                <w:color w:val="auto"/>
              </w:rPr>
            </w:pPr>
          </w:p>
        </w:tc>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w w:val="97"/>
              </w:rPr>
              <w:t>Fair value of net assets acquired/consideration paid, net of cash acquired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16,879,286</w:t>
            </w:r>
          </w:p>
        </w:tc>
        <w:tc>
          <w:tcPr>
            <w:tcW w:w="40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38"/>
        </w:trPr>
        <w:tc>
          <w:tcPr>
            <w:tcW w:w="20" w:type="dxa"/>
            <w:vAlign w:val="bottom"/>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3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4066540" cy="259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66540" cy="259715"/>
                    </a:xfrm>
                    <a:prstGeom prst="rect">
                      <a:avLst/>
                    </a:prstGeom>
                    <a:noFill/>
                  </pic:spPr>
                </pic:pic>
              </a:graphicData>
            </a:graphic>
          </wp:anchor>
        </w:drawing>
      </w:r>
    </w:p>
    <w:p>
      <w:pPr>
        <w:spacing w:after="0" w:line="67" w:lineRule="exact"/>
        <w:rPr>
          <w:sz w:val="20"/>
          <w:szCs w:val="20"/>
          <w:color w:val="auto"/>
        </w:rPr>
      </w:pPr>
    </w:p>
    <w:p>
      <w:pPr>
        <w:ind w:left="23" w:right="3399" w:hanging="10"/>
        <w:spacing w:after="0" w:line="281" w:lineRule="auto"/>
        <w:tabs>
          <w:tab w:leader="none" w:pos="222" w:val="left"/>
        </w:tabs>
        <w:numPr>
          <w:ilvl w:val="0"/>
          <w:numId w:val="69"/>
        </w:numPr>
        <w:rPr>
          <w:rFonts w:ascii="Arial" w:cs="Arial" w:eastAsia="Arial" w:hAnsi="Arial"/>
          <w:sz w:val="13"/>
          <w:szCs w:val="13"/>
          <w:color w:val="auto"/>
        </w:rPr>
      </w:pPr>
      <w:r>
        <w:rPr>
          <w:rFonts w:ascii="Arial" w:cs="Arial" w:eastAsia="Arial" w:hAnsi="Arial"/>
          <w:sz w:val="13"/>
          <w:szCs w:val="13"/>
          <w:color w:val="auto"/>
        </w:rPr>
        <w:t>Receivable from reinsurers of $162,907,008 and receivables, net of $5,000,000 were settled with the recapture of the coinsurance agreement by Kilpatrick Life from Security National Life.</w:t>
      </w:r>
    </w:p>
    <w:p>
      <w:pPr>
        <w:spacing w:after="0" w:line="193" w:lineRule="exact"/>
        <w:rPr>
          <w:sz w:val="20"/>
          <w:szCs w:val="20"/>
          <w:color w:val="auto"/>
        </w:rPr>
      </w:pPr>
    </w:p>
    <w:p>
      <w:pPr>
        <w:jc w:val="center"/>
        <w:ind w:right="376"/>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5634355" cy="33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62"/>
          </w:cols>
          <w:pgMar w:left="1197" w:top="122" w:right="1440" w:bottom="1440" w:gutter="0" w:footer="0" w:header="0"/>
        </w:sectPr>
      </w:pPr>
    </w:p>
    <w:bookmarkStart w:id="54" w:name="page55"/>
    <w:bookmarkEnd w:id="54"/>
    <w:p>
      <w:pPr>
        <w:ind w:left="3"/>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30"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Overview</w:t>
      </w:r>
    </w:p>
    <w:p>
      <w:pPr>
        <w:spacing w:after="0" w:line="236" w:lineRule="exact"/>
        <w:rPr>
          <w:sz w:val="20"/>
          <w:szCs w:val="20"/>
          <w:color w:val="auto"/>
        </w:rPr>
      </w:pPr>
    </w:p>
    <w:p>
      <w:pPr>
        <w:jc w:val="both"/>
        <w:ind w:left="3" w:right="1260"/>
        <w:spacing w:after="0" w:line="282" w:lineRule="auto"/>
        <w:rPr>
          <w:sz w:val="20"/>
          <w:szCs w:val="20"/>
          <w:color w:val="auto"/>
        </w:rPr>
      </w:pPr>
      <w:r>
        <w:rPr>
          <w:rFonts w:ascii="Arial" w:cs="Arial" w:eastAsia="Arial" w:hAnsi="Arial"/>
          <w:sz w:val="17"/>
          <w:szCs w:val="17"/>
          <w:color w:val="auto"/>
        </w:rPr>
        <w:t>The Company’s operations over the last several years generally reflect three trends or events which the Company expects to continue to focus on: (i) increased attention to “niche” insurance products, such as the Company’s funeral plan policies and traditional whole life products; (ii) emphasis on cemetery and mortuary business; and</w:t>
      </w:r>
    </w:p>
    <w:p>
      <w:pPr>
        <w:ind w:left="3" w:right="1260" w:hanging="3"/>
        <w:spacing w:after="0" w:line="287" w:lineRule="auto"/>
        <w:tabs>
          <w:tab w:leader="none" w:pos="3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capitalizing on an improving housing market by originating mortgage loans. The Company has adjusted its strategy to respond to the changing economic circumstances resulting from the COVID-19 pandemic.</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Insurance Operations</w:t>
      </w:r>
    </w:p>
    <w:p>
      <w:pPr>
        <w:spacing w:after="0" w:line="236" w:lineRule="exact"/>
        <w:rPr>
          <w:sz w:val="20"/>
          <w:szCs w:val="20"/>
          <w:color w:val="auto"/>
        </w:rPr>
      </w:pPr>
    </w:p>
    <w:p>
      <w:pPr>
        <w:jc w:val="both"/>
        <w:ind w:left="3" w:right="1260"/>
        <w:spacing w:after="0" w:line="261" w:lineRule="auto"/>
        <w:rPr>
          <w:sz w:val="20"/>
          <w:szCs w:val="20"/>
          <w:color w:val="auto"/>
        </w:rPr>
      </w:pPr>
      <w:r>
        <w:rPr>
          <w:rFonts w:ascii="Arial" w:cs="Arial" w:eastAsia="Arial" w:hAnsi="Arial"/>
          <w:sz w:val="19"/>
          <w:szCs w:val="19"/>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185" w:lineRule="exact"/>
        <w:rPr>
          <w:sz w:val="20"/>
          <w:szCs w:val="20"/>
          <w:color w:val="auto"/>
        </w:rPr>
      </w:pPr>
    </w:p>
    <w:p>
      <w:pPr>
        <w:jc w:val="both"/>
        <w:ind w:left="3" w:right="1260"/>
        <w:spacing w:after="0" w:line="267" w:lineRule="auto"/>
        <w:rPr>
          <w:sz w:val="20"/>
          <w:szCs w:val="20"/>
          <w:color w:val="auto"/>
        </w:rPr>
      </w:pPr>
      <w:r>
        <w:rPr>
          <w:rFonts w:ascii="Arial" w:cs="Arial" w:eastAsia="Arial" w:hAnsi="Arial"/>
          <w:sz w:val="18"/>
          <w:szCs w:val="18"/>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184" w:lineRule="exact"/>
        <w:rPr>
          <w:sz w:val="20"/>
          <w:szCs w:val="20"/>
          <w:color w:val="auto"/>
        </w:rPr>
      </w:pPr>
    </w:p>
    <w:p>
      <w:pPr>
        <w:jc w:val="both"/>
        <w:ind w:left="3" w:right="1260"/>
        <w:spacing w:after="0" w:line="277" w:lineRule="auto"/>
        <w:rPr>
          <w:sz w:val="20"/>
          <w:szCs w:val="20"/>
          <w:color w:val="auto"/>
        </w:rPr>
      </w:pPr>
      <w:r>
        <w:rPr>
          <w:rFonts w:ascii="Arial" w:cs="Arial" w:eastAsia="Arial" w:hAnsi="Arial"/>
          <w:sz w:val="19"/>
          <w:szCs w:val="19"/>
          <w:color w:val="auto"/>
        </w:rPr>
        <w:t>In response to the COVID-19 pandemic, the life insurance sales force has transitioned to virtual and tele sales processes and transitioned approximately 95% of office staff to work remotely.</w:t>
      </w:r>
    </w:p>
    <w:p>
      <w:pPr>
        <w:spacing w:after="0" w:line="169" w:lineRule="exact"/>
        <w:rPr>
          <w:sz w:val="20"/>
          <w:szCs w:val="20"/>
          <w:color w:val="auto"/>
        </w:rPr>
      </w:pPr>
    </w:p>
    <w:p>
      <w:pPr>
        <w:jc w:val="both"/>
        <w:ind w:left="3" w:right="1260"/>
        <w:spacing w:after="0" w:line="277" w:lineRule="auto"/>
        <w:rPr>
          <w:sz w:val="20"/>
          <w:szCs w:val="20"/>
          <w:color w:val="auto"/>
        </w:rPr>
      </w:pPr>
      <w:r>
        <w:rPr>
          <w:rFonts w:ascii="Arial" w:cs="Arial" w:eastAsia="Arial" w:hAnsi="Arial"/>
          <w:sz w:val="19"/>
          <w:szCs w:val="19"/>
          <w:color w:val="auto"/>
        </w:rPr>
        <w:t>The following table shows the condensed financial results of the insurance operations for three and six months ended June 30, 2020 and 2019. See Note 7 to the condensed consolidated financial statements.</w:t>
      </w:r>
    </w:p>
    <w:p>
      <w:pPr>
        <w:spacing w:after="0" w:line="204" w:lineRule="exact"/>
        <w:rPr>
          <w:sz w:val="20"/>
          <w:szCs w:val="20"/>
          <w:color w:val="auto"/>
        </w:rPr>
      </w:pPr>
    </w:p>
    <w:tbl>
      <w:tblPr>
        <w:tblLayout w:type="fixed"/>
        <w:tblInd w:w="3"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00" w:type="dxa"/>
            <w:vAlign w:val="bottom"/>
            <w:gridSpan w:val="6"/>
          </w:tcPr>
          <w:p>
            <w:pPr>
              <w:jc w:val="center"/>
              <w:spacing w:after="0"/>
              <w:rPr>
                <w:sz w:val="20"/>
                <w:szCs w:val="20"/>
                <w:color w:val="auto"/>
              </w:rPr>
            </w:pPr>
            <w:r>
              <w:rPr>
                <w:rFonts w:ascii="Arial" w:cs="Arial" w:eastAsia="Arial" w:hAnsi="Arial"/>
                <w:sz w:val="14"/>
                <w:szCs w:val="14"/>
                <w:color w:val="auto"/>
                <w:w w:val="87"/>
              </w:rPr>
              <w:t>Three months ended June 30</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60" w:type="dxa"/>
            <w:vAlign w:val="bottom"/>
            <w:gridSpan w:val="5"/>
          </w:tcPr>
          <w:p>
            <w:pPr>
              <w:jc w:val="center"/>
              <w:ind w:left="370"/>
              <w:spacing w:after="0"/>
              <w:rPr>
                <w:sz w:val="20"/>
                <w:szCs w:val="20"/>
                <w:color w:val="auto"/>
              </w:rPr>
            </w:pPr>
            <w:r>
              <w:rPr>
                <w:rFonts w:ascii="Arial" w:cs="Arial" w:eastAsia="Arial" w:hAnsi="Arial"/>
                <w:sz w:val="14"/>
                <w:szCs w:val="14"/>
                <w:color w:val="auto"/>
                <w:w w:val="89"/>
              </w:rPr>
              <w:t>Six months ended June 30</w:t>
            </w:r>
          </w:p>
        </w:tc>
        <w:tc>
          <w:tcPr>
            <w:tcW w:w="900" w:type="dxa"/>
            <w:vAlign w:val="bottom"/>
          </w:tcPr>
          <w:p>
            <w:pPr>
              <w:spacing w:after="0"/>
              <w:rPr>
                <w:sz w:val="14"/>
                <w:szCs w:val="14"/>
                <w:color w:val="auto"/>
              </w:rPr>
            </w:pPr>
          </w:p>
        </w:tc>
      </w:tr>
      <w:tr>
        <w:trPr>
          <w:trHeight w:val="177"/>
        </w:trPr>
        <w:tc>
          <w:tcPr>
            <w:tcW w:w="34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color w:val="auto"/>
                <w:w w:val="91"/>
              </w:rPr>
              <w:t>(in thousands of dollars)</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ind w:left="390"/>
              <w:spacing w:after="0"/>
              <w:rPr>
                <w:sz w:val="20"/>
                <w:szCs w:val="20"/>
                <w:color w:val="auto"/>
              </w:rPr>
            </w:pPr>
            <w:r>
              <w:rPr>
                <w:rFonts w:ascii="Arial" w:cs="Arial" w:eastAsia="Arial" w:hAnsi="Arial"/>
                <w:sz w:val="14"/>
                <w:szCs w:val="14"/>
                <w:color w:val="auto"/>
                <w:w w:val="92"/>
              </w:rPr>
              <w:t>(in thousands of dollars)</w:t>
            </w:r>
          </w:p>
        </w:tc>
        <w:tc>
          <w:tcPr>
            <w:tcW w:w="900" w:type="dxa"/>
            <w:vAlign w:val="bottom"/>
            <w:tcBorders>
              <w:bottom w:val="single" w:sz="8" w:color="auto"/>
            </w:tcBorders>
          </w:tcPr>
          <w:p>
            <w:pPr>
              <w:spacing w:after="0"/>
              <w:rPr>
                <w:sz w:val="15"/>
                <w:szCs w:val="15"/>
                <w:color w:val="auto"/>
              </w:rPr>
            </w:pPr>
          </w:p>
        </w:tc>
      </w:tr>
      <w:tr>
        <w:trPr>
          <w:trHeight w:val="133"/>
        </w:trPr>
        <w:tc>
          <w:tcPr>
            <w:tcW w:w="3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70"/>
              <w:spacing w:after="0" w:line="133" w:lineRule="exact"/>
              <w:rPr>
                <w:sz w:val="20"/>
                <w:szCs w:val="20"/>
                <w:color w:val="auto"/>
              </w:rPr>
            </w:pPr>
            <w:r>
              <w:rPr>
                <w:rFonts w:ascii="Arial" w:cs="Arial" w:eastAsia="Arial" w:hAnsi="Arial"/>
                <w:sz w:val="14"/>
                <w:szCs w:val="14"/>
                <w:color w:val="auto"/>
                <w:w w:val="91"/>
              </w:rPr>
              <w:t>% Increase</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ind w:right="70"/>
              <w:spacing w:after="0" w:line="133" w:lineRule="exact"/>
              <w:rPr>
                <w:sz w:val="20"/>
                <w:szCs w:val="20"/>
                <w:color w:val="auto"/>
              </w:rPr>
            </w:pPr>
            <w:r>
              <w:rPr>
                <w:rFonts w:ascii="Arial" w:cs="Arial" w:eastAsia="Arial" w:hAnsi="Arial"/>
                <w:sz w:val="14"/>
                <w:szCs w:val="14"/>
                <w:color w:val="auto"/>
              </w:rPr>
              <w:t>% Increase</w:t>
            </w:r>
          </w:p>
        </w:tc>
      </w:tr>
      <w:tr>
        <w:trPr>
          <w:trHeight w:val="177"/>
        </w:trPr>
        <w:tc>
          <w:tcPr>
            <w:tcW w:w="3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ind w:right="310"/>
              <w:spacing w:after="0"/>
              <w:rPr>
                <w:sz w:val="20"/>
                <w:szCs w:val="20"/>
                <w:color w:val="auto"/>
              </w:rPr>
            </w:pPr>
            <w:r>
              <w:rPr>
                <w:rFonts w:ascii="Arial" w:cs="Arial" w:eastAsia="Arial" w:hAnsi="Arial"/>
                <w:sz w:val="14"/>
                <w:szCs w:val="14"/>
                <w:color w:val="auto"/>
                <w:w w:val="89"/>
              </w:rPr>
              <w:t>2019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w w:val="92"/>
              </w:rPr>
              <w:t>(Decrease)</w:t>
            </w:r>
          </w:p>
        </w:tc>
        <w:tc>
          <w:tcPr>
            <w:tcW w:w="440" w:type="dxa"/>
            <w:vAlign w:val="bottom"/>
          </w:tcPr>
          <w:p>
            <w:pPr>
              <w:spacing w:after="0"/>
              <w:rPr>
                <w:sz w:val="15"/>
                <w:szCs w:val="15"/>
                <w:color w:val="auto"/>
              </w:rPr>
            </w:pPr>
          </w:p>
        </w:tc>
        <w:tc>
          <w:tcPr>
            <w:tcW w:w="780" w:type="dxa"/>
            <w:vAlign w:val="bottom"/>
          </w:tcPr>
          <w:p>
            <w:pPr>
              <w:jc w:val="right"/>
              <w:ind w:right="390"/>
              <w:spacing w:after="0"/>
              <w:rPr>
                <w:sz w:val="20"/>
                <w:szCs w:val="20"/>
                <w:color w:val="auto"/>
              </w:rPr>
            </w:pPr>
            <w:r>
              <w:rPr>
                <w:rFonts w:ascii="Arial" w:cs="Arial" w:eastAsia="Arial" w:hAnsi="Arial"/>
                <w:sz w:val="14"/>
                <w:szCs w:val="14"/>
                <w:color w:val="auto"/>
                <w:w w:val="96"/>
              </w:rPr>
              <w:t>2020</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jc w:val="right"/>
              <w:ind w:right="310"/>
              <w:spacing w:after="0"/>
              <w:rPr>
                <w:sz w:val="20"/>
                <w:szCs w:val="20"/>
                <w:color w:val="auto"/>
              </w:rPr>
            </w:pPr>
            <w:r>
              <w:rPr>
                <w:rFonts w:ascii="Arial" w:cs="Arial" w:eastAsia="Arial" w:hAnsi="Arial"/>
                <w:sz w:val="14"/>
                <w:szCs w:val="14"/>
                <w:color w:val="auto"/>
                <w:w w:val="83"/>
              </w:rPr>
              <w:t>2019</w:t>
            </w:r>
          </w:p>
        </w:tc>
        <w:tc>
          <w:tcPr>
            <w:tcW w:w="80" w:type="dxa"/>
            <w:vAlign w:val="bottom"/>
          </w:tcPr>
          <w:p>
            <w:pPr>
              <w:spacing w:after="0"/>
              <w:rPr>
                <w:sz w:val="15"/>
                <w:szCs w:val="15"/>
                <w:color w:val="auto"/>
              </w:rPr>
            </w:pPr>
          </w:p>
        </w:tc>
        <w:tc>
          <w:tcPr>
            <w:tcW w:w="900" w:type="dxa"/>
            <w:vAlign w:val="bottom"/>
          </w:tcPr>
          <w:p>
            <w:pPr>
              <w:jc w:val="right"/>
              <w:ind w:right="90"/>
              <w:spacing w:after="0"/>
              <w:rPr>
                <w:sz w:val="20"/>
                <w:szCs w:val="20"/>
                <w:color w:val="auto"/>
              </w:rPr>
            </w:pPr>
            <w:r>
              <w:rPr>
                <w:rFonts w:ascii="Arial" w:cs="Arial" w:eastAsia="Arial" w:hAnsi="Arial"/>
                <w:sz w:val="14"/>
                <w:szCs w:val="14"/>
                <w:color w:val="auto"/>
              </w:rPr>
              <w:t>(Decrease)</w:t>
            </w:r>
          </w:p>
        </w:tc>
      </w:tr>
      <w:tr>
        <w:trPr>
          <w:trHeight w:val="204"/>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7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24"/>
        </w:trPr>
        <w:tc>
          <w:tcPr>
            <w:tcW w:w="3440" w:type="dxa"/>
            <w:vAlign w:val="bottom"/>
          </w:tcPr>
          <w:p>
            <w:pPr>
              <w:ind w:left="160"/>
              <w:spacing w:after="0"/>
              <w:rPr>
                <w:sz w:val="20"/>
                <w:szCs w:val="20"/>
                <w:color w:val="auto"/>
              </w:rPr>
            </w:pPr>
            <w:r>
              <w:rPr>
                <w:rFonts w:ascii="Arial" w:cs="Arial" w:eastAsia="Arial" w:hAnsi="Arial"/>
                <w:sz w:val="14"/>
                <w:szCs w:val="14"/>
                <w:color w:val="auto"/>
              </w:rPr>
              <w:t>Insurance premiums</w:t>
            </w:r>
          </w:p>
        </w:tc>
        <w:tc>
          <w:tcPr>
            <w:tcW w:w="780" w:type="dxa"/>
            <w:vAlign w:val="bottom"/>
          </w:tcPr>
          <w:p>
            <w:pPr>
              <w:jc w:val="right"/>
              <w:ind w:right="33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3"/>
              </w:rPr>
              <w:t>22,925</w:t>
            </w:r>
          </w:p>
        </w:tc>
        <w:tc>
          <w:tcPr>
            <w:tcW w:w="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19,645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45,216</w:t>
            </w:r>
          </w:p>
        </w:tc>
        <w:tc>
          <w:tcPr>
            <w:tcW w:w="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38,672</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4"/>
        </w:trPr>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investment income</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12,782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25,834</w:t>
            </w: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r>
      <w:tr>
        <w:trPr>
          <w:trHeight w:val="224"/>
        </w:trPr>
        <w:tc>
          <w:tcPr>
            <w:tcW w:w="3440" w:type="dxa"/>
            <w:vAlign w:val="bottom"/>
          </w:tcPr>
          <w:p>
            <w:pPr>
              <w:ind w:left="160"/>
              <w:spacing w:after="0"/>
              <w:rPr>
                <w:sz w:val="20"/>
                <w:szCs w:val="20"/>
                <w:color w:val="auto"/>
              </w:rPr>
            </w:pPr>
            <w:r>
              <w:rPr>
                <w:rFonts w:ascii="Arial" w:cs="Arial" w:eastAsia="Arial" w:hAnsi="Arial"/>
                <w:sz w:val="14"/>
                <w:szCs w:val="14"/>
                <w:color w:val="auto"/>
              </w:rPr>
              <w:t>Gains (losses) on investments and other assets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1,756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516%</w:t>
            </w:r>
          </w:p>
        </w:tc>
      </w:tr>
      <w:tr>
        <w:trPr>
          <w:trHeight w:val="224"/>
        </w:trPr>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734</w:t>
            </w: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244"/>
        </w:trPr>
        <w:tc>
          <w:tcPr>
            <w:tcW w:w="34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Total</w:t>
            </w: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37,788</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28,607</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70,995</w:t>
            </w:r>
          </w:p>
        </w:tc>
        <w:tc>
          <w:tcPr>
            <w:tcW w:w="6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59,112</w:t>
            </w:r>
          </w:p>
        </w:tc>
        <w:tc>
          <w:tcPr>
            <w:tcW w:w="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191"/>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Intersegment revenue</w:t>
            </w:r>
          </w:p>
        </w:tc>
        <w:tc>
          <w:tcPr>
            <w:tcW w:w="7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1,816</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1,080</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2,724</w:t>
            </w:r>
          </w:p>
        </w:tc>
        <w:tc>
          <w:tcPr>
            <w:tcW w:w="6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1,976</w:t>
            </w:r>
          </w:p>
        </w:tc>
        <w:tc>
          <w:tcPr>
            <w:tcW w:w="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0"/>
        </w:trPr>
        <w:tc>
          <w:tcPr>
            <w:tcW w:w="3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1"/>
        </w:trPr>
        <w:tc>
          <w:tcPr>
            <w:tcW w:w="3440" w:type="dxa"/>
            <w:vAlign w:val="bottom"/>
          </w:tcPr>
          <w:p>
            <w:pPr>
              <w:ind w:left="20"/>
              <w:spacing w:after="0"/>
              <w:rPr>
                <w:sz w:val="20"/>
                <w:szCs w:val="20"/>
                <w:color w:val="auto"/>
              </w:rPr>
            </w:pPr>
            <w:r>
              <w:rPr>
                <w:rFonts w:ascii="Arial" w:cs="Arial" w:eastAsia="Arial" w:hAnsi="Arial"/>
                <w:sz w:val="14"/>
                <w:szCs w:val="14"/>
                <w:color w:val="auto"/>
              </w:rPr>
              <w:t>Earnings before income taxes</w:t>
            </w: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3,670</w:t>
            </w:r>
          </w:p>
        </w:tc>
        <w:tc>
          <w:tcPr>
            <w:tcW w:w="8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w:t>
            </w: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w:t>
            </w:r>
          </w:p>
        </w:tc>
        <w:tc>
          <w:tcPr>
            <w:tcW w:w="60" w:type="dxa"/>
            <w:vAlign w:val="bottom"/>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3,304</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0"/>
        </w:trPr>
        <w:tc>
          <w:tcPr>
            <w:tcW w:w="3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left="3" w:right="1260"/>
        <w:spacing w:after="0" w:line="264" w:lineRule="auto"/>
        <w:rPr>
          <w:sz w:val="20"/>
          <w:szCs w:val="20"/>
          <w:color w:val="auto"/>
        </w:rPr>
      </w:pPr>
      <w:r>
        <w:rPr>
          <w:rFonts w:ascii="Arial" w:cs="Arial" w:eastAsia="Arial" w:hAnsi="Arial"/>
          <w:sz w:val="18"/>
          <w:szCs w:val="18"/>
          <w:color w:val="auto"/>
        </w:rPr>
        <w:t>Intersegment revenues are primarily interest income from the warehouse line provided to SecurityNational Mortgage Company (“SecurityNational Mortgage”). Profitability for the six months ended June 30, 2020 has decreased due to a $7,946,000 increase in death, surrenders and other policy benefits, a $4,920,000 increase in selling, general and administrative expenses, a $2,215,000 increase in future policy benefits, a $661,000 decrease in gains on investments and other assets primarily due to a decrease in the fair value of equity securities due to the recent downturn of the economy caused by the COVID-19 Pandemic offset by a decrease in impairment losses on commercial real estate, and a $231,000 increase in amortization of deferred policy acquisition costs primarily due to an increase in the average outstanding balance of deferred policy and pre-need acquisition costs. This decrease was partially offset by a $6,544,000 increase in insurance premiums and a $5,961,000 increase in net investment income. The Company acquired Kilpatrick Life Insurance Company (“Kilpatrick Life”) in December 2019. See Note 15 to the condensed consolidated financial statements. This acquisition is the primary reason for the increases in insurance premiums, net investment income, death, surrenders and other policy benefits, and selling, general and administrative expenses.</w:t>
      </w:r>
    </w:p>
    <w:p>
      <w:pPr>
        <w:spacing w:after="0" w:line="209" w:lineRule="exact"/>
        <w:rPr>
          <w:sz w:val="20"/>
          <w:szCs w:val="20"/>
          <w:color w:val="auto"/>
        </w:rPr>
      </w:pPr>
    </w:p>
    <w:p>
      <w:pPr>
        <w:ind w:left="4343"/>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98425</wp:posOffset>
            </wp:positionV>
            <wp:extent cx="5634355" cy="336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10123"/>
          </w:cols>
          <w:pgMar w:left="1197" w:top="118" w:right="579" w:bottom="1440" w:gutter="0" w:footer="0" w:header="0"/>
        </w:sectPr>
      </w:pPr>
    </w:p>
    <w:bookmarkStart w:id="55" w:name="page56"/>
    <w:bookmarkEnd w:id="55"/>
    <w:p>
      <w:pPr>
        <w:spacing w:after="0"/>
        <w:rPr>
          <w:sz w:val="20"/>
          <w:szCs w:val="20"/>
          <w:color w:val="auto"/>
        </w:rPr>
      </w:pPr>
      <w:r>
        <w:rPr>
          <w:rFonts w:ascii="Arial" w:cs="Arial" w:eastAsia="Arial" w:hAnsi="Arial"/>
          <w:sz w:val="19"/>
          <w:szCs w:val="19"/>
          <w:b w:val="1"/>
          <w:bCs w:val="1"/>
          <w:color w:val="auto"/>
        </w:rPr>
        <w:t>Cemetery and Mortuary Operations</w:t>
      </w:r>
    </w:p>
    <w:p>
      <w:pPr>
        <w:spacing w:after="0" w:line="236" w:lineRule="exact"/>
        <w:rPr>
          <w:sz w:val="20"/>
          <w:szCs w:val="20"/>
          <w:color w:val="auto"/>
        </w:rPr>
      </w:pPr>
    </w:p>
    <w:p>
      <w:pPr>
        <w:jc w:val="both"/>
        <w:ind w:right="1040"/>
        <w:spacing w:after="0" w:line="252" w:lineRule="auto"/>
        <w:rPr>
          <w:sz w:val="20"/>
          <w:szCs w:val="20"/>
          <w:color w:val="auto"/>
        </w:rPr>
      </w:pPr>
      <w:r>
        <w:rPr>
          <w:rFonts w:ascii="Arial" w:cs="Arial" w:eastAsia="Arial" w:hAnsi="Arial"/>
          <w:sz w:val="19"/>
          <w:szCs w:val="19"/>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95" w:lineRule="exact"/>
        <w:rPr>
          <w:sz w:val="20"/>
          <w:szCs w:val="20"/>
          <w:color w:val="auto"/>
        </w:rPr>
      </w:pPr>
    </w:p>
    <w:p>
      <w:pPr>
        <w:jc w:val="both"/>
        <w:ind w:right="1040"/>
        <w:spacing w:after="0" w:line="261" w:lineRule="auto"/>
        <w:rPr>
          <w:sz w:val="20"/>
          <w:szCs w:val="20"/>
          <w:color w:val="auto"/>
        </w:rPr>
      </w:pPr>
      <w:r>
        <w:rPr>
          <w:rFonts w:ascii="Arial" w:cs="Arial" w:eastAsia="Arial" w:hAnsi="Arial"/>
          <w:sz w:val="19"/>
          <w:szCs w:val="19"/>
          <w:color w:val="auto"/>
        </w:rPr>
        <w:t>As a result of the COVID-19 pandemic, the Company has seen a decrease in its average case size as funeral services have been limited. The Company has transitioned its pre-need sales force to virtual selling and has done in home sales as local regulations permit.</w:t>
      </w:r>
    </w:p>
    <w:p>
      <w:pPr>
        <w:spacing w:after="0" w:line="185" w:lineRule="exact"/>
        <w:rPr>
          <w:sz w:val="20"/>
          <w:szCs w:val="20"/>
          <w:color w:val="auto"/>
        </w:rPr>
      </w:pPr>
    </w:p>
    <w:p>
      <w:pPr>
        <w:jc w:val="both"/>
        <w:ind w:right="1040"/>
        <w:spacing w:after="0" w:line="338" w:lineRule="auto"/>
        <w:rPr>
          <w:sz w:val="20"/>
          <w:szCs w:val="20"/>
          <w:color w:val="auto"/>
        </w:rPr>
      </w:pPr>
      <w:r>
        <w:rPr>
          <w:rFonts w:ascii="Arial" w:cs="Arial" w:eastAsia="Arial" w:hAnsi="Arial"/>
          <w:sz w:val="17"/>
          <w:szCs w:val="17"/>
          <w:color w:val="auto"/>
        </w:rPr>
        <w:t>The following table shows the condensed financial results of the cemetery and mortuary operations for the three and six months ended June 30, 2020 and 2019. See Note 7 to the condensed consolidated financial statements.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6"/>
          </w:tcPr>
          <w:p>
            <w:pPr>
              <w:jc w:val="center"/>
              <w:ind w:left="370"/>
              <w:spacing w:after="0"/>
              <w:rPr>
                <w:sz w:val="20"/>
                <w:szCs w:val="20"/>
                <w:color w:val="auto"/>
              </w:rPr>
            </w:pPr>
            <w:r>
              <w:rPr>
                <w:rFonts w:ascii="Arial" w:cs="Arial" w:eastAsia="Arial" w:hAnsi="Arial"/>
                <w:sz w:val="14"/>
                <w:szCs w:val="14"/>
                <w:color w:val="auto"/>
                <w:w w:val="88"/>
              </w:rPr>
              <w:t>Three months ended June 30</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6"/>
          </w:tcPr>
          <w:p>
            <w:pPr>
              <w:jc w:val="center"/>
              <w:ind w:left="110"/>
              <w:spacing w:after="0"/>
              <w:rPr>
                <w:sz w:val="20"/>
                <w:szCs w:val="20"/>
                <w:color w:val="auto"/>
              </w:rPr>
            </w:pPr>
            <w:r>
              <w:rPr>
                <w:rFonts w:ascii="Arial" w:cs="Arial" w:eastAsia="Arial" w:hAnsi="Arial"/>
                <w:sz w:val="14"/>
                <w:szCs w:val="14"/>
                <w:color w:val="auto"/>
                <w:w w:val="89"/>
              </w:rPr>
              <w:t>Six months ended June 30</w:t>
            </w:r>
          </w:p>
        </w:tc>
        <w:tc>
          <w:tcPr>
            <w:tcW w:w="800" w:type="dxa"/>
            <w:vAlign w:val="bottom"/>
          </w:tcPr>
          <w:p>
            <w:pPr>
              <w:spacing w:after="0"/>
              <w:rPr>
                <w:sz w:val="14"/>
                <w:szCs w:val="14"/>
                <w:color w:val="auto"/>
              </w:rPr>
            </w:pPr>
          </w:p>
        </w:tc>
      </w:tr>
      <w:tr>
        <w:trPr>
          <w:trHeight w:val="177"/>
        </w:trPr>
        <w:tc>
          <w:tcPr>
            <w:tcW w:w="3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center"/>
              <w:ind w:left="370"/>
              <w:spacing w:after="0"/>
              <w:rPr>
                <w:sz w:val="20"/>
                <w:szCs w:val="20"/>
                <w:color w:val="auto"/>
              </w:rPr>
            </w:pPr>
            <w:r>
              <w:rPr>
                <w:rFonts w:ascii="Arial" w:cs="Arial" w:eastAsia="Arial" w:hAnsi="Arial"/>
                <w:sz w:val="14"/>
                <w:szCs w:val="14"/>
                <w:color w:val="auto"/>
                <w:w w:val="92"/>
              </w:rPr>
              <w:t>(in thousands of dollars)</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4"/>
                <w:szCs w:val="14"/>
                <w:color w:val="auto"/>
                <w:w w:val="91"/>
              </w:rPr>
              <w:t>(in thousands of dollars)</w:t>
            </w:r>
          </w:p>
        </w:tc>
        <w:tc>
          <w:tcPr>
            <w:tcW w:w="800" w:type="dxa"/>
            <w:vAlign w:val="bottom"/>
            <w:tcBorders>
              <w:bottom w:val="single" w:sz="8" w:color="auto"/>
            </w:tcBorders>
          </w:tcPr>
          <w:p>
            <w:pPr>
              <w:spacing w:after="0"/>
              <w:rPr>
                <w:sz w:val="15"/>
                <w:szCs w:val="15"/>
                <w:color w:val="auto"/>
              </w:rPr>
            </w:pPr>
          </w:p>
        </w:tc>
      </w:tr>
      <w:tr>
        <w:trPr>
          <w:trHeight w:val="133"/>
        </w:trPr>
        <w:tc>
          <w:tcPr>
            <w:tcW w:w="3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70"/>
              <w:spacing w:after="0" w:line="133" w:lineRule="exact"/>
              <w:rPr>
                <w:sz w:val="20"/>
                <w:szCs w:val="20"/>
                <w:color w:val="auto"/>
              </w:rPr>
            </w:pPr>
            <w:r>
              <w:rPr>
                <w:rFonts w:ascii="Arial" w:cs="Arial" w:eastAsia="Arial" w:hAnsi="Arial"/>
                <w:sz w:val="14"/>
                <w:szCs w:val="14"/>
                <w:color w:val="auto"/>
                <w:w w:val="85"/>
              </w:rPr>
              <w:t>% Increase</w:t>
            </w: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ind w:right="70"/>
              <w:spacing w:after="0" w:line="133" w:lineRule="exact"/>
              <w:rPr>
                <w:sz w:val="20"/>
                <w:szCs w:val="20"/>
                <w:color w:val="auto"/>
              </w:rPr>
            </w:pPr>
            <w:r>
              <w:rPr>
                <w:rFonts w:ascii="Arial" w:cs="Arial" w:eastAsia="Arial" w:hAnsi="Arial"/>
                <w:sz w:val="14"/>
                <w:szCs w:val="14"/>
                <w:color w:val="auto"/>
                <w:w w:val="91"/>
              </w:rPr>
              <w:t>% Increase</w:t>
            </w:r>
          </w:p>
        </w:tc>
      </w:tr>
      <w:tr>
        <w:trPr>
          <w:trHeight w:val="177"/>
        </w:trPr>
        <w:tc>
          <w:tcPr>
            <w:tcW w:w="3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right"/>
              <w:ind w:right="250"/>
              <w:spacing w:after="0"/>
              <w:rPr>
                <w:sz w:val="20"/>
                <w:szCs w:val="20"/>
                <w:color w:val="auto"/>
              </w:rPr>
            </w:pPr>
            <w:r>
              <w:rPr>
                <w:rFonts w:ascii="Arial" w:cs="Arial" w:eastAsia="Arial" w:hAnsi="Arial"/>
                <w:sz w:val="14"/>
                <w:szCs w:val="14"/>
                <w:color w:val="auto"/>
                <w:w w:val="83"/>
              </w:rPr>
              <w:t>2020</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jc w:val="center"/>
              <w:ind w:right="250"/>
              <w:spacing w:after="0"/>
              <w:rPr>
                <w:sz w:val="20"/>
                <w:szCs w:val="20"/>
                <w:color w:val="auto"/>
              </w:rPr>
            </w:pPr>
            <w:r>
              <w:rPr>
                <w:rFonts w:ascii="Arial" w:cs="Arial" w:eastAsia="Arial" w:hAnsi="Arial"/>
                <w:sz w:val="14"/>
                <w:szCs w:val="14"/>
                <w:color w:val="auto"/>
                <w:w w:val="89"/>
              </w:rPr>
              <w:t>2019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w w:val="86"/>
              </w:rPr>
              <w:t>(Decrease)</w:t>
            </w:r>
          </w:p>
        </w:tc>
        <w:tc>
          <w:tcPr>
            <w:tcW w:w="620" w:type="dxa"/>
            <w:vAlign w:val="bottom"/>
          </w:tcPr>
          <w:p>
            <w:pPr>
              <w:jc w:val="right"/>
              <w:spacing w:after="0"/>
              <w:rPr>
                <w:sz w:val="20"/>
                <w:szCs w:val="20"/>
                <w:color w:val="auto"/>
              </w:rPr>
            </w:pPr>
            <w:r>
              <w:rPr>
                <w:rFonts w:ascii="Arial" w:cs="Arial" w:eastAsia="Arial" w:hAnsi="Arial"/>
                <w:sz w:val="14"/>
                <w:szCs w:val="14"/>
                <w:color w:val="auto"/>
              </w:rPr>
              <w:t>2020</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jc w:val="right"/>
              <w:ind w:right="270"/>
              <w:spacing w:after="0"/>
              <w:rPr>
                <w:sz w:val="20"/>
                <w:szCs w:val="20"/>
                <w:color w:val="auto"/>
              </w:rPr>
            </w:pPr>
            <w:r>
              <w:rPr>
                <w:rFonts w:ascii="Arial" w:cs="Arial" w:eastAsia="Arial" w:hAnsi="Arial"/>
                <w:sz w:val="14"/>
                <w:szCs w:val="14"/>
                <w:color w:val="auto"/>
                <w:w w:val="83"/>
              </w:rPr>
              <w:t>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70"/>
              <w:spacing w:after="0"/>
              <w:rPr>
                <w:sz w:val="20"/>
                <w:szCs w:val="20"/>
                <w:color w:val="auto"/>
              </w:rPr>
            </w:pPr>
            <w:r>
              <w:rPr>
                <w:rFonts w:ascii="Arial" w:cs="Arial" w:eastAsia="Arial" w:hAnsi="Arial"/>
                <w:sz w:val="14"/>
                <w:szCs w:val="14"/>
                <w:color w:val="auto"/>
                <w:w w:val="92"/>
              </w:rPr>
              <w:t>(Decrease)</w:t>
            </w:r>
          </w:p>
        </w:tc>
      </w:tr>
      <w:tr>
        <w:trPr>
          <w:trHeight w:val="178"/>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3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98"/>
        </w:trPr>
        <w:tc>
          <w:tcPr>
            <w:tcW w:w="3360" w:type="dxa"/>
            <w:vAlign w:val="bottom"/>
          </w:tcPr>
          <w:p>
            <w:pPr>
              <w:ind w:left="160"/>
              <w:spacing w:after="0"/>
              <w:rPr>
                <w:sz w:val="20"/>
                <w:szCs w:val="20"/>
                <w:color w:val="auto"/>
              </w:rPr>
            </w:pPr>
            <w:r>
              <w:rPr>
                <w:rFonts w:ascii="Arial" w:cs="Arial" w:eastAsia="Arial" w:hAnsi="Arial"/>
                <w:sz w:val="14"/>
                <w:szCs w:val="14"/>
                <w:color w:val="auto"/>
              </w:rPr>
              <w:t>Mortuary revenues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1,687</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1,595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7"/>
                <w:szCs w:val="17"/>
                <w:color w:val="auto"/>
              </w:rPr>
            </w:pPr>
          </w:p>
        </w:tc>
        <w:tc>
          <w:tcPr>
            <w:tcW w:w="62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340" w:type="dxa"/>
            <w:vAlign w:val="bottom"/>
          </w:tcPr>
          <w:p>
            <w:pPr>
              <w:jc w:val="right"/>
              <w:spacing w:after="0"/>
              <w:rPr>
                <w:sz w:val="20"/>
                <w:szCs w:val="20"/>
                <w:color w:val="auto"/>
              </w:rPr>
            </w:pPr>
            <w:r>
              <w:rPr>
                <w:rFonts w:ascii="Arial" w:cs="Arial" w:eastAsia="Arial" w:hAnsi="Arial"/>
                <w:sz w:val="14"/>
                <w:szCs w:val="14"/>
                <w:color w:val="auto"/>
                <w:w w:val="85"/>
              </w:rPr>
              <w:t>3,449</w:t>
            </w:r>
          </w:p>
        </w:tc>
        <w:tc>
          <w:tcPr>
            <w:tcW w:w="2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3,228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3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Cemetery revenues</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3,014</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5,710</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8"/>
        </w:trPr>
        <w:tc>
          <w:tcPr>
            <w:tcW w:w="3360" w:type="dxa"/>
            <w:vAlign w:val="bottom"/>
          </w:tcPr>
          <w:p>
            <w:pPr>
              <w:ind w:left="160"/>
              <w:spacing w:after="0"/>
              <w:rPr>
                <w:sz w:val="20"/>
                <w:szCs w:val="20"/>
                <w:color w:val="auto"/>
              </w:rPr>
            </w:pPr>
            <w:r>
              <w:rPr>
                <w:rFonts w:ascii="Arial" w:cs="Arial" w:eastAsia="Arial" w:hAnsi="Arial"/>
                <w:sz w:val="14"/>
                <w:szCs w:val="14"/>
                <w:color w:val="auto"/>
              </w:rPr>
              <w:t>Net investment income</w:t>
            </w: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276</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275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198"/>
        </w:trPr>
        <w:tc>
          <w:tcPr>
            <w:tcW w:w="3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Gains (losses) on investments and other assets</w:t>
            </w: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(178)</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198"/>
        </w:trPr>
        <w:tc>
          <w:tcPr>
            <w:tcW w:w="33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178"/>
        </w:trPr>
        <w:tc>
          <w:tcPr>
            <w:tcW w:w="3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5,306</w:t>
            </w: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4,543</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9,319</w:t>
            </w: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8,902</w:t>
            </w:r>
          </w:p>
        </w:tc>
        <w:tc>
          <w:tcPr>
            <w:tcW w:w="2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20"/>
        </w:trPr>
        <w:tc>
          <w:tcPr>
            <w:tcW w:w="3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64"/>
        </w:trPr>
        <w:tc>
          <w:tcPr>
            <w:tcW w:w="3360" w:type="dxa"/>
            <w:vAlign w:val="bottom"/>
          </w:tcPr>
          <w:p>
            <w:pPr>
              <w:ind w:left="20"/>
              <w:spacing w:after="0"/>
              <w:rPr>
                <w:sz w:val="20"/>
                <w:szCs w:val="20"/>
                <w:color w:val="auto"/>
              </w:rPr>
            </w:pPr>
            <w:r>
              <w:rPr>
                <w:rFonts w:ascii="Arial" w:cs="Arial" w:eastAsia="Arial" w:hAnsi="Arial"/>
                <w:sz w:val="14"/>
                <w:szCs w:val="14"/>
                <w:color w:val="auto"/>
              </w:rPr>
              <w:t>Earnings before income taxes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1,548</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1,024</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1,653</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r>
      <w:tr>
        <w:trPr>
          <w:trHeight w:val="20"/>
        </w:trPr>
        <w:tc>
          <w:tcPr>
            <w:tcW w:w="3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1040"/>
        <w:spacing w:after="0" w:line="286" w:lineRule="auto"/>
        <w:rPr>
          <w:sz w:val="20"/>
          <w:szCs w:val="20"/>
          <w:color w:val="auto"/>
        </w:rPr>
      </w:pPr>
      <w:r>
        <w:rPr>
          <w:rFonts w:ascii="Arial" w:cs="Arial" w:eastAsia="Arial" w:hAnsi="Arial"/>
          <w:sz w:val="17"/>
          <w:szCs w:val="17"/>
          <w:color w:val="auto"/>
        </w:rPr>
        <w:t>Profitability in the six months ended June 30, 2020 has decreased due to a $1,031,000 decrease in gains on investments and other assets primarily attributable to a $746,000 decrease in gains on real estate sales, a $285,000 decrease in the fair value of equity securities classified as restricted assets and cemetery perpetual care trust investments due to the recent downturn of the economy caused by the COVID-19 Pandemic. Also contributing to the decrease in profitability was a $702,000 increase in selling, general and administrative expenses and a $159,000 increase in costs of goods sold. This decrease was partially offset by a $831,000 increase in cemetery pre-need sales, a $428,000 increase in cemetery at-need sales, and a $220,000 increase in mortuary at-need sales.</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Mortgage Operations</w:t>
      </w:r>
    </w:p>
    <w:p>
      <w:pPr>
        <w:spacing w:after="0" w:line="236" w:lineRule="exact"/>
        <w:rPr>
          <w:sz w:val="20"/>
          <w:szCs w:val="20"/>
          <w:color w:val="auto"/>
        </w:rPr>
      </w:pPr>
    </w:p>
    <w:p>
      <w:pPr>
        <w:jc w:val="both"/>
        <w:ind w:right="1040"/>
        <w:spacing w:after="0" w:line="250" w:lineRule="auto"/>
        <w:rPr>
          <w:sz w:val="20"/>
          <w:szCs w:val="20"/>
          <w:color w:val="auto"/>
        </w:rPr>
      </w:pPr>
      <w:r>
        <w:rPr>
          <w:rFonts w:ascii="Arial" w:cs="Arial" w:eastAsia="Arial" w:hAnsi="Arial"/>
          <w:sz w:val="19"/>
          <w:szCs w:val="19"/>
          <w:color w:val="auto"/>
        </w:rPr>
        <w:t>The Company’s wholly owned subsidiaries, SecurityNational Mortgage and EverLEND Mortgage Company,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200" w:lineRule="exact"/>
        <w:rPr>
          <w:sz w:val="20"/>
          <w:szCs w:val="20"/>
          <w:color w:val="auto"/>
        </w:rPr>
      </w:pPr>
    </w:p>
    <w:p>
      <w:pPr>
        <w:jc w:val="both"/>
        <w:ind w:right="1040"/>
        <w:spacing w:after="0" w:line="251" w:lineRule="auto"/>
        <w:rPr>
          <w:sz w:val="20"/>
          <w:szCs w:val="20"/>
          <w:color w:val="auto"/>
        </w:rPr>
      </w:pPr>
      <w:r>
        <w:rPr>
          <w:rFonts w:ascii="Arial" w:cs="Arial" w:eastAsia="Arial" w:hAnsi="Arial"/>
          <w:sz w:val="19"/>
          <w:szCs w:val="19"/>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77% of its loan origination volume. These mortgage loans are serviced by either SecurityNational Mortgage or an approved third-party sub-servicer.</w:t>
      </w:r>
    </w:p>
    <w:p>
      <w:pPr>
        <w:spacing w:after="0" w:line="196" w:lineRule="exact"/>
        <w:rPr>
          <w:sz w:val="20"/>
          <w:szCs w:val="20"/>
          <w:color w:val="auto"/>
        </w:rPr>
      </w:pPr>
    </w:p>
    <w:p>
      <w:pPr>
        <w:jc w:val="both"/>
        <w:ind w:right="1040"/>
        <w:spacing w:after="0" w:line="261" w:lineRule="auto"/>
        <w:rPr>
          <w:sz w:val="20"/>
          <w:szCs w:val="20"/>
          <w:color w:val="auto"/>
        </w:rPr>
      </w:pPr>
      <w:r>
        <w:rPr>
          <w:rFonts w:ascii="Arial" w:cs="Arial" w:eastAsia="Arial" w:hAnsi="Arial"/>
          <w:sz w:val="19"/>
          <w:szCs w:val="19"/>
          <w:color w:val="auto"/>
        </w:rPr>
        <w:t>For the six months ended June 30, 2020 and 2019, SecurityNational Mortgage originated 8,105 loans ($2,037,850,000 total volume) and 4,605 loans ($1,021,464,000 total volume), respectively. For the six months ended June 30, 2020</w:t>
      </w:r>
    </w:p>
    <w:p>
      <w:pPr>
        <w:spacing w:after="0" w:line="211"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5634355" cy="336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900"/>
          </w:cols>
          <w:pgMar w:left="1200" w:top="118" w:right="799" w:bottom="1440" w:gutter="0" w:footer="0" w:header="0"/>
        </w:sectPr>
      </w:pPr>
    </w:p>
    <w:bookmarkStart w:id="56" w:name="page57"/>
    <w:bookmarkEnd w:id="56"/>
    <w:p>
      <w:pPr>
        <w:jc w:val="both"/>
        <w:ind w:right="1060"/>
        <w:spacing w:after="0" w:line="278" w:lineRule="auto"/>
        <w:rPr>
          <w:sz w:val="20"/>
          <w:szCs w:val="20"/>
          <w:color w:val="auto"/>
        </w:rPr>
      </w:pPr>
      <w:r>
        <w:rPr>
          <w:rFonts w:ascii="Arial" w:cs="Arial" w:eastAsia="Arial" w:hAnsi="Arial"/>
          <w:sz w:val="19"/>
          <w:szCs w:val="19"/>
          <w:color w:val="auto"/>
        </w:rPr>
        <w:t>and 2019, EverLEND Mortgage originated 240 loans ($67,198,000 total volume) and 110 loans ($28,792,000 total volume), respectively.</w:t>
      </w:r>
    </w:p>
    <w:p>
      <w:pPr>
        <w:spacing w:after="0" w:line="168" w:lineRule="exact"/>
        <w:rPr>
          <w:sz w:val="20"/>
          <w:szCs w:val="20"/>
          <w:color w:val="auto"/>
        </w:rPr>
      </w:pPr>
    </w:p>
    <w:p>
      <w:pPr>
        <w:jc w:val="both"/>
        <w:ind w:right="1060"/>
        <w:spacing w:after="0" w:line="256" w:lineRule="auto"/>
        <w:rPr>
          <w:sz w:val="20"/>
          <w:szCs w:val="20"/>
          <w:color w:val="auto"/>
        </w:rPr>
      </w:pPr>
      <w:r>
        <w:rPr>
          <w:rFonts w:ascii="Arial" w:cs="Arial" w:eastAsia="Arial" w:hAnsi="Arial"/>
          <w:sz w:val="19"/>
          <w:szCs w:val="19"/>
          <w:color w:val="auto"/>
        </w:rPr>
        <w:t>During the COVID-19 pandemic, the appetite for mortgage loans has remained steady. The Company has seen most markets increase their demand for new homes and refinances on existing homes. The Company has transitioned 90% of its processes to a work from home environment. The largest hurdle that the Company faces is being able to process all applications in a timely manner.</w:t>
      </w:r>
    </w:p>
    <w:p>
      <w:pPr>
        <w:spacing w:after="0" w:line="190" w:lineRule="exact"/>
        <w:rPr>
          <w:sz w:val="20"/>
          <w:szCs w:val="20"/>
          <w:color w:val="auto"/>
        </w:rPr>
      </w:pPr>
    </w:p>
    <w:p>
      <w:pPr>
        <w:jc w:val="both"/>
        <w:ind w:right="1060"/>
        <w:spacing w:after="0" w:line="306" w:lineRule="auto"/>
        <w:rPr>
          <w:sz w:val="20"/>
          <w:szCs w:val="20"/>
          <w:color w:val="auto"/>
        </w:rPr>
      </w:pPr>
      <w:r>
        <w:rPr>
          <w:rFonts w:ascii="Arial" w:cs="Arial" w:eastAsia="Arial" w:hAnsi="Arial"/>
          <w:sz w:val="18"/>
          <w:szCs w:val="18"/>
          <w:color w:val="auto"/>
        </w:rPr>
        <w:t>The following table shows the condensed financial results of the mortgage operations for the three and six months ended June 30, 2020 and 2019. See Note 7 to the condensed consolidated financial statements.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160" w:type="dxa"/>
            <w:vAlign w:val="bottom"/>
            <w:gridSpan w:val="6"/>
          </w:tcPr>
          <w:p>
            <w:pPr>
              <w:jc w:val="center"/>
              <w:ind w:left="310"/>
              <w:spacing w:after="0"/>
              <w:rPr>
                <w:sz w:val="20"/>
                <w:szCs w:val="20"/>
                <w:color w:val="auto"/>
              </w:rPr>
            </w:pPr>
            <w:r>
              <w:rPr>
                <w:rFonts w:ascii="Arial" w:cs="Arial" w:eastAsia="Arial" w:hAnsi="Arial"/>
                <w:sz w:val="14"/>
                <w:szCs w:val="14"/>
                <w:color w:val="auto"/>
                <w:w w:val="88"/>
              </w:rPr>
              <w:t>Three months ended June 30</w:t>
            </w: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40" w:type="dxa"/>
            <w:vAlign w:val="bottom"/>
            <w:gridSpan w:val="4"/>
          </w:tcPr>
          <w:p>
            <w:pPr>
              <w:jc w:val="center"/>
              <w:ind w:right="20"/>
              <w:spacing w:after="0"/>
              <w:rPr>
                <w:sz w:val="20"/>
                <w:szCs w:val="20"/>
                <w:color w:val="auto"/>
              </w:rPr>
            </w:pPr>
            <w:r>
              <w:rPr>
                <w:rFonts w:ascii="Arial" w:cs="Arial" w:eastAsia="Arial" w:hAnsi="Arial"/>
                <w:sz w:val="14"/>
                <w:szCs w:val="14"/>
                <w:color w:val="auto"/>
                <w:w w:val="89"/>
              </w:rPr>
              <w:t>Six months ended June 30</w:t>
            </w:r>
          </w:p>
        </w:tc>
        <w:tc>
          <w:tcPr>
            <w:tcW w:w="1080" w:type="dxa"/>
            <w:vAlign w:val="bottom"/>
          </w:tcPr>
          <w:p>
            <w:pPr>
              <w:spacing w:after="0"/>
              <w:rPr>
                <w:sz w:val="14"/>
                <w:szCs w:val="14"/>
                <w:color w:val="auto"/>
              </w:rPr>
            </w:pPr>
          </w:p>
        </w:tc>
      </w:tr>
      <w:tr>
        <w:trPr>
          <w:trHeight w:val="177"/>
        </w:trPr>
        <w:tc>
          <w:tcPr>
            <w:tcW w:w="2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color w:val="auto"/>
                <w:w w:val="91"/>
              </w:rPr>
              <w:t>(in thousands of dollars)</w:t>
            </w: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2"/>
              </w:rPr>
              <w:t>(in thousands of dollars)</w:t>
            </w:r>
          </w:p>
        </w:tc>
        <w:tc>
          <w:tcPr>
            <w:tcW w:w="1080" w:type="dxa"/>
            <w:vAlign w:val="bottom"/>
            <w:tcBorders>
              <w:bottom w:val="single" w:sz="8" w:color="auto"/>
            </w:tcBorders>
          </w:tcPr>
          <w:p>
            <w:pPr>
              <w:spacing w:after="0"/>
              <w:rPr>
                <w:sz w:val="15"/>
                <w:szCs w:val="15"/>
                <w:color w:val="auto"/>
              </w:rPr>
            </w:pPr>
          </w:p>
        </w:tc>
      </w:tr>
      <w:tr>
        <w:trPr>
          <w:trHeight w:val="133"/>
        </w:trPr>
        <w:tc>
          <w:tcPr>
            <w:tcW w:w="2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jc w:val="right"/>
              <w:ind w:right="150"/>
              <w:spacing w:after="0" w:line="133" w:lineRule="exact"/>
              <w:rPr>
                <w:sz w:val="20"/>
                <w:szCs w:val="20"/>
                <w:color w:val="auto"/>
              </w:rPr>
            </w:pPr>
            <w:r>
              <w:rPr>
                <w:rFonts w:ascii="Arial" w:cs="Arial" w:eastAsia="Arial" w:hAnsi="Arial"/>
                <w:sz w:val="14"/>
                <w:szCs w:val="14"/>
                <w:color w:val="auto"/>
                <w:w w:val="99"/>
              </w:rPr>
              <w:t>% Increase</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right"/>
              <w:ind w:right="170"/>
              <w:spacing w:after="0" w:line="133" w:lineRule="exact"/>
              <w:rPr>
                <w:sz w:val="20"/>
                <w:szCs w:val="20"/>
                <w:color w:val="auto"/>
              </w:rPr>
            </w:pPr>
            <w:r>
              <w:rPr>
                <w:rFonts w:ascii="Arial" w:cs="Arial" w:eastAsia="Arial" w:hAnsi="Arial"/>
                <w:sz w:val="14"/>
                <w:szCs w:val="14"/>
                <w:color w:val="auto"/>
              </w:rPr>
              <w:t>% Increase</w:t>
            </w:r>
          </w:p>
        </w:tc>
      </w:tr>
      <w:tr>
        <w:trPr>
          <w:trHeight w:val="177"/>
        </w:trPr>
        <w:tc>
          <w:tcPr>
            <w:tcW w:w="2300" w:type="dxa"/>
            <w:vAlign w:val="bottom"/>
          </w:tcPr>
          <w:p>
            <w:pPr>
              <w:spacing w:after="0"/>
              <w:rPr>
                <w:sz w:val="15"/>
                <w:szCs w:val="15"/>
                <w:color w:val="auto"/>
              </w:rPr>
            </w:pP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2020</w:t>
            </w:r>
          </w:p>
        </w:tc>
        <w:tc>
          <w:tcPr>
            <w:tcW w:w="1300" w:type="dxa"/>
            <w:vAlign w:val="bottom"/>
            <w:gridSpan w:val="3"/>
          </w:tcPr>
          <w:p>
            <w:pPr>
              <w:ind w:left="620"/>
              <w:spacing w:after="0"/>
              <w:rPr>
                <w:sz w:val="20"/>
                <w:szCs w:val="20"/>
                <w:color w:val="auto"/>
              </w:rPr>
            </w:pPr>
            <w:r>
              <w:rPr>
                <w:rFonts w:ascii="Arial" w:cs="Arial" w:eastAsia="Arial" w:hAnsi="Arial"/>
                <w:sz w:val="14"/>
                <w:szCs w:val="14"/>
                <w:color w:val="auto"/>
              </w:rPr>
              <w:t>2019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color w:val="auto"/>
              </w:rPr>
              <w:t>(Decrease)</w:t>
            </w:r>
          </w:p>
        </w:tc>
        <w:tc>
          <w:tcPr>
            <w:tcW w:w="1080" w:type="dxa"/>
            <w:vAlign w:val="bottom"/>
            <w:gridSpan w:val="2"/>
          </w:tcPr>
          <w:p>
            <w:pPr>
              <w:ind w:left="400"/>
              <w:spacing w:after="0"/>
              <w:rPr>
                <w:sz w:val="20"/>
                <w:szCs w:val="20"/>
                <w:color w:val="auto"/>
              </w:rPr>
            </w:pPr>
            <w:r>
              <w:rPr>
                <w:rFonts w:ascii="Arial" w:cs="Arial" w:eastAsia="Arial" w:hAnsi="Arial"/>
                <w:sz w:val="14"/>
                <w:szCs w:val="14"/>
                <w:color w:val="auto"/>
              </w:rPr>
              <w:t>2020</w:t>
            </w:r>
          </w:p>
        </w:tc>
        <w:tc>
          <w:tcPr>
            <w:tcW w:w="1300" w:type="dxa"/>
            <w:vAlign w:val="bottom"/>
            <w:gridSpan w:val="3"/>
          </w:tcPr>
          <w:p>
            <w:pPr>
              <w:ind w:left="640"/>
              <w:spacing w:after="0"/>
              <w:rPr>
                <w:sz w:val="20"/>
                <w:szCs w:val="20"/>
                <w:color w:val="auto"/>
              </w:rPr>
            </w:pPr>
            <w:r>
              <w:rPr>
                <w:rFonts w:ascii="Arial" w:cs="Arial" w:eastAsia="Arial" w:hAnsi="Arial"/>
                <w:sz w:val="14"/>
                <w:szCs w:val="14"/>
                <w:color w:val="auto"/>
              </w:rPr>
              <w:t>2019</w:t>
            </w:r>
          </w:p>
        </w:tc>
        <w:tc>
          <w:tcPr>
            <w:tcW w:w="240" w:type="dxa"/>
            <w:vAlign w:val="bottom"/>
          </w:tcPr>
          <w:p>
            <w:pPr>
              <w:spacing w:after="0"/>
              <w:rPr>
                <w:sz w:val="15"/>
                <w:szCs w:val="15"/>
                <w:color w:val="auto"/>
              </w:rPr>
            </w:pPr>
          </w:p>
        </w:tc>
        <w:tc>
          <w:tcPr>
            <w:tcW w:w="1080" w:type="dxa"/>
            <w:vAlign w:val="bottom"/>
          </w:tcPr>
          <w:p>
            <w:pPr>
              <w:jc w:val="right"/>
              <w:ind w:right="170"/>
              <w:spacing w:after="0"/>
              <w:rPr>
                <w:sz w:val="20"/>
                <w:szCs w:val="20"/>
                <w:color w:val="auto"/>
              </w:rPr>
            </w:pPr>
            <w:r>
              <w:rPr>
                <w:rFonts w:ascii="Arial" w:cs="Arial" w:eastAsia="Arial" w:hAnsi="Arial"/>
                <w:sz w:val="14"/>
                <w:szCs w:val="14"/>
                <w:color w:val="auto"/>
              </w:rPr>
              <w:t>(Decrease)</w:t>
            </w:r>
          </w:p>
        </w:tc>
      </w:tr>
      <w:tr>
        <w:trPr>
          <w:trHeight w:val="178"/>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5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r>
      <w:tr>
        <w:trPr>
          <w:trHeight w:val="198"/>
        </w:trPr>
        <w:tc>
          <w:tcPr>
            <w:tcW w:w="2300" w:type="dxa"/>
            <w:vAlign w:val="bottom"/>
          </w:tcPr>
          <w:p>
            <w:pPr>
              <w:ind w:left="160"/>
              <w:spacing w:after="0"/>
              <w:rPr>
                <w:sz w:val="20"/>
                <w:szCs w:val="20"/>
                <w:color w:val="auto"/>
              </w:rPr>
            </w:pPr>
            <w:r>
              <w:rPr>
                <w:rFonts w:ascii="Arial" w:cs="Arial" w:eastAsia="Arial" w:hAnsi="Arial"/>
                <w:sz w:val="14"/>
                <w:szCs w:val="14"/>
                <w:color w:val="auto"/>
              </w:rPr>
              <w:t>Income from loan originations</w:t>
            </w: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23,945</w:t>
            </w:r>
          </w:p>
        </w:tc>
        <w:tc>
          <w:tcPr>
            <w:tcW w:w="8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11,745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Pr>
          <w:p>
            <w:pPr>
              <w:spacing w:after="0"/>
              <w:rPr>
                <w:sz w:val="17"/>
                <w:szCs w:val="17"/>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36,380</w:t>
            </w:r>
          </w:p>
        </w:tc>
        <w:tc>
          <w:tcPr>
            <w:tcW w:w="8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18,840</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w:t>
            </w:r>
          </w:p>
        </w:tc>
      </w:tr>
      <w:tr>
        <w:trPr>
          <w:trHeight w:val="198"/>
        </w:trPr>
        <w:tc>
          <w:tcPr>
            <w:tcW w:w="23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Secondary gains from investors</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49,423</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77,270</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38,585</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8"/>
        </w:trPr>
        <w:tc>
          <w:tcPr>
            <w:tcW w:w="2300" w:type="dxa"/>
            <w:vAlign w:val="bottom"/>
          </w:tcPr>
          <w:p>
            <w:pPr>
              <w:ind w:left="20"/>
              <w:spacing w:after="0"/>
              <w:rPr>
                <w:sz w:val="20"/>
                <w:szCs w:val="20"/>
                <w:color w:val="auto"/>
              </w:rPr>
            </w:pPr>
            <w:r>
              <w:rPr>
                <w:rFonts w:ascii="Arial" w:cs="Arial" w:eastAsia="Arial" w:hAnsi="Arial"/>
                <w:sz w:val="14"/>
                <w:szCs w:val="14"/>
                <w:color w:val="auto"/>
              </w:rPr>
              <w:t>Net investment income</w:t>
            </w:r>
          </w:p>
        </w:tc>
        <w:tc>
          <w:tcPr>
            <w:tcW w:w="5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259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253</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435</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98"/>
        </w:trPr>
        <w:tc>
          <w:tcPr>
            <w:tcW w:w="2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3"/>
              </w:rPr>
              <w:t>Gains on investments and other assets</w:t>
            </w: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198"/>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w:t>
            </w:r>
          </w:p>
        </w:tc>
        <w:tc>
          <w:tcPr>
            <w:tcW w:w="2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1,999</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4,060</w:t>
            </w:r>
          </w:p>
        </w:tc>
        <w:tc>
          <w:tcPr>
            <w:tcW w:w="24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4,008</w:t>
            </w:r>
          </w:p>
        </w:tc>
        <w:tc>
          <w:tcPr>
            <w:tcW w:w="24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78"/>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75,567</w:t>
            </w:r>
          </w:p>
        </w:tc>
        <w:tc>
          <w:tcPr>
            <w:tcW w:w="2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35,295</w:t>
            </w: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117,956</w:t>
            </w:r>
          </w:p>
        </w:tc>
        <w:tc>
          <w:tcPr>
            <w:tcW w:w="24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61,924</w:t>
            </w:r>
          </w:p>
        </w:tc>
        <w:tc>
          <w:tcPr>
            <w:tcW w:w="2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20"/>
        </w:trPr>
        <w:tc>
          <w:tcPr>
            <w:tcW w:w="2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4"/>
        </w:trPr>
        <w:tc>
          <w:tcPr>
            <w:tcW w:w="2300" w:type="dxa"/>
            <w:vAlign w:val="bottom"/>
          </w:tcPr>
          <w:p>
            <w:pPr>
              <w:ind w:left="20"/>
              <w:spacing w:after="0"/>
              <w:rPr>
                <w:sz w:val="20"/>
                <w:szCs w:val="20"/>
                <w:color w:val="auto"/>
              </w:rPr>
            </w:pPr>
            <w:r>
              <w:rPr>
                <w:rFonts w:ascii="Arial" w:cs="Arial" w:eastAsia="Arial" w:hAnsi="Arial"/>
                <w:sz w:val="14"/>
                <w:szCs w:val="14"/>
                <w:color w:val="auto"/>
              </w:rPr>
              <w:t>Earnings before income taxes</w:t>
            </w:r>
          </w:p>
        </w:tc>
        <w:tc>
          <w:tcPr>
            <w:tcW w:w="580" w:type="dxa"/>
            <w:vAlign w:val="bottom"/>
          </w:tcPr>
          <w:p>
            <w:pPr>
              <w:ind w:left="40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21,975</w:t>
            </w:r>
          </w:p>
        </w:tc>
        <w:tc>
          <w:tcPr>
            <w:tcW w:w="8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2,381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823%</w:t>
            </w:r>
          </w:p>
        </w:tc>
        <w:tc>
          <w:tcPr>
            <w:tcW w:w="240" w:type="dxa"/>
            <w:vAlign w:val="bottom"/>
          </w:tcPr>
          <w:p>
            <w:pPr>
              <w:spacing w:after="0"/>
              <w:rPr>
                <w:sz w:val="14"/>
                <w:szCs w:val="14"/>
                <w:color w:val="auto"/>
              </w:rPr>
            </w:pPr>
          </w:p>
        </w:tc>
        <w:tc>
          <w:tcPr>
            <w:tcW w:w="540" w:type="dxa"/>
            <w:vAlign w:val="bottom"/>
          </w:tcPr>
          <w:p>
            <w:pPr>
              <w:ind w:left="4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26,414</w:t>
            </w:r>
          </w:p>
        </w:tc>
        <w:tc>
          <w:tcPr>
            <w:tcW w:w="80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1,543</w:t>
            </w:r>
          </w:p>
        </w:tc>
        <w:tc>
          <w:tcPr>
            <w:tcW w:w="2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1612%</w:t>
            </w:r>
          </w:p>
        </w:tc>
      </w:tr>
      <w:tr>
        <w:trPr>
          <w:trHeight w:val="20"/>
        </w:trPr>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right="1060"/>
        <w:spacing w:after="0" w:line="261" w:lineRule="auto"/>
        <w:rPr>
          <w:sz w:val="20"/>
          <w:szCs w:val="20"/>
          <w:color w:val="auto"/>
        </w:rPr>
      </w:pPr>
      <w:r>
        <w:rPr>
          <w:rFonts w:ascii="Arial" w:cs="Arial" w:eastAsia="Arial" w:hAnsi="Arial"/>
          <w:sz w:val="19"/>
          <w:szCs w:val="19"/>
          <w:color w:val="auto"/>
        </w:rPr>
        <w:t>Included in other revenues is service fee income. The increase in earnings for the six months ended June 30, 2020 was due to an increase in mortgage loan originations and refinancings, and subsequent sales of mortgage loans into the secondary market.</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Mortgage Loan Loss Settlements</w:t>
      </w:r>
    </w:p>
    <w:p>
      <w:pPr>
        <w:spacing w:after="0" w:line="200" w:lineRule="exact"/>
        <w:rPr>
          <w:sz w:val="20"/>
          <w:szCs w:val="20"/>
          <w:color w:val="auto"/>
        </w:rPr>
      </w:pPr>
    </w:p>
    <w:p>
      <w:pPr>
        <w:spacing w:after="0" w:line="202" w:lineRule="exact"/>
        <w:rPr>
          <w:sz w:val="20"/>
          <w:szCs w:val="20"/>
          <w:color w:val="auto"/>
        </w:rPr>
      </w:pPr>
    </w:p>
    <w:p>
      <w:pPr>
        <w:jc w:val="both"/>
        <w:ind w:right="1060"/>
        <w:spacing w:after="0" w:line="254" w:lineRule="auto"/>
        <w:rPr>
          <w:sz w:val="20"/>
          <w:szCs w:val="20"/>
          <w:color w:val="auto"/>
        </w:rPr>
      </w:pPr>
      <w:r>
        <w:rPr>
          <w:rFonts w:ascii="Arial" w:cs="Arial" w:eastAsia="Arial" w:hAnsi="Arial"/>
          <w:sz w:val="19"/>
          <w:szCs w:val="19"/>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June 30, 2020 and December 31, 2019, the balances were $4,786,000 and $4,046,000,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Mortgage Loan Loss Litigation</w:t>
      </w:r>
    </w:p>
    <w:p>
      <w:pPr>
        <w:spacing w:after="0" w:line="230" w:lineRule="exact"/>
        <w:rPr>
          <w:sz w:val="20"/>
          <w:szCs w:val="20"/>
          <w:color w:val="auto"/>
        </w:rPr>
      </w:pPr>
    </w:p>
    <w:p>
      <w:pPr>
        <w:jc w:val="both"/>
        <w:ind w:right="1060"/>
        <w:spacing w:after="0" w:line="277" w:lineRule="auto"/>
        <w:rPr>
          <w:sz w:val="20"/>
          <w:szCs w:val="20"/>
          <w:color w:val="auto"/>
        </w:rPr>
      </w:pPr>
      <w:r>
        <w:rPr>
          <w:rFonts w:ascii="Arial" w:cs="Arial" w:eastAsia="Arial" w:hAnsi="Arial"/>
          <w:sz w:val="19"/>
          <w:szCs w:val="19"/>
          <w:color w:val="auto"/>
        </w:rPr>
        <w:t>For a description of the litigation involving SecurityNational Mortgage and Lehman Brothers Holdings, see Part I, Item 1. Notes to Condensed Consolidated Financial Statements (unaudited) in Note 11.</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Consolidation</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Three Months Ended June 30, 2020 Compared to Three Months Ended June 30, 2019</w:t>
      </w:r>
    </w:p>
    <w:p>
      <w:pPr>
        <w:spacing w:after="0" w:line="236" w:lineRule="exact"/>
        <w:rPr>
          <w:sz w:val="20"/>
          <w:szCs w:val="20"/>
          <w:color w:val="auto"/>
        </w:rPr>
      </w:pPr>
    </w:p>
    <w:p>
      <w:pPr>
        <w:jc w:val="both"/>
        <w:ind w:right="1060"/>
        <w:spacing w:after="0" w:line="252" w:lineRule="auto"/>
        <w:rPr>
          <w:sz w:val="20"/>
          <w:szCs w:val="20"/>
          <w:color w:val="auto"/>
        </w:rPr>
      </w:pPr>
      <w:r>
        <w:rPr>
          <w:rFonts w:ascii="Arial" w:cs="Arial" w:eastAsia="Arial" w:hAnsi="Arial"/>
          <w:sz w:val="19"/>
          <w:szCs w:val="19"/>
          <w:color w:val="auto"/>
        </w:rPr>
        <w:t>Total revenues increased by $50,216,000, or 73.4%, to $118,662,000 for the three months ended June 30, 2020, from $68,445,000 for the comparable period in 2019. Contributing to this increase in total revenues was a $40,422,000 increase in mortgage fee income, a $3,279,000 increase in insurance premiums and other considerations, a $3,264,000 increase in gains on investments and other assets, a $2,422,000 increase in net investment income, a $700,000 increase in net mortuary and cemetery sales, and a $129,000 increase in other revenues.</w:t>
      </w:r>
    </w:p>
    <w:p>
      <w:pPr>
        <w:spacing w:after="0" w:line="195" w:lineRule="exact"/>
        <w:rPr>
          <w:sz w:val="20"/>
          <w:szCs w:val="20"/>
          <w:color w:val="auto"/>
        </w:rPr>
      </w:pPr>
    </w:p>
    <w:p>
      <w:pPr>
        <w:jc w:val="both"/>
        <w:ind w:right="1060"/>
        <w:spacing w:after="0" w:line="252" w:lineRule="auto"/>
        <w:rPr>
          <w:sz w:val="20"/>
          <w:szCs w:val="20"/>
          <w:color w:val="auto"/>
        </w:rPr>
      </w:pPr>
      <w:r>
        <w:rPr>
          <w:rFonts w:ascii="Arial" w:cs="Arial" w:eastAsia="Arial" w:hAnsi="Arial"/>
          <w:sz w:val="19"/>
          <w:szCs w:val="19"/>
          <w:color w:val="auto"/>
        </w:rPr>
        <w:t>Insurance premiums and other considerations increased by $3,280,000, or 16.7%, to $22,925,000 for the three months ended June 30, 2020, from $19,645,000 for the comparable period in 2019. This increase was primarily due to $2,880,000 from the acquisition of Kilpatrick Life in December 2019. See Note 15 to the condensed consolidated financial statements. This increase was also due to an increase in renewal premiums due to the growth of the Company in recent years, particularly in whole life products, which resulted in more premium paying business in force.</w:t>
      </w:r>
    </w:p>
    <w:p>
      <w:pPr>
        <w:spacing w:after="0" w:line="221" w:lineRule="exact"/>
        <w:rPr>
          <w:sz w:val="20"/>
          <w:szCs w:val="20"/>
          <w:color w:val="auto"/>
        </w:rPr>
      </w:pPr>
    </w:p>
    <w:p>
      <w:pPr>
        <w:ind w:left="4340"/>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5634355" cy="33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920"/>
          </w:cols>
          <w:pgMar w:left="1200" w:top="122" w:right="779" w:bottom="1440" w:gutter="0" w:footer="0" w:header="0"/>
        </w:sectPr>
      </w:pPr>
    </w:p>
    <w:bookmarkStart w:id="57" w:name="page58"/>
    <w:bookmarkEnd w:id="57"/>
    <w:p>
      <w:pPr>
        <w:jc w:val="both"/>
        <w:ind w:right="399"/>
        <w:spacing w:after="0" w:line="250" w:lineRule="auto"/>
        <w:rPr>
          <w:sz w:val="20"/>
          <w:szCs w:val="20"/>
          <w:color w:val="auto"/>
        </w:rPr>
      </w:pPr>
      <w:r>
        <w:rPr>
          <w:rFonts w:ascii="Arial" w:cs="Arial" w:eastAsia="Arial" w:hAnsi="Arial"/>
          <w:sz w:val="19"/>
          <w:szCs w:val="19"/>
          <w:color w:val="auto"/>
        </w:rPr>
        <w:t>Net investment income increased by $2,422,000, or 23.0%, to $12,963,000 for the three months ended June 30, 2020, from $10,541,000 for the comparable period in 2019. This increase was primarily attributable to a $1,056,000 increase in mortgage loan interest ($486,000 due to the acquisition of Kilpatrick Life), a $691,000 increase in rental income from real estate held for investment, a $614,000 increase in fixed maturity securities income ($609,000 due to the acquisition of Kilpatrick Life), a $477,000 increase in insurance assignment income, a $151,000 increase in policy loan income ($133,000 due to the acquisition of Kilpatrick Life), and a $36,000 increase in equity securities income. This increase was partially offset by a $443,000 decrease in interest on cash and cash equivalents, a $108,000 increase in investment expenses, and a $52,000 decrease in other investment income.</w:t>
      </w:r>
    </w:p>
    <w:p>
      <w:pPr>
        <w:spacing w:after="0" w:line="198" w:lineRule="exact"/>
        <w:rPr>
          <w:sz w:val="20"/>
          <w:szCs w:val="20"/>
          <w:color w:val="auto"/>
        </w:rPr>
      </w:pPr>
    </w:p>
    <w:p>
      <w:pPr>
        <w:jc w:val="both"/>
        <w:ind w:right="399"/>
        <w:spacing w:after="0" w:line="256" w:lineRule="auto"/>
        <w:rPr>
          <w:sz w:val="20"/>
          <w:szCs w:val="20"/>
          <w:color w:val="auto"/>
        </w:rPr>
      </w:pPr>
      <w:r>
        <w:rPr>
          <w:rFonts w:ascii="Arial" w:cs="Arial" w:eastAsia="Arial" w:hAnsi="Arial"/>
          <w:sz w:val="19"/>
          <w:szCs w:val="19"/>
          <w:color w:val="auto"/>
        </w:rPr>
        <w:t>Net mortuary and cemetery sales increased by $700,000, or 17.5%, to $4,701,000 for the three months ended June 30, 2020, from $4,001,000 for the comparable period in 2019. This increase was primarily due to a $468,000 increase in cemetery pre-need sales, a $140,000 increase in cemetery at-need sales, and a $92,000 increase in mortuary at-need sales.</w:t>
      </w:r>
    </w:p>
    <w:p>
      <w:pPr>
        <w:spacing w:after="0" w:line="190" w:lineRule="exact"/>
        <w:rPr>
          <w:sz w:val="20"/>
          <w:szCs w:val="20"/>
          <w:color w:val="auto"/>
        </w:rPr>
      </w:pPr>
    </w:p>
    <w:p>
      <w:pPr>
        <w:jc w:val="both"/>
        <w:ind w:right="399"/>
        <w:spacing w:after="0" w:line="265" w:lineRule="auto"/>
        <w:rPr>
          <w:sz w:val="20"/>
          <w:szCs w:val="20"/>
          <w:color w:val="auto"/>
        </w:rPr>
      </w:pPr>
      <w:r>
        <w:rPr>
          <w:rFonts w:ascii="Arial" w:cs="Arial" w:eastAsia="Arial" w:hAnsi="Arial"/>
          <w:sz w:val="18"/>
          <w:szCs w:val="18"/>
          <w:color w:val="auto"/>
        </w:rPr>
        <w:t>Gains on investments and other assets increased by $3,264,000, or 318.2%, to gains of $2,238,000 for the three months ended June 30, 2020, from losses of $1,026,000 for the comparable period in 2019. This increase in gains on investments and other assets was primarily due a $1,682,000 increase in gains on other assets mostly attributable to increases in the fair value of call and put option derivatives and a decrease in impairment losses on commercial real estate. This increase in gains on investments and other assets was also due to a $1,633,000 increase in gains on equity securities ($303,000 due to the acquisition of Kilpatrick Life) mostly attributable to increases in the fair value of these equity securities. Due to the adoption of Accounting Standards Update (“ASU”) 2016-01 on January 1, 2019, these changes in fair value are recognized in earnings instead of other comprehensive income. This decrease in gains on investments and other assets was partially offset by a $51,000 decrease in gains on fixed maturity securities.</w:t>
      </w:r>
    </w:p>
    <w:p>
      <w:pPr>
        <w:spacing w:after="0" w:line="184" w:lineRule="exact"/>
        <w:rPr>
          <w:sz w:val="20"/>
          <w:szCs w:val="20"/>
          <w:color w:val="auto"/>
        </w:rPr>
      </w:pPr>
    </w:p>
    <w:p>
      <w:pPr>
        <w:jc w:val="both"/>
        <w:ind w:right="379"/>
        <w:spacing w:after="0" w:line="291" w:lineRule="auto"/>
        <w:rPr>
          <w:sz w:val="20"/>
          <w:szCs w:val="20"/>
          <w:color w:val="auto"/>
        </w:rPr>
      </w:pPr>
      <w:r>
        <w:rPr>
          <w:rFonts w:ascii="Arial" w:cs="Arial" w:eastAsia="Arial" w:hAnsi="Arial"/>
          <w:sz w:val="17"/>
          <w:szCs w:val="17"/>
          <w:color w:val="auto"/>
        </w:rPr>
        <w:t>Mortgage fee income increased by $40,422,000, or 122.7%, to $73,368,000, for the three months ended June 30, 2020, from $32,946,000 for the comparable period in 2019. This increase was primarily due to a $28,222,000 increase in secondary gains from loans sold to third-party investors, a $7,512,000 increase in loan fees and interest income, and a $6,060,000 increase in the fair value of loans held for sale and loan commitments. This increase in mortgage fee income was partially offset by a $1,372,000 increase in the provision for loan loss reserve.</w:t>
      </w:r>
    </w:p>
    <w:p>
      <w:pPr>
        <w:spacing w:after="0" w:line="162" w:lineRule="exact"/>
        <w:rPr>
          <w:sz w:val="20"/>
          <w:szCs w:val="20"/>
          <w:color w:val="auto"/>
        </w:rPr>
      </w:pPr>
    </w:p>
    <w:p>
      <w:pPr>
        <w:jc w:val="both"/>
        <w:ind w:right="399"/>
        <w:spacing w:after="0" w:line="261" w:lineRule="auto"/>
        <w:rPr>
          <w:sz w:val="20"/>
          <w:szCs w:val="20"/>
          <w:color w:val="auto"/>
        </w:rPr>
      </w:pPr>
      <w:r>
        <w:rPr>
          <w:rFonts w:ascii="Arial" w:cs="Arial" w:eastAsia="Arial" w:hAnsi="Arial"/>
          <w:sz w:val="19"/>
          <w:szCs w:val="19"/>
          <w:color w:val="auto"/>
        </w:rPr>
        <w:t>Other revenues increased by $129,000, or 5.5%, to $2,467,000 for the three months ended June 30, 2020, from $2,338,000 for the comparable period in 2019. This increase was primarily attributable to a increase in servicing fee revenue.</w:t>
      </w:r>
    </w:p>
    <w:p>
      <w:pPr>
        <w:spacing w:after="0" w:line="185" w:lineRule="exact"/>
        <w:rPr>
          <w:sz w:val="20"/>
          <w:szCs w:val="20"/>
          <w:color w:val="auto"/>
        </w:rPr>
      </w:pPr>
    </w:p>
    <w:p>
      <w:pPr>
        <w:jc w:val="both"/>
        <w:ind w:right="399"/>
        <w:spacing w:after="0" w:line="306" w:lineRule="auto"/>
        <w:rPr>
          <w:sz w:val="20"/>
          <w:szCs w:val="20"/>
          <w:color w:val="auto"/>
        </w:rPr>
      </w:pPr>
      <w:r>
        <w:rPr>
          <w:rFonts w:ascii="Arial" w:cs="Arial" w:eastAsia="Arial" w:hAnsi="Arial"/>
          <w:sz w:val="18"/>
          <w:szCs w:val="18"/>
          <w:color w:val="auto"/>
        </w:rPr>
        <w:t>Total benefits and expenses were $91,468,000, or 77.1% of total revenues, for the three months ended June 30, 2020, as compared to $63,821,000, or 93.2% of total revenues, for the comparable period in 2019.</w:t>
      </w:r>
    </w:p>
    <w:p>
      <w:pPr>
        <w:spacing w:after="0" w:line="146" w:lineRule="exact"/>
        <w:rPr>
          <w:sz w:val="20"/>
          <w:szCs w:val="20"/>
          <w:color w:val="auto"/>
        </w:rPr>
      </w:pPr>
    </w:p>
    <w:p>
      <w:pPr>
        <w:jc w:val="both"/>
        <w:ind w:right="399"/>
        <w:spacing w:after="0" w:line="269"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$5,340,000 or 34.0%, to $21,029,000 for the three months ended June 30, 2020, from $15,689,000 for the comparable period in 2019. This increase was primarily the result of a $4,338,000 increase in death benefits ($2,305,000 due to the acquisition of Kilpatrick Life and $1,150,000 for COVID-19 related deaths), a $928,000 increase in future policy benefits ($1,000,000 due to the acquisition of Kilpatrick Life) and a $74,000 increase in surrender and other policy benefits ($284,000 due to the acquisition of Kilpatrick Life).</w:t>
      </w:r>
    </w:p>
    <w:p>
      <w:pPr>
        <w:spacing w:after="0" w:line="179" w:lineRule="exact"/>
        <w:rPr>
          <w:sz w:val="20"/>
          <w:szCs w:val="20"/>
          <w:color w:val="auto"/>
        </w:rPr>
      </w:pPr>
    </w:p>
    <w:p>
      <w:pPr>
        <w:jc w:val="both"/>
        <w:ind w:right="399"/>
        <w:spacing w:after="0" w:line="261" w:lineRule="auto"/>
        <w:rPr>
          <w:sz w:val="20"/>
          <w:szCs w:val="20"/>
          <w:color w:val="auto"/>
        </w:rPr>
      </w:pPr>
      <w:r>
        <w:rPr>
          <w:rFonts w:ascii="Arial" w:cs="Arial" w:eastAsia="Arial" w:hAnsi="Arial"/>
          <w:sz w:val="19"/>
          <w:szCs w:val="19"/>
          <w:color w:val="auto"/>
        </w:rPr>
        <w:t>Amortization of deferred policy and pre-need acquisition costs and value of business acquired decreased by $47,000, or 1.5%, to $3,027,000 for the three months ended June 30, 2020, from $3,074,000 for the comparable period in 2019.</w:t>
      </w:r>
    </w:p>
    <w:p>
      <w:pPr>
        <w:spacing w:after="0" w:line="185" w:lineRule="exact"/>
        <w:rPr>
          <w:sz w:val="20"/>
          <w:szCs w:val="20"/>
          <w:color w:val="auto"/>
        </w:rPr>
      </w:pPr>
    </w:p>
    <w:p>
      <w:pPr>
        <w:jc w:val="both"/>
        <w:ind w:right="379"/>
        <w:spacing w:after="0" w:line="250" w:lineRule="auto"/>
        <w:rPr>
          <w:sz w:val="20"/>
          <w:szCs w:val="20"/>
          <w:color w:val="auto"/>
        </w:rPr>
      </w:pPr>
      <w:r>
        <w:rPr>
          <w:rFonts w:ascii="Arial" w:cs="Arial" w:eastAsia="Arial" w:hAnsi="Arial"/>
          <w:sz w:val="19"/>
          <w:szCs w:val="19"/>
          <w:color w:val="auto"/>
        </w:rPr>
        <w:t>Selling, general and administrative expenses increased by $22,285,000, or 52.3%, to $64,871,000 for the three months ended June 30, 2020, from $42,586,000 for the comparable period in 2019. This increase was primarily the result of a $13,385,000 increase in commissions, a $4,839,000 increase in personnel expenses, a $3,149,000 increase in other expenses, a $820,000 increase in costs related to funding mortgage loans, a $95,000 increase in depreciation on property and equipment, and a $58,000 increase in advertising expenses. This increase was partially offset by a $61,000 decrease in rent and rent related expenses. Most of these increases are attributable to the mortgage segment due to the increase in mortgage loan originations and refinancings, most notably $12,954,000 in commissions,</w:t>
      </w:r>
    </w:p>
    <w:p>
      <w:pPr>
        <w:sectPr>
          <w:pgSz w:w="11900" w:h="16838" w:orient="portrait"/>
          <w:cols w:equalWidth="0" w:num="1">
            <w:col w:w="9259"/>
          </w:cols>
          <w:pgMar w:left="1200" w:top="122" w:right="1440" w:bottom="1440" w:gutter="0" w:footer="0" w:header="0"/>
        </w:sectPr>
      </w:pP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5634355" cy="336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59"/>
          </w:cols>
          <w:pgMar w:left="1200" w:top="122" w:right="1440" w:bottom="1440" w:gutter="0" w:footer="0" w:header="0"/>
          <w:type w:val="continuous"/>
        </w:sectPr>
      </w:pPr>
    </w:p>
    <w:bookmarkStart w:id="58" w:name="page59"/>
    <w:bookmarkEnd w:id="58"/>
    <w:p>
      <w:pPr>
        <w:jc w:val="both"/>
        <w:ind w:right="399"/>
        <w:spacing w:after="0" w:line="262" w:lineRule="auto"/>
        <w:rPr>
          <w:sz w:val="20"/>
          <w:szCs w:val="20"/>
          <w:color w:val="auto"/>
        </w:rPr>
      </w:pPr>
      <w:r>
        <w:rPr>
          <w:rFonts w:ascii="Arial" w:cs="Arial" w:eastAsia="Arial" w:hAnsi="Arial"/>
          <w:sz w:val="19"/>
          <w:szCs w:val="19"/>
          <w:color w:val="auto"/>
        </w:rPr>
        <w:t>$3,099,000 in personnel expenses, and $3,04,000 in other expenses. Also, these increases are attributable to the acquisition of Kilpatrick Life, most notably $484,000 in personnel expenses, $398,000 in other expenses, and $371,000 in commissions.</w:t>
      </w:r>
    </w:p>
    <w:p>
      <w:pPr>
        <w:spacing w:after="0" w:line="183" w:lineRule="exact"/>
        <w:rPr>
          <w:sz w:val="20"/>
          <w:szCs w:val="20"/>
          <w:color w:val="auto"/>
        </w:rPr>
      </w:pPr>
    </w:p>
    <w:p>
      <w:pPr>
        <w:jc w:val="both"/>
        <w:ind w:right="399"/>
        <w:spacing w:after="0" w:line="261" w:lineRule="auto"/>
        <w:rPr>
          <w:sz w:val="20"/>
          <w:szCs w:val="20"/>
          <w:color w:val="auto"/>
        </w:rPr>
      </w:pPr>
      <w:r>
        <w:rPr>
          <w:rFonts w:ascii="Arial" w:cs="Arial" w:eastAsia="Arial" w:hAnsi="Arial"/>
          <w:sz w:val="19"/>
          <w:szCs w:val="19"/>
          <w:color w:val="auto"/>
        </w:rPr>
        <w:t>Interest expense increased by $99,000, or 5.5%, to $1,881,000 for the three months ended June 30, 2020, from $1,782,000 for the comparable period in 2019. This increase was primarily due to an increase in interest expense on mortgage warehouse lines for loans held for sale.</w:t>
      </w:r>
    </w:p>
    <w:p>
      <w:pPr>
        <w:spacing w:after="0" w:line="185" w:lineRule="exact"/>
        <w:rPr>
          <w:sz w:val="20"/>
          <w:szCs w:val="20"/>
          <w:color w:val="auto"/>
        </w:rPr>
      </w:pPr>
    </w:p>
    <w:p>
      <w:pPr>
        <w:jc w:val="both"/>
        <w:ind w:right="399"/>
        <w:spacing w:after="0" w:line="275" w:lineRule="auto"/>
        <w:rPr>
          <w:sz w:val="20"/>
          <w:szCs w:val="20"/>
          <w:color w:val="auto"/>
        </w:rPr>
      </w:pPr>
      <w:r>
        <w:rPr>
          <w:rFonts w:ascii="Arial" w:cs="Arial" w:eastAsia="Arial" w:hAnsi="Arial"/>
          <w:sz w:val="18"/>
          <w:szCs w:val="18"/>
          <w:color w:val="auto"/>
        </w:rPr>
        <w:t>Cost of goods and services sold-mortuaries and cemeteries decreased by $30,000, or 4.4%, to $660,000 for the three months ended June 30, 2020, from $690,000 for the comparable period in 2019. This decrease was primarily due to a $32,000 decrease in cemetery pre-need sales and a $31,000 decrease in mortuary at-need sales. This decrease was partially offset by a $33,000 increase in cemetery at-need sales.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Six Months Ended June 30, 2020 Compared to Six Months Ended June 30, 2019</w:t>
      </w:r>
    </w:p>
    <w:p>
      <w:pPr>
        <w:spacing w:after="0" w:line="236" w:lineRule="exact"/>
        <w:rPr>
          <w:sz w:val="20"/>
          <w:szCs w:val="20"/>
          <w:color w:val="auto"/>
        </w:rPr>
      </w:pPr>
    </w:p>
    <w:p>
      <w:pPr>
        <w:jc w:val="both"/>
        <w:ind w:right="399"/>
        <w:spacing w:after="0" w:line="252" w:lineRule="auto"/>
        <w:rPr>
          <w:sz w:val="20"/>
          <w:szCs w:val="20"/>
          <w:color w:val="auto"/>
        </w:rPr>
      </w:pPr>
      <w:r>
        <w:rPr>
          <w:rFonts w:ascii="Arial" w:cs="Arial" w:eastAsia="Arial" w:hAnsi="Arial"/>
          <w:sz w:val="19"/>
          <w:szCs w:val="19"/>
          <w:color w:val="auto"/>
        </w:rPr>
        <w:t>Total revenues increased by $68,332,000, or 52.6%, to $198,271,000 for the six months ended June 30, 2020, from $129,939,000 for the comparable period in 2019. Contributing to this increase in total revenues was a $56,225,000 increase in mortgage fee income, a $6,544,000 increase in insurance premiums and other considerations, a $5,781,000 increase in net investment income, a $1,480,000 increase in net mortuary and cemetery sales, and a $57,000 decrease in other revenues. This increase in total revenues was partially offset by a $1,755,000 decrease in gains on investments and other assets.</w:t>
      </w:r>
    </w:p>
    <w:p>
      <w:pPr>
        <w:spacing w:after="0" w:line="195" w:lineRule="exact"/>
        <w:rPr>
          <w:sz w:val="20"/>
          <w:szCs w:val="20"/>
          <w:color w:val="auto"/>
        </w:rPr>
      </w:pPr>
    </w:p>
    <w:p>
      <w:pPr>
        <w:jc w:val="both"/>
        <w:ind w:right="399"/>
        <w:spacing w:after="0" w:line="252" w:lineRule="auto"/>
        <w:rPr>
          <w:sz w:val="20"/>
          <w:szCs w:val="20"/>
          <w:color w:val="auto"/>
        </w:rPr>
      </w:pPr>
      <w:r>
        <w:rPr>
          <w:rFonts w:ascii="Arial" w:cs="Arial" w:eastAsia="Arial" w:hAnsi="Arial"/>
          <w:sz w:val="19"/>
          <w:szCs w:val="19"/>
          <w:color w:val="auto"/>
        </w:rPr>
        <w:t>Insurance premiums and other considerations increased by $6,544,000, or 16.9%, to $45,216,000 for the six months ended June 30, 2020, from $38,672,000 for the comparable period in 2019. This increase was primarily due to $5,733,000 from the acquisition of Kilpatrick Life in December 2019. See Note 15 to the condensed consolidated financial statements. This increase was also due to an increase in renewal premiums due to the growth of the Company in recent years, particularly in whole life products, which resulted in more premium paying business in force.</w:t>
      </w:r>
    </w:p>
    <w:p>
      <w:pPr>
        <w:spacing w:after="0" w:line="195" w:lineRule="exact"/>
        <w:rPr>
          <w:sz w:val="20"/>
          <w:szCs w:val="20"/>
          <w:color w:val="auto"/>
        </w:rPr>
      </w:pPr>
    </w:p>
    <w:p>
      <w:pPr>
        <w:jc w:val="both"/>
        <w:ind w:right="399"/>
        <w:spacing w:after="0" w:line="282" w:lineRule="auto"/>
        <w:rPr>
          <w:sz w:val="20"/>
          <w:szCs w:val="20"/>
          <w:color w:val="auto"/>
        </w:rPr>
      </w:pPr>
      <w:r>
        <w:rPr>
          <w:rFonts w:ascii="Arial" w:cs="Arial" w:eastAsia="Arial" w:hAnsi="Arial"/>
          <w:sz w:val="17"/>
          <w:szCs w:val="17"/>
          <w:color w:val="auto"/>
        </w:rPr>
        <w:t>Net investment income increased by $5,781,000, or 28.1%, to $26,363,000 for the six months ended June 30, 2020, from $20,582,000 for the comparable period in 2019. This increase was primarily attributable to a $2,607,000 increase in mortgage loan interest ($1,066,000 due to the acquisition of Kilpatrick Life), a $1,934,000 increase in rental income from real estate held for investment, a $1,035,000 increase in fixed maturity securities income ($1,080,000 due to the acquisition of Kilpatrick Life), a $564,000 increase in insurance assignment income, a $296,000 increase in policy loan income ($268,000 due to the acquisition of Kilpatrick Life), a $51,000 increase in equity securities income, and a $19,000 decrease in investment expenses ($118,000 increase due to the acquisition of Kilpatrick Life). This increase was partially offset by a $644,000 decrease in interest on cash and cash equivalents ($116,000 increase due to the acquisition of Kilpatrick Life) and a $81,000 decrease in other investment income ($25,000 increase due to the acquisition of Kilpatrick Life).</w:t>
      </w:r>
    </w:p>
    <w:p>
      <w:pPr>
        <w:spacing w:after="0" w:line="172" w:lineRule="exact"/>
        <w:rPr>
          <w:sz w:val="20"/>
          <w:szCs w:val="20"/>
          <w:color w:val="auto"/>
        </w:rPr>
      </w:pPr>
    </w:p>
    <w:p>
      <w:pPr>
        <w:jc w:val="both"/>
        <w:ind w:right="399"/>
        <w:spacing w:after="0" w:line="256" w:lineRule="auto"/>
        <w:rPr>
          <w:sz w:val="20"/>
          <w:szCs w:val="20"/>
          <w:color w:val="auto"/>
        </w:rPr>
      </w:pPr>
      <w:r>
        <w:rPr>
          <w:rFonts w:ascii="Arial" w:cs="Arial" w:eastAsia="Arial" w:hAnsi="Arial"/>
          <w:sz w:val="19"/>
          <w:szCs w:val="19"/>
          <w:color w:val="auto"/>
        </w:rPr>
        <w:t>Net mortuary and cemetery sales increased by $1,480,000, or 19.3%, to $9,159,000 for the six months ended June 30, 2020, from $7,679,000 for the comparable period in 2019. This increase was primarily due to a $832,000 increase in cemetery pre-need sales, a $428,000 increase in cemetery at-need sales, and a $220,000 increase in mortuary at-need sales.</w:t>
      </w:r>
    </w:p>
    <w:p>
      <w:pPr>
        <w:spacing w:after="0" w:line="190" w:lineRule="exact"/>
        <w:rPr>
          <w:sz w:val="20"/>
          <w:szCs w:val="20"/>
          <w:color w:val="auto"/>
        </w:rPr>
      </w:pPr>
    </w:p>
    <w:p>
      <w:pPr>
        <w:jc w:val="both"/>
        <w:ind w:right="399"/>
        <w:spacing w:after="0" w:line="265" w:lineRule="auto"/>
        <w:rPr>
          <w:sz w:val="20"/>
          <w:szCs w:val="20"/>
          <w:color w:val="auto"/>
        </w:rPr>
      </w:pPr>
      <w:r>
        <w:rPr>
          <w:rFonts w:ascii="Arial" w:cs="Arial" w:eastAsia="Arial" w:hAnsi="Arial"/>
          <w:sz w:val="18"/>
          <w:szCs w:val="18"/>
          <w:color w:val="auto"/>
        </w:rPr>
        <w:t>Gains on investments and other assets decreased by $1,755,000, or 224.7%, to losses of $974,000 for the six months ended June 30, 2020, from gains of $781,000 for the comparable period in 2019. This decrease in gains on investments and other assets was primarily due a $1,959,000 decrease in gains on equity securities mostly attributable to decreases in the fair value of these equity securities, due to the recent downturn of the economy caused by the COVID-19 Pandemic. Due to the adoption of Accounting Standards Update (“ASU”) 2016-01 on January 1, 2019, these changes in fair value are recognized in earnings instead of other comprehensive income. This decrease in gains on investments and other assets was also due to a $290,000 decrease in gains on other assets mostly attributable to decreases in the fair value of call and put option derivatives and a $5,000 decrease in gains on fixed maturity securities.</w:t>
      </w:r>
    </w:p>
    <w:p>
      <w:pPr>
        <w:spacing w:after="0" w:line="200" w:lineRule="exact"/>
        <w:rPr>
          <w:sz w:val="20"/>
          <w:szCs w:val="20"/>
          <w:color w:val="auto"/>
        </w:rPr>
      </w:pPr>
    </w:p>
    <w:p>
      <w:pPr>
        <w:spacing w:after="0" w:line="239"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5634355" cy="33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59"/>
          </w:cols>
          <w:pgMar w:left="1200" w:top="122" w:right="1440" w:bottom="1440" w:gutter="0" w:footer="0" w:header="0"/>
        </w:sectPr>
      </w:pPr>
    </w:p>
    <w:bookmarkStart w:id="59" w:name="page60"/>
    <w:bookmarkEnd w:id="59"/>
    <w:p>
      <w:pPr>
        <w:jc w:val="both"/>
        <w:ind w:right="399"/>
        <w:spacing w:after="0" w:line="252" w:lineRule="auto"/>
        <w:rPr>
          <w:sz w:val="20"/>
          <w:szCs w:val="20"/>
          <w:color w:val="auto"/>
        </w:rPr>
      </w:pPr>
      <w:r>
        <w:rPr>
          <w:rFonts w:ascii="Arial" w:cs="Arial" w:eastAsia="Arial" w:hAnsi="Arial"/>
          <w:sz w:val="19"/>
          <w:szCs w:val="19"/>
          <w:color w:val="auto"/>
        </w:rPr>
        <w:t>Mortgage fee income increased by $56,225,000, or 97.9%, to $113,650,000, for the six months ended June 30, 2020, from $57,425,000 for the comparable period in 2019. This increase was primarily due to a $38,684,000 increase in secondary gains from loans sold to third-party investors, a $10,881,000 increase in loan fees and interest income, and a $8,542,000 increase in the fair value of loans held for sale and loan commitments. This increase in mortgage fee income was partially offset by a $1,882,000 increase in the provision for loan loss reserve.</w:t>
      </w:r>
    </w:p>
    <w:p>
      <w:pPr>
        <w:spacing w:after="0" w:line="196" w:lineRule="exact"/>
        <w:rPr>
          <w:sz w:val="20"/>
          <w:szCs w:val="20"/>
          <w:color w:val="auto"/>
        </w:rPr>
      </w:pPr>
    </w:p>
    <w:p>
      <w:pPr>
        <w:jc w:val="both"/>
        <w:ind w:right="399"/>
        <w:spacing w:after="0" w:line="261" w:lineRule="auto"/>
        <w:rPr>
          <w:sz w:val="20"/>
          <w:szCs w:val="20"/>
          <w:color w:val="auto"/>
        </w:rPr>
      </w:pPr>
      <w:r>
        <w:rPr>
          <w:rFonts w:ascii="Arial" w:cs="Arial" w:eastAsia="Arial" w:hAnsi="Arial"/>
          <w:sz w:val="19"/>
          <w:szCs w:val="19"/>
          <w:color w:val="auto"/>
        </w:rPr>
        <w:t>Other revenues increased by $57,000, or 1.2%, to $4,856,000 for the six months ended June 30, 2020, from $4,799,000 for the comparable period in 2019. This increase was primarily attributable to an increase in servicing fee revenue.</w:t>
      </w:r>
    </w:p>
    <w:p>
      <w:pPr>
        <w:spacing w:after="0" w:line="185" w:lineRule="exact"/>
        <w:rPr>
          <w:sz w:val="20"/>
          <w:szCs w:val="20"/>
          <w:color w:val="auto"/>
        </w:rPr>
      </w:pPr>
    </w:p>
    <w:p>
      <w:pPr>
        <w:jc w:val="both"/>
        <w:ind w:right="399"/>
        <w:spacing w:after="0" w:line="306" w:lineRule="auto"/>
        <w:rPr>
          <w:sz w:val="20"/>
          <w:szCs w:val="20"/>
          <w:color w:val="auto"/>
        </w:rPr>
      </w:pPr>
      <w:r>
        <w:rPr>
          <w:rFonts w:ascii="Arial" w:cs="Arial" w:eastAsia="Arial" w:hAnsi="Arial"/>
          <w:sz w:val="18"/>
          <w:szCs w:val="18"/>
          <w:color w:val="auto"/>
        </w:rPr>
        <w:t>Total benefits and expenses were $169,603,000, or 85.5% of total revenues, for the six months ended June 30, 2020, as compared to $122,883,000, or 94.6% of total revenues, for the comparable period in 2019.</w:t>
      </w:r>
    </w:p>
    <w:p>
      <w:pPr>
        <w:spacing w:after="0" w:line="146" w:lineRule="exact"/>
        <w:rPr>
          <w:sz w:val="20"/>
          <w:szCs w:val="20"/>
          <w:color w:val="auto"/>
        </w:rPr>
      </w:pPr>
    </w:p>
    <w:p>
      <w:pPr>
        <w:jc w:val="both"/>
        <w:ind w:right="399"/>
        <w:spacing w:after="0" w:line="269" w:lineRule="auto"/>
        <w:rPr>
          <w:sz w:val="20"/>
          <w:szCs w:val="20"/>
          <w:color w:val="auto"/>
        </w:rPr>
      </w:pPr>
      <w:r>
        <w:rPr>
          <w:rFonts w:ascii="Arial" w:cs="Arial" w:eastAsia="Arial" w:hAnsi="Arial"/>
          <w:sz w:val="18"/>
          <w:szCs w:val="18"/>
          <w:color w:val="auto"/>
        </w:rPr>
        <w:t>Death benefits, surrenders and other policy benefits, and future policy benefits increased by an aggregate of $10,161,000 or 31.4%, to $42,545,000 for the six months ended June 30, 2020, from $32,384,000 for the comparable period in 2019. This increase was primarily the result of a $7,668,000 increase in death benefits ($4,826,000 due to the acquisition of Kilpatrick Life and $1,150,000 for COVID-19 related deaths), a $2,215,000 increase in future policy benefits ($1,930,000 due to the acquisition of Kilpatrick Life) and a $278,000 increase in surrender and other policy benefits ($561,000 due to the acquisition of Kilpatrick Life).</w:t>
      </w:r>
    </w:p>
    <w:p>
      <w:pPr>
        <w:spacing w:after="0" w:line="179" w:lineRule="exact"/>
        <w:rPr>
          <w:sz w:val="20"/>
          <w:szCs w:val="20"/>
          <w:color w:val="auto"/>
        </w:rPr>
      </w:pPr>
    </w:p>
    <w:p>
      <w:pPr>
        <w:jc w:val="both"/>
        <w:ind w:right="399"/>
        <w:spacing w:after="0" w:line="275"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$340,000, or 5.5%, to $6,542,000 for the six months ended June 30, 2020, from $6,202,000 for the comparable period in 2019. This increase was primarily due to an increase in the average outstanding balance of deferred policy and pre-need acquisition costs and $26,000 due to the acquisition of Kilpatrick Life.</w:t>
      </w:r>
    </w:p>
    <w:p>
      <w:pPr>
        <w:spacing w:after="0" w:line="174" w:lineRule="exact"/>
        <w:rPr>
          <w:sz w:val="20"/>
          <w:szCs w:val="20"/>
          <w:color w:val="auto"/>
        </w:rPr>
      </w:pPr>
    </w:p>
    <w:p>
      <w:pPr>
        <w:jc w:val="both"/>
        <w:ind w:right="399"/>
        <w:spacing w:after="0" w:line="265" w:lineRule="auto"/>
        <w:rPr>
          <w:sz w:val="20"/>
          <w:szCs w:val="20"/>
          <w:color w:val="auto"/>
        </w:rPr>
      </w:pPr>
      <w:r>
        <w:rPr>
          <w:rFonts w:ascii="Arial" w:cs="Arial" w:eastAsia="Arial" w:hAnsi="Arial"/>
          <w:sz w:val="18"/>
          <w:szCs w:val="18"/>
          <w:color w:val="auto"/>
        </w:rPr>
        <w:t>Selling, general and administrative expenses increased by $35,634,000, or 44.7%, to $115,313,000 for the six months ended June 30, 2020, from $79,679,000 for the comparable period in 2019. This increase was primarily the result of a $20,265,000 increase in commissions, a $8,528,000 increase in personnel expenses, a $5,579,000 increase in other expenses, a $1,421,000 increase in costs related to funding mortgage loans, a $162,000 increase in depreciation on property and equipment, and a $30,000 increase in advertising expenses. This increase was partially offset by a $351,000 decrease in rent and rent related expenses. Most of these increases are attributable to the mortgage segment due to the increase in mortgage loan originations and refinancings, most notably $19,405,000 in commissions, $5,207,000 in personnel expenses, and $4,619,000 in other expenses. Also, these increases are attributable to the acquisition of Kilpatrick Life, most notably $1,218,000 in personnel expenses, $959,000 in other expenses, and $915,000 in commissions.</w:t>
      </w:r>
    </w:p>
    <w:p>
      <w:pPr>
        <w:spacing w:after="0" w:line="184" w:lineRule="exact"/>
        <w:rPr>
          <w:sz w:val="20"/>
          <w:szCs w:val="20"/>
          <w:color w:val="auto"/>
        </w:rPr>
      </w:pPr>
    </w:p>
    <w:p>
      <w:pPr>
        <w:jc w:val="both"/>
        <w:ind w:right="399"/>
        <w:spacing w:after="0" w:line="306" w:lineRule="auto"/>
        <w:rPr>
          <w:sz w:val="20"/>
          <w:szCs w:val="20"/>
          <w:color w:val="auto"/>
        </w:rPr>
      </w:pPr>
      <w:r>
        <w:rPr>
          <w:rFonts w:ascii="Arial" w:cs="Arial" w:eastAsia="Arial" w:hAnsi="Arial"/>
          <w:sz w:val="17"/>
          <w:szCs w:val="17"/>
          <w:color w:val="auto"/>
        </w:rPr>
        <w:t>Interest expense increased by $426,000, or 13.0%, to $3,700,000 for the six months ended June 30, 2020, from $3,274,000 for the comparable period in 2019. This increase was primarily due to a $525,000 increase in interest expense on mortgage warehouse lines for loans held for sale offset by a decrease in interest on bank loans.</w:t>
      </w:r>
    </w:p>
    <w:p>
      <w:pPr>
        <w:spacing w:after="0" w:line="150" w:lineRule="exact"/>
        <w:rPr>
          <w:sz w:val="20"/>
          <w:szCs w:val="20"/>
          <w:color w:val="auto"/>
        </w:rPr>
      </w:pPr>
    </w:p>
    <w:p>
      <w:pPr>
        <w:jc w:val="both"/>
        <w:ind w:right="399"/>
        <w:spacing w:after="0" w:line="275" w:lineRule="auto"/>
        <w:rPr>
          <w:sz w:val="20"/>
          <w:szCs w:val="20"/>
          <w:color w:val="auto"/>
        </w:rPr>
      </w:pPr>
      <w:r>
        <w:rPr>
          <w:rFonts w:ascii="Arial" w:cs="Arial" w:eastAsia="Arial" w:hAnsi="Arial"/>
          <w:sz w:val="18"/>
          <w:szCs w:val="18"/>
          <w:color w:val="auto"/>
        </w:rPr>
        <w:t>Cost of goods and services sold-mortuaries and cemeteries increased by $159,000, or 11.8%, to $1,502,000 for the six months ended June 30, 2020, from $1,344,000 for the comparable period in 2019. This increase was primarily due to a $120,000 increase in cemetery at-need sales and a $48,000 increase in cemetery pre-need sales. This increase was partially offset by a $10,000 decrease in mortuary at-need sales.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Liquidity and Capital Resources</w:t>
      </w:r>
    </w:p>
    <w:p>
      <w:pPr>
        <w:spacing w:after="0" w:line="236" w:lineRule="exact"/>
        <w:rPr>
          <w:sz w:val="20"/>
          <w:szCs w:val="20"/>
          <w:color w:val="auto"/>
        </w:rPr>
      </w:pPr>
    </w:p>
    <w:p>
      <w:pPr>
        <w:jc w:val="both"/>
        <w:ind w:right="399"/>
        <w:spacing w:after="0" w:line="284" w:lineRule="auto"/>
        <w:rPr>
          <w:sz w:val="20"/>
          <w:szCs w:val="20"/>
          <w:color w:val="auto"/>
        </w:rPr>
      </w:pPr>
      <w:r>
        <w:rPr>
          <w:rFonts w:ascii="Arial" w:cs="Arial" w:eastAsia="Arial" w:hAnsi="Arial"/>
          <w:sz w:val="17"/>
          <w:szCs w:val="17"/>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or sale of investments. The mortgage subsidiaries realize cash flow from fees generated by originating and refinancing mortgage loans, and fees earned from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 It</w:t>
      </w:r>
    </w:p>
    <w:p>
      <w:pPr>
        <w:spacing w:after="0" w:line="196"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5634355" cy="336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59"/>
          </w:cols>
          <w:pgMar w:left="1200" w:top="122" w:right="1440" w:bottom="1440" w:gutter="0" w:footer="0" w:header="0"/>
        </w:sectPr>
      </w:pPr>
    </w:p>
    <w:bookmarkStart w:id="60" w:name="page61"/>
    <w:bookmarkEnd w:id="60"/>
    <w:p>
      <w:pPr>
        <w:jc w:val="both"/>
        <w:ind w:right="399"/>
        <w:spacing w:after="0" w:line="278" w:lineRule="auto"/>
        <w:rPr>
          <w:sz w:val="20"/>
          <w:szCs w:val="20"/>
          <w:color w:val="auto"/>
        </w:rPr>
      </w:pPr>
      <w:r>
        <w:rPr>
          <w:rFonts w:ascii="Arial" w:cs="Arial" w:eastAsia="Arial" w:hAnsi="Arial"/>
          <w:sz w:val="19"/>
          <w:szCs w:val="19"/>
          <w:color w:val="auto"/>
        </w:rPr>
        <w:t>should be noted that current conditions in the financial markets and economy caused by the COVID-19 Pandemic may affect the cash flows of the Company.</w:t>
      </w:r>
    </w:p>
    <w:p>
      <w:pPr>
        <w:spacing w:after="0" w:line="168" w:lineRule="exact"/>
        <w:rPr>
          <w:sz w:val="20"/>
          <w:szCs w:val="20"/>
          <w:color w:val="auto"/>
        </w:rPr>
      </w:pPr>
    </w:p>
    <w:p>
      <w:pPr>
        <w:jc w:val="both"/>
        <w:ind w:right="399"/>
        <w:spacing w:after="0" w:line="306" w:lineRule="auto"/>
        <w:rPr>
          <w:sz w:val="20"/>
          <w:szCs w:val="20"/>
          <w:color w:val="auto"/>
        </w:rPr>
      </w:pPr>
      <w:r>
        <w:rPr>
          <w:rFonts w:ascii="Arial" w:cs="Arial" w:eastAsia="Arial" w:hAnsi="Arial"/>
          <w:sz w:val="18"/>
          <w:szCs w:val="18"/>
          <w:color w:val="auto"/>
        </w:rPr>
        <w:t>During the six months ended June 30, 2020 and 2019, the Company's operations used cash of $109,562,000 and $40,726,000, respectively. This decrease was due primarily to originations of mortgage loans held for sale.</w:t>
      </w:r>
    </w:p>
    <w:p>
      <w:pPr>
        <w:spacing w:after="0" w:line="146" w:lineRule="exact"/>
        <w:rPr>
          <w:sz w:val="20"/>
          <w:szCs w:val="20"/>
          <w:color w:val="auto"/>
        </w:rPr>
      </w:pPr>
    </w:p>
    <w:p>
      <w:pPr>
        <w:jc w:val="both"/>
        <w:ind w:right="379"/>
        <w:spacing w:after="0" w:line="269"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their fair values.</w:t>
      </w:r>
    </w:p>
    <w:p>
      <w:pPr>
        <w:spacing w:after="0" w:line="179" w:lineRule="exact"/>
        <w:rPr>
          <w:sz w:val="20"/>
          <w:szCs w:val="20"/>
          <w:color w:val="auto"/>
        </w:rPr>
      </w:pPr>
    </w:p>
    <w:p>
      <w:pPr>
        <w:jc w:val="both"/>
        <w:ind w:right="379"/>
        <w:spacing w:after="0" w:line="252" w:lineRule="auto"/>
        <w:rPr>
          <w:sz w:val="20"/>
          <w:szCs w:val="20"/>
          <w:color w:val="auto"/>
        </w:rPr>
      </w:pPr>
      <w:r>
        <w:rPr>
          <w:rFonts w:ascii="Arial" w:cs="Arial" w:eastAsia="Arial" w:hAnsi="Arial"/>
          <w:sz w:val="19"/>
          <w:szCs w:val="19"/>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195" w:lineRule="exact"/>
        <w:rPr>
          <w:sz w:val="20"/>
          <w:szCs w:val="20"/>
          <w:color w:val="auto"/>
        </w:rPr>
      </w:pPr>
    </w:p>
    <w:p>
      <w:pPr>
        <w:jc w:val="both"/>
        <w:ind w:right="379"/>
        <w:spacing w:after="0" w:line="282" w:lineRule="auto"/>
        <w:rPr>
          <w:sz w:val="20"/>
          <w:szCs w:val="20"/>
          <w:color w:val="auto"/>
        </w:rPr>
      </w:pPr>
      <w:r>
        <w:rPr>
          <w:rFonts w:ascii="Arial" w:cs="Arial" w:eastAsia="Arial" w:hAnsi="Arial"/>
          <w:sz w:val="17"/>
          <w:szCs w:val="17"/>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and classified as fixed maturity securities available for sale carried at estimated fair value amounted to $348,260,000 and $355,613,000 as of June 30, 2020 and December 31, 2019, respectively. This represents 42.7% and 45.5% of the total investments as of June 30, 2020 and December 31, 2019, respectively. Generally, all bonds owned by the life insurance subsidiaries are rated by the National Association of Insurance Commissioners. Under this rating system, there are six categories used for rating bonds. At June 30, 2020, 3.3% (or $11,630,000) and at December 31, 2019, 2.2% (or $7,633,000) of the Company’s total bond investments were invested in bonds in rating categories three through six, which were considered non-investment grade.</w:t>
      </w:r>
    </w:p>
    <w:p>
      <w:pPr>
        <w:spacing w:after="0" w:line="172" w:lineRule="exact"/>
        <w:rPr>
          <w:sz w:val="20"/>
          <w:szCs w:val="20"/>
          <w:color w:val="auto"/>
        </w:rPr>
      </w:pPr>
    </w:p>
    <w:p>
      <w:pPr>
        <w:jc w:val="both"/>
        <w:ind w:right="399"/>
        <w:spacing w:after="0" w:line="283" w:lineRule="auto"/>
        <w:rPr>
          <w:sz w:val="20"/>
          <w:szCs w:val="20"/>
          <w:color w:val="auto"/>
        </w:rPr>
      </w:pPr>
      <w:r>
        <w:rPr>
          <w:rFonts w:ascii="Arial" w:cs="Arial" w:eastAsia="Arial" w:hAnsi="Arial"/>
          <w:sz w:val="18"/>
          <w:szCs w:val="18"/>
          <w:color w:val="auto"/>
        </w:rPr>
        <w:t>The Company is subject to risk-based capital guidelines established by statutory regulators requiring minimum capital levels based on the perceived risk of assets, liabilities, disintermediation, and business risk. At June 30, 2020 and December 31, 2019, the life insurance subsidiaries were in compliance with the regulatory criteria.</w:t>
      </w:r>
    </w:p>
    <w:p>
      <w:pPr>
        <w:spacing w:after="0" w:line="166" w:lineRule="exact"/>
        <w:rPr>
          <w:sz w:val="20"/>
          <w:szCs w:val="20"/>
          <w:color w:val="auto"/>
        </w:rPr>
      </w:pPr>
    </w:p>
    <w:p>
      <w:pPr>
        <w:jc w:val="both"/>
        <w:ind w:right="399"/>
        <w:spacing w:after="0" w:line="283" w:lineRule="auto"/>
        <w:rPr>
          <w:sz w:val="20"/>
          <w:szCs w:val="20"/>
          <w:color w:val="auto"/>
        </w:rPr>
      </w:pPr>
      <w:r>
        <w:rPr>
          <w:rFonts w:ascii="Arial" w:cs="Arial" w:eastAsia="Arial" w:hAnsi="Arial"/>
          <w:sz w:val="18"/>
          <w:szCs w:val="18"/>
          <w:color w:val="auto"/>
        </w:rPr>
        <w:t>The Company’s total capitalization of stockholders’ equity, bank and other loans payable was $569,753,000 as of June 30, 2020, as compared to $414,283,000 as of December 31, 2019. Stockholders’ equity as a percent of total capitalization was 39.1% and 47.5% as of June 30, 2020 and December 31, 2019, respectively.</w:t>
      </w:r>
    </w:p>
    <w:p>
      <w:pPr>
        <w:spacing w:after="0" w:line="166" w:lineRule="exact"/>
        <w:rPr>
          <w:sz w:val="20"/>
          <w:szCs w:val="20"/>
          <w:color w:val="auto"/>
        </w:rPr>
      </w:pPr>
    </w:p>
    <w:p>
      <w:pPr>
        <w:jc w:val="both"/>
        <w:ind w:right="399"/>
        <w:spacing w:after="0" w:line="261" w:lineRule="auto"/>
        <w:rPr>
          <w:sz w:val="20"/>
          <w:szCs w:val="20"/>
          <w:color w:val="auto"/>
        </w:rPr>
      </w:pPr>
      <w:r>
        <w:rPr>
          <w:rFonts w:ascii="Arial" w:cs="Arial" w:eastAsia="Arial" w:hAnsi="Arial"/>
          <w:sz w:val="19"/>
          <w:szCs w:val="19"/>
          <w:color w:val="auto"/>
        </w:rPr>
        <w:t>Lapse rates measure the amount of insurance terminated during a particular period. The Company’s lapse rate for life insurance in 2019 was 9.8% as compared to a rate of 9.9% for 2018. The 2020 lapse rate to date has been approximately the same as 2019.</w:t>
      </w:r>
    </w:p>
    <w:p>
      <w:pPr>
        <w:spacing w:after="0" w:line="185" w:lineRule="exact"/>
        <w:rPr>
          <w:sz w:val="20"/>
          <w:szCs w:val="20"/>
          <w:color w:val="auto"/>
        </w:rPr>
      </w:pPr>
    </w:p>
    <w:p>
      <w:pPr>
        <w:jc w:val="both"/>
        <w:ind w:right="379"/>
        <w:spacing w:after="0" w:line="261" w:lineRule="auto"/>
        <w:rPr>
          <w:sz w:val="20"/>
          <w:szCs w:val="20"/>
          <w:color w:val="auto"/>
        </w:rPr>
      </w:pPr>
      <w:r>
        <w:rPr>
          <w:rFonts w:ascii="Arial" w:cs="Arial" w:eastAsia="Arial" w:hAnsi="Arial"/>
          <w:sz w:val="19"/>
          <w:szCs w:val="19"/>
          <w:color w:val="auto"/>
        </w:rPr>
        <w:t>At June 30, 2020, the combined statutory capital and surplus of the Company’s life insurance subsidiaries was $71,161,000. The life insurance subsidiaries cannot pay a dividend to its parent company without approval of state insurance regulatory authorities.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COVID-19 Pandemic</w:t>
      </w:r>
    </w:p>
    <w:p>
      <w:pPr>
        <w:spacing w:after="0" w:line="236" w:lineRule="exact"/>
        <w:rPr>
          <w:sz w:val="20"/>
          <w:szCs w:val="20"/>
          <w:color w:val="auto"/>
        </w:rPr>
      </w:pPr>
    </w:p>
    <w:p>
      <w:pPr>
        <w:jc w:val="both"/>
        <w:ind w:right="379"/>
        <w:spacing w:after="0" w:line="250" w:lineRule="auto"/>
        <w:rPr>
          <w:sz w:val="20"/>
          <w:szCs w:val="20"/>
          <w:color w:val="auto"/>
        </w:rPr>
      </w:pPr>
      <w:r>
        <w:rPr>
          <w:rFonts w:ascii="Arial" w:cs="Arial" w:eastAsia="Arial" w:hAnsi="Arial"/>
          <w:sz w:val="19"/>
          <w:szCs w:val="19"/>
          <w:color w:val="auto"/>
        </w:rPr>
        <w:t>During the first and second quarters 2020, the outbreak of COVID-19 had spread worldwide and was declared a global pandemic by the World Health Organization on March 11, 2020. COVID-19 poses a threat to the health and economic well-being of the Company’s employees, customers, and vendors. The Company is closely monitoring developments relating to the COVID-19 pandemic and assessing its impact on the Company’s business. The COVID-19 Pandemic has had and continues to have a major impact on the global economy and financial markets. Governments and businesses have taken numerous measures to try to contain the virus, which include the implementation of travel bans, self-imposed quarantine periods, and social distancing. These measures have disrupted and will continue to disrupt</w:t>
      </w:r>
    </w:p>
    <w:p>
      <w:pPr>
        <w:spacing w:after="0" w:line="226"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5634355" cy="336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59"/>
          </w:cols>
          <w:pgMar w:left="1200" w:top="122" w:right="1440" w:bottom="1440" w:gutter="0" w:footer="0" w:header="0"/>
        </w:sectPr>
      </w:pPr>
    </w:p>
    <w:bookmarkStart w:id="61" w:name="page62"/>
    <w:bookmarkEnd w:id="61"/>
    <w:p>
      <w:pPr>
        <w:jc w:val="both"/>
        <w:ind w:right="399"/>
        <w:spacing w:after="0" w:line="278" w:lineRule="auto"/>
        <w:rPr>
          <w:sz w:val="20"/>
          <w:szCs w:val="20"/>
          <w:color w:val="auto"/>
        </w:rPr>
      </w:pPr>
      <w:r>
        <w:rPr>
          <w:rFonts w:ascii="Arial" w:cs="Arial" w:eastAsia="Arial" w:hAnsi="Arial"/>
          <w:sz w:val="19"/>
          <w:szCs w:val="19"/>
          <w:color w:val="auto"/>
        </w:rPr>
        <w:t>businesses globally. Governments and central banks have reacted with significant monetary and fiscal interventions designed to stabilize the economic conditions.</w:t>
      </w:r>
    </w:p>
    <w:p>
      <w:pPr>
        <w:spacing w:after="0" w:line="168" w:lineRule="exact"/>
        <w:rPr>
          <w:sz w:val="20"/>
          <w:szCs w:val="20"/>
          <w:color w:val="auto"/>
        </w:rPr>
      </w:pPr>
    </w:p>
    <w:p>
      <w:pPr>
        <w:jc w:val="both"/>
        <w:ind w:right="399"/>
        <w:spacing w:after="0" w:line="250" w:lineRule="auto"/>
        <w:rPr>
          <w:sz w:val="20"/>
          <w:szCs w:val="20"/>
          <w:color w:val="auto"/>
        </w:rPr>
      </w:pPr>
      <w:r>
        <w:rPr>
          <w:rFonts w:ascii="Arial" w:cs="Arial" w:eastAsia="Arial" w:hAnsi="Arial"/>
          <w:sz w:val="19"/>
          <w:szCs w:val="19"/>
          <w:color w:val="auto"/>
        </w:rPr>
        <w:t>Like most businesses, COVID-19 has impacted the Company. However, the Company cannot, with certainty, presently predict the severity or duration with which COVID-19 will impact the Company’s business, financial condition, results of operations, and cash flows. To the extent the COVID-19 pandemic adversely affects the Company’s business, financial condition and results of operations, it may also have the effect of heightening many of the other risks described in the Company’s Management’s Discussion and Analysis of Financial Condition and Results of Operations in the Annual Report on Form 10-K for the year ended December 31, 2019 under the heading “Risks.” These uncertainties have the potential to negatively affect the risk of credit default for the issuers of the Company’s fixed maturity debt securities and individual borrowers with mortgage loans held by the Company.</w:t>
      </w:r>
    </w:p>
    <w:p>
      <w:pPr>
        <w:spacing w:after="0" w:line="196" w:lineRule="exact"/>
        <w:rPr>
          <w:sz w:val="20"/>
          <w:szCs w:val="20"/>
          <w:color w:val="auto"/>
        </w:rPr>
      </w:pPr>
    </w:p>
    <w:p>
      <w:pPr>
        <w:jc w:val="both"/>
        <w:ind w:right="399"/>
        <w:spacing w:after="0" w:line="261" w:lineRule="auto"/>
        <w:rPr>
          <w:sz w:val="20"/>
          <w:szCs w:val="20"/>
          <w:color w:val="auto"/>
        </w:rPr>
      </w:pPr>
      <w:r>
        <w:rPr>
          <w:rFonts w:ascii="Arial" w:cs="Arial" w:eastAsia="Arial" w:hAnsi="Arial"/>
          <w:sz w:val="19"/>
          <w:szCs w:val="19"/>
          <w:color w:val="auto"/>
        </w:rPr>
        <w:t>The Company has implemented risk management, business continuity plans and has taken preventive measures and other precautions, such as business travel restrictions and remote work arrangements. Such measures and precautions have enabled the Company to continue to conduct business.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236" w:lineRule="exact"/>
        <w:rPr>
          <w:sz w:val="20"/>
          <w:szCs w:val="20"/>
          <w:color w:val="auto"/>
        </w:rPr>
      </w:pPr>
    </w:p>
    <w:p>
      <w:pPr>
        <w:jc w:val="both"/>
        <w:ind w:right="399"/>
        <w:spacing w:after="0" w:line="277" w:lineRule="auto"/>
        <w:rPr>
          <w:sz w:val="20"/>
          <w:szCs w:val="20"/>
          <w:color w:val="auto"/>
        </w:rPr>
      </w:pPr>
      <w:r>
        <w:rPr>
          <w:rFonts w:ascii="Arial" w:cs="Arial" w:eastAsia="Arial" w:hAnsi="Arial"/>
          <w:sz w:val="19"/>
          <w:szCs w:val="19"/>
          <w:color w:val="auto"/>
        </w:rPr>
        <w:t>As a smaller reporting company, the Company is not required to provide information typically disclosed under this item.</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Disclosure Controls and Procedures</w:t>
      </w:r>
    </w:p>
    <w:p>
      <w:pPr>
        <w:spacing w:after="0" w:line="230" w:lineRule="exact"/>
        <w:rPr>
          <w:sz w:val="20"/>
          <w:szCs w:val="20"/>
          <w:color w:val="auto"/>
        </w:rPr>
      </w:pPr>
    </w:p>
    <w:p>
      <w:pPr>
        <w:jc w:val="both"/>
        <w:ind w:right="379"/>
        <w:spacing w:after="0" w:line="264" w:lineRule="auto"/>
        <w:rPr>
          <w:sz w:val="20"/>
          <w:szCs w:val="20"/>
          <w:color w:val="auto"/>
        </w:rPr>
      </w:pPr>
      <w:r>
        <w:rPr>
          <w:rFonts w:ascii="Arial" w:cs="Arial" w:eastAsia="Arial" w:hAnsi="Arial"/>
          <w:sz w:val="18"/>
          <w:szCs w:val="18"/>
          <w:color w:val="auto"/>
        </w:rPr>
        <w:t>As of June 30, 2020,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not effective as of June 30, 2020,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Changes in Internal Control over Financial Reporting</w:t>
      </w:r>
    </w:p>
    <w:p>
      <w:pPr>
        <w:spacing w:after="0" w:line="230" w:lineRule="exact"/>
        <w:rPr>
          <w:sz w:val="20"/>
          <w:szCs w:val="20"/>
          <w:color w:val="auto"/>
        </w:rPr>
      </w:pPr>
    </w:p>
    <w:p>
      <w:pPr>
        <w:jc w:val="both"/>
        <w:ind w:right="399"/>
        <w:spacing w:after="0" w:line="275" w:lineRule="auto"/>
        <w:rPr>
          <w:sz w:val="20"/>
          <w:szCs w:val="20"/>
          <w:color w:val="auto"/>
        </w:rPr>
      </w:pPr>
      <w:r>
        <w:rPr>
          <w:rFonts w:ascii="Arial" w:cs="Arial" w:eastAsia="Arial" w:hAnsi="Arial"/>
          <w:sz w:val="18"/>
          <w:szCs w:val="18"/>
          <w:color w:val="auto"/>
        </w:rPr>
        <w:t>Except for the material weakness discussed in the Company’s Annual Report on Form 10-K for the year ended December 31, 2019, there have not been any significant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Remediation Efforts to Address the Material Weakness</w:t>
      </w:r>
    </w:p>
    <w:p>
      <w:pPr>
        <w:spacing w:after="0" w:line="230" w:lineRule="exact"/>
        <w:rPr>
          <w:sz w:val="20"/>
          <w:szCs w:val="20"/>
          <w:color w:val="auto"/>
        </w:rPr>
      </w:pPr>
    </w:p>
    <w:p>
      <w:pPr>
        <w:jc w:val="both"/>
        <w:ind w:right="399"/>
        <w:spacing w:after="0" w:line="266" w:lineRule="auto"/>
        <w:rPr>
          <w:sz w:val="20"/>
          <w:szCs w:val="20"/>
          <w:color w:val="auto"/>
        </w:rPr>
      </w:pPr>
      <w:r>
        <w:rPr>
          <w:rFonts w:ascii="Arial" w:cs="Arial" w:eastAsia="Arial" w:hAnsi="Arial"/>
          <w:sz w:val="18"/>
          <w:szCs w:val="18"/>
          <w:color w:val="auto"/>
        </w:rPr>
        <w:t>The Company acquired Kilpatrick Life in December 2019. Prior to the acquisition, the Company identified a material weakness in Kilpatrick Life’s internal control over financial reporting. The material weakness identified had not been remediated as of June 30, 2020. Specifically, the Company determined that Kilpatrick Life’s controls related to change management and segregation of duties for the policy administration system did not operate effectively. As a result of the control deficiency, a risk exists that inappropriate system changes could potentially result in a material misstatement of Kilpatrick Life’s financial information, which is consolidated with the Company’s results. Prior to the closing of the acquisition, the Company’s management developed and initiated a plan to remediate these internal control deficiencies.</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5634355" cy="33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59"/>
          </w:cols>
          <w:pgMar w:left="1200" w:top="122" w:right="1440" w:bottom="1440" w:gutter="0" w:footer="0" w:header="0"/>
        </w:sectPr>
      </w:pPr>
    </w:p>
    <w:bookmarkStart w:id="62" w:name="page63"/>
    <w:bookmarkEnd w:id="62"/>
    <w:p>
      <w:pPr>
        <w:jc w:val="both"/>
        <w:ind w:right="399"/>
        <w:spacing w:after="0" w:line="267" w:lineRule="auto"/>
        <w:rPr>
          <w:sz w:val="20"/>
          <w:szCs w:val="20"/>
          <w:color w:val="auto"/>
        </w:rPr>
      </w:pPr>
      <w:r>
        <w:rPr>
          <w:rFonts w:ascii="Arial" w:cs="Arial" w:eastAsia="Arial" w:hAnsi="Arial"/>
          <w:sz w:val="18"/>
          <w:szCs w:val="18"/>
          <w:color w:val="auto"/>
        </w:rPr>
        <w:t>As of August 14, 2020, the Company had not fully assessed Kilpatrick Life’s internal controls over financial reporting and is currently testing new and revised internal controls for design and operating effectiveness. The Securities and Exchange Commission permits companies to exclude acquisitions from their assessment of internal control over financial reporting during the first year of an acquisition, and the Company has elected to exclude Kilpatrick Life from its assessment. The Company has performed additional analysis and procedures to conclude that it believes the condensed consolidated financial statements included in this Form 10-Q present fairly, in all material respects, the Company’s financial position, results of operations, comprehensive income (loss) and cash flows for the periods presented in conformity with U.S. GAAP.</w:t>
      </w:r>
    </w:p>
    <w:p>
      <w:pPr>
        <w:spacing w:after="0" w:line="179" w:lineRule="exact"/>
        <w:rPr>
          <w:sz w:val="20"/>
          <w:szCs w:val="20"/>
          <w:color w:val="auto"/>
        </w:rPr>
      </w:pPr>
    </w:p>
    <w:p>
      <w:pPr>
        <w:jc w:val="both"/>
        <w:ind w:right="399"/>
        <w:spacing w:after="0" w:line="261" w:lineRule="auto"/>
        <w:rPr>
          <w:sz w:val="20"/>
          <w:szCs w:val="20"/>
          <w:color w:val="auto"/>
        </w:rPr>
      </w:pPr>
      <w:r>
        <w:rPr>
          <w:rFonts w:ascii="Arial" w:cs="Arial" w:eastAsia="Arial" w:hAnsi="Arial"/>
          <w:sz w:val="19"/>
          <w:szCs w:val="19"/>
          <w:color w:val="auto"/>
        </w:rPr>
        <w:t>The Company has implemented controls to remediate the underlying causes that gave rise to the material weakness. As of August 14, 2020, the known deficiencies have been remediated to the extent that they no longer give rise to a material weakness.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The following controls have been implemented by management:</w:t>
      </w:r>
    </w:p>
    <w:p>
      <w:pPr>
        <w:spacing w:after="0" w:line="230" w:lineRule="exact"/>
        <w:rPr>
          <w:sz w:val="20"/>
          <w:szCs w:val="20"/>
          <w:color w:val="auto"/>
        </w:rPr>
      </w:pPr>
    </w:p>
    <w:p>
      <w:pPr>
        <w:ind w:left="640" w:hanging="326"/>
        <w:spacing w:after="0"/>
        <w:tabs>
          <w:tab w:leader="none" w:pos="6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Execution of a formal consultant agreement with the former system developer.</w:t>
      </w:r>
    </w:p>
    <w:p>
      <w:pPr>
        <w:spacing w:after="0" w:line="21" w:lineRule="exact"/>
        <w:rPr>
          <w:rFonts w:ascii="Arial" w:cs="Arial" w:eastAsia="Arial" w:hAnsi="Arial"/>
          <w:sz w:val="19"/>
          <w:szCs w:val="19"/>
          <w:color w:val="auto"/>
        </w:rPr>
      </w:pPr>
    </w:p>
    <w:p>
      <w:pPr>
        <w:ind w:left="640" w:hanging="326"/>
        <w:spacing w:after="0"/>
        <w:tabs>
          <w:tab w:leader="none" w:pos="6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Creation of unique login credentials for system users.</w:t>
      </w:r>
    </w:p>
    <w:p>
      <w:pPr>
        <w:spacing w:after="0" w:line="5" w:lineRule="exact"/>
        <w:rPr>
          <w:rFonts w:ascii="Arial" w:cs="Arial" w:eastAsia="Arial" w:hAnsi="Arial"/>
          <w:sz w:val="19"/>
          <w:szCs w:val="19"/>
          <w:color w:val="auto"/>
        </w:rPr>
      </w:pPr>
    </w:p>
    <w:p>
      <w:pPr>
        <w:ind w:left="640" w:right="399" w:hanging="326"/>
        <w:spacing w:after="0" w:line="259" w:lineRule="auto"/>
        <w:tabs>
          <w:tab w:leader="none" w:pos="6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Implementation of system change control processes, including the installation of a third-party database logging software.</w:t>
      </w:r>
    </w:p>
    <w:p>
      <w:pPr>
        <w:spacing w:after="0" w:line="186" w:lineRule="exact"/>
        <w:rPr>
          <w:sz w:val="20"/>
          <w:szCs w:val="20"/>
          <w:color w:val="auto"/>
        </w:rPr>
      </w:pPr>
    </w:p>
    <w:p>
      <w:pPr>
        <w:jc w:val="both"/>
        <w:ind w:right="399"/>
        <w:spacing w:after="0" w:line="277" w:lineRule="auto"/>
        <w:rPr>
          <w:sz w:val="20"/>
          <w:szCs w:val="20"/>
          <w:color w:val="auto"/>
        </w:rPr>
      </w:pPr>
      <w:r>
        <w:rPr>
          <w:rFonts w:ascii="Arial" w:cs="Arial" w:eastAsia="Arial" w:hAnsi="Arial"/>
          <w:sz w:val="19"/>
          <w:szCs w:val="19"/>
          <w:color w:val="auto"/>
        </w:rPr>
        <w:t>In addition to the steps taken above, the Company will also transition Kilpatrick Life’s policies to its own Policy Administration System, which has appropriate controls in place.</w:t>
      </w:r>
    </w:p>
    <w:p>
      <w:pPr>
        <w:spacing w:after="0" w:line="169" w:lineRule="exact"/>
        <w:rPr>
          <w:sz w:val="20"/>
          <w:szCs w:val="20"/>
          <w:color w:val="auto"/>
        </w:rPr>
      </w:pPr>
    </w:p>
    <w:p>
      <w:pPr>
        <w:jc w:val="both"/>
        <w:ind w:right="399"/>
        <w:spacing w:after="0" w:line="261" w:lineRule="auto"/>
        <w:rPr>
          <w:sz w:val="20"/>
          <w:szCs w:val="20"/>
          <w:color w:val="auto"/>
        </w:rPr>
      </w:pPr>
      <w:r>
        <w:rPr>
          <w:rFonts w:ascii="Arial" w:cs="Arial" w:eastAsia="Arial" w:hAnsi="Arial"/>
          <w:sz w:val="19"/>
          <w:szCs w:val="19"/>
          <w:color w:val="auto"/>
        </w:rPr>
        <w:t>The Company is committed to continuous improvement of its internal control processes and will continue to diligently review its financial reporting controls and procedures as it works to remedy Kilpatrick Life’s material weakness in internal controls.</w:t>
      </w:r>
    </w:p>
    <w:p>
      <w:pPr>
        <w:spacing w:after="0" w:line="179" w:lineRule="exact"/>
        <w:rPr>
          <w:sz w:val="20"/>
          <w:szCs w:val="20"/>
          <w:color w:val="auto"/>
        </w:rPr>
      </w:pPr>
    </w:p>
    <w:p>
      <w:pPr>
        <w:ind w:left="3320"/>
        <w:spacing w:after="0"/>
        <w:rPr>
          <w:sz w:val="20"/>
          <w:szCs w:val="20"/>
          <w:color w:val="auto"/>
        </w:rPr>
      </w:pPr>
      <w:r>
        <w:rPr>
          <w:rFonts w:ascii="Arial" w:cs="Arial" w:eastAsia="Arial" w:hAnsi="Arial"/>
          <w:sz w:val="19"/>
          <w:szCs w:val="19"/>
          <w:b w:val="1"/>
          <w:bCs w:val="1"/>
          <w:color w:val="auto"/>
        </w:rPr>
        <w:t xml:space="preserve">Part II </w:t>
      </w:r>
      <w:r>
        <w:rPr>
          <w:rFonts w:ascii="Arial" w:cs="Arial" w:eastAsia="Arial" w:hAnsi="Arial"/>
          <w:sz w:val="14"/>
          <w:szCs w:val="14"/>
          <w:b w:val="1"/>
          <w:bCs w:val="1"/>
          <w:color w:val="auto"/>
        </w:rPr>
        <w:t>-</w:t>
      </w:r>
      <w:r>
        <w:rPr>
          <w:rFonts w:ascii="Arial" w:cs="Arial" w:eastAsia="Arial" w:hAnsi="Arial"/>
          <w:sz w:val="19"/>
          <w:szCs w:val="19"/>
          <w:b w:val="1"/>
          <w:bCs w:val="1"/>
          <w:color w:val="auto"/>
        </w:rPr>
        <w:t xml:space="preserve">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Legal Proceedings</w:t>
      </w:r>
      <w:r>
        <w:rPr>
          <w:rFonts w:ascii="Arial" w:cs="Arial" w:eastAsia="Arial" w:hAnsi="Arial"/>
          <w:sz w:val="19"/>
          <w:szCs w:val="19"/>
          <w:color w:val="auto"/>
        </w:rPr>
        <w:t>.</w:t>
      </w:r>
    </w:p>
    <w:p>
      <w:pPr>
        <w:spacing w:after="0" w:line="236" w:lineRule="exact"/>
        <w:rPr>
          <w:sz w:val="20"/>
          <w:szCs w:val="20"/>
          <w:color w:val="auto"/>
        </w:rPr>
      </w:pPr>
    </w:p>
    <w:p>
      <w:pPr>
        <w:jc w:val="both"/>
        <w:ind w:right="399"/>
        <w:spacing w:after="0" w:line="277" w:lineRule="auto"/>
        <w:rPr>
          <w:sz w:val="20"/>
          <w:szCs w:val="20"/>
          <w:color w:val="auto"/>
        </w:rPr>
      </w:pPr>
      <w:r>
        <w:rPr>
          <w:rFonts w:ascii="Arial" w:cs="Arial" w:eastAsia="Arial" w:hAnsi="Arial"/>
          <w:sz w:val="19"/>
          <w:szCs w:val="19"/>
          <w:color w:val="auto"/>
        </w:rPr>
        <w:t>For a description of the litigation involving SecurityNational Mortgage and Lehman Brothers Holdings, see Part I, Item 1. Notes to Condensed Consolidated Financial Statements (unaudited) in Note 11.</w:t>
      </w:r>
    </w:p>
    <w:p>
      <w:pPr>
        <w:spacing w:after="0" w:line="169" w:lineRule="exact"/>
        <w:rPr>
          <w:sz w:val="20"/>
          <w:szCs w:val="20"/>
          <w:color w:val="auto"/>
        </w:rPr>
      </w:pPr>
    </w:p>
    <w:p>
      <w:pPr>
        <w:jc w:val="both"/>
        <w:ind w:right="399"/>
        <w:spacing w:after="0" w:line="261" w:lineRule="auto"/>
        <w:rPr>
          <w:sz w:val="20"/>
          <w:szCs w:val="20"/>
          <w:color w:val="auto"/>
        </w:rPr>
      </w:pPr>
      <w:r>
        <w:rPr>
          <w:rFonts w:ascii="Arial" w:cs="Arial" w:eastAsia="Arial" w:hAnsi="Arial"/>
          <w:sz w:val="19"/>
          <w:szCs w:val="19"/>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1A.Risk Factors.</w:t>
      </w:r>
    </w:p>
    <w:p>
      <w:pPr>
        <w:spacing w:after="0" w:line="236" w:lineRule="exact"/>
        <w:rPr>
          <w:sz w:val="20"/>
          <w:szCs w:val="20"/>
          <w:color w:val="auto"/>
        </w:rPr>
      </w:pPr>
    </w:p>
    <w:p>
      <w:pPr>
        <w:jc w:val="both"/>
        <w:ind w:right="399"/>
        <w:spacing w:after="0" w:line="277" w:lineRule="auto"/>
        <w:rPr>
          <w:sz w:val="20"/>
          <w:szCs w:val="20"/>
          <w:color w:val="auto"/>
        </w:rPr>
      </w:pPr>
      <w:r>
        <w:rPr>
          <w:rFonts w:ascii="Arial" w:cs="Arial" w:eastAsia="Arial" w:hAnsi="Arial"/>
          <w:sz w:val="19"/>
          <w:szCs w:val="19"/>
          <w:color w:val="auto"/>
        </w:rPr>
        <w:t>As a smaller reporting company, the Company is not required to provide information typically disclosed under this item.</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Securities and Use of Proceeds from Registered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Issuer Purchases of Equity Securities</w:t>
      </w:r>
    </w:p>
    <w:p>
      <w:pPr>
        <w:spacing w:after="0" w:line="236" w:lineRule="exact"/>
        <w:rPr>
          <w:sz w:val="20"/>
          <w:szCs w:val="20"/>
          <w:color w:val="auto"/>
        </w:rPr>
      </w:pPr>
    </w:p>
    <w:p>
      <w:pPr>
        <w:jc w:val="both"/>
        <w:ind w:right="399"/>
        <w:spacing w:after="0" w:line="256" w:lineRule="auto"/>
        <w:rPr>
          <w:sz w:val="20"/>
          <w:szCs w:val="20"/>
          <w:color w:val="auto"/>
        </w:rPr>
      </w:pPr>
      <w:r>
        <w:rPr>
          <w:rFonts w:ascii="Arial" w:cs="Arial" w:eastAsia="Arial" w:hAnsi="Arial"/>
          <w:sz w:val="19"/>
          <w:szCs w:val="19"/>
          <w:color w:val="auto"/>
        </w:rPr>
        <w:t>In September 2018, the Board of Directors of the Company approved a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217"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98425</wp:posOffset>
            </wp:positionV>
            <wp:extent cx="5634355" cy="33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59"/>
          </w:cols>
          <w:pgMar w:left="1200" w:top="122" w:right="1440" w:bottom="1440" w:gutter="0" w:footer="0" w:header="0"/>
        </w:sectPr>
      </w:pPr>
    </w:p>
    <w:bookmarkStart w:id="63" w:name="page64"/>
    <w:bookmarkEnd w:id="63"/>
    <w:p>
      <w:pPr>
        <w:ind w:right="399"/>
        <w:spacing w:after="0" w:line="278" w:lineRule="auto"/>
        <w:rPr>
          <w:sz w:val="20"/>
          <w:szCs w:val="20"/>
          <w:color w:val="auto"/>
        </w:rPr>
      </w:pPr>
      <w:r>
        <w:rPr>
          <w:rFonts w:ascii="Arial" w:cs="Arial" w:eastAsia="Arial" w:hAnsi="Arial"/>
          <w:sz w:val="19"/>
          <w:szCs w:val="19"/>
          <w:color w:val="auto"/>
        </w:rPr>
        <w:t>The following table shows the Company's repurchase activity during the three months ended June 30, 2020 under the Stock Repurchase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color w:val="auto"/>
                <w:w w:val="93"/>
              </w:rPr>
              <w:t>(d) Maximum Number (or Approximate</w:t>
            </w:r>
          </w:p>
        </w:tc>
      </w:tr>
      <w:tr>
        <w:trPr>
          <w:trHeight w:val="145"/>
        </w:trPr>
        <w:tc>
          <w:tcPr>
            <w:tcW w:w="1540" w:type="dxa"/>
            <w:vAlign w:val="bottom"/>
          </w:tcPr>
          <w:p>
            <w:pPr>
              <w:spacing w:after="0"/>
              <w:rPr>
                <w:sz w:val="12"/>
                <w:szCs w:val="12"/>
                <w:color w:val="auto"/>
              </w:rPr>
            </w:pPr>
          </w:p>
        </w:tc>
        <w:tc>
          <w:tcPr>
            <w:tcW w:w="146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2"/>
              </w:rPr>
              <w:t>(a) Total Number of</w:t>
            </w: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2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1"/>
              </w:rPr>
              <w:t>(c) Total Number of Class A Shares</w:t>
            </w:r>
          </w:p>
        </w:tc>
        <w:tc>
          <w:tcPr>
            <w:tcW w:w="2440" w:type="dxa"/>
            <w:vAlign w:val="bottom"/>
          </w:tcPr>
          <w:p>
            <w:pPr>
              <w:jc w:val="center"/>
              <w:spacing w:after="0" w:line="145" w:lineRule="exact"/>
              <w:rPr>
                <w:sz w:val="20"/>
                <w:szCs w:val="20"/>
                <w:color w:val="auto"/>
              </w:rPr>
            </w:pPr>
            <w:r>
              <w:rPr>
                <w:rFonts w:ascii="Arial" w:cs="Arial" w:eastAsia="Arial" w:hAnsi="Arial"/>
                <w:sz w:val="14"/>
                <w:szCs w:val="14"/>
                <w:color w:val="auto"/>
                <w:w w:val="92"/>
              </w:rPr>
              <w:t>Dollar Value) of Class A Shares that May</w:t>
            </w:r>
          </w:p>
        </w:tc>
      </w:tr>
      <w:tr>
        <w:trPr>
          <w:trHeight w:val="145"/>
        </w:trPr>
        <w:tc>
          <w:tcPr>
            <w:tcW w:w="1540" w:type="dxa"/>
            <w:vAlign w:val="bottom"/>
          </w:tcPr>
          <w:p>
            <w:pPr>
              <w:spacing w:after="0"/>
              <w:rPr>
                <w:sz w:val="12"/>
                <w:szCs w:val="12"/>
                <w:color w:val="auto"/>
              </w:rPr>
            </w:pPr>
          </w:p>
        </w:tc>
        <w:tc>
          <w:tcPr>
            <w:tcW w:w="1460" w:type="dxa"/>
            <w:vAlign w:val="bottom"/>
            <w:gridSpan w:val="2"/>
          </w:tcPr>
          <w:p>
            <w:pPr>
              <w:jc w:val="center"/>
              <w:ind w:right="80"/>
              <w:spacing w:after="0" w:line="145" w:lineRule="exact"/>
              <w:rPr>
                <w:sz w:val="20"/>
                <w:szCs w:val="20"/>
                <w:color w:val="auto"/>
              </w:rPr>
            </w:pPr>
            <w:r>
              <w:rPr>
                <w:rFonts w:ascii="Arial" w:cs="Arial" w:eastAsia="Arial" w:hAnsi="Arial"/>
                <w:sz w:val="14"/>
                <w:szCs w:val="14"/>
                <w:color w:val="auto"/>
                <w:w w:val="89"/>
              </w:rPr>
              <w:t>Class A Shares</w:t>
            </w:r>
          </w:p>
        </w:tc>
        <w:tc>
          <w:tcPr>
            <w:tcW w:w="1540" w:type="dxa"/>
            <w:vAlign w:val="bottom"/>
            <w:gridSpan w:val="3"/>
          </w:tcPr>
          <w:p>
            <w:pPr>
              <w:jc w:val="center"/>
              <w:ind w:right="60"/>
              <w:spacing w:after="0" w:line="145" w:lineRule="exact"/>
              <w:rPr>
                <w:sz w:val="20"/>
                <w:szCs w:val="20"/>
                <w:color w:val="auto"/>
              </w:rPr>
            </w:pPr>
            <w:r>
              <w:rPr>
                <w:rFonts w:ascii="Arial" w:cs="Arial" w:eastAsia="Arial" w:hAnsi="Arial"/>
                <w:sz w:val="14"/>
                <w:szCs w:val="14"/>
                <w:color w:val="auto"/>
                <w:w w:val="90"/>
              </w:rPr>
              <w:t>(b) Average Price Paid</w:t>
            </w:r>
          </w:p>
        </w:tc>
        <w:tc>
          <w:tcPr>
            <w:tcW w:w="2120" w:type="dxa"/>
            <w:vAlign w:val="bottom"/>
            <w:gridSpan w:val="2"/>
          </w:tcPr>
          <w:p>
            <w:pPr>
              <w:jc w:val="center"/>
              <w:ind w:right="60"/>
              <w:spacing w:after="0" w:line="145" w:lineRule="exact"/>
              <w:rPr>
                <w:sz w:val="20"/>
                <w:szCs w:val="20"/>
                <w:color w:val="auto"/>
              </w:rPr>
            </w:pPr>
            <w:r>
              <w:rPr>
                <w:rFonts w:ascii="Arial" w:cs="Arial" w:eastAsia="Arial" w:hAnsi="Arial"/>
                <w:sz w:val="14"/>
                <w:szCs w:val="14"/>
                <w:color w:val="auto"/>
                <w:w w:val="90"/>
              </w:rPr>
              <w:t>Purchased as Part of Publicly</w:t>
            </w:r>
          </w:p>
        </w:tc>
        <w:tc>
          <w:tcPr>
            <w:tcW w:w="2440" w:type="dxa"/>
            <w:vAlign w:val="bottom"/>
          </w:tcPr>
          <w:p>
            <w:pPr>
              <w:jc w:val="center"/>
              <w:spacing w:after="0" w:line="145" w:lineRule="exact"/>
              <w:rPr>
                <w:sz w:val="20"/>
                <w:szCs w:val="20"/>
                <w:color w:val="auto"/>
              </w:rPr>
            </w:pPr>
            <w:r>
              <w:rPr>
                <w:rFonts w:ascii="Arial" w:cs="Arial" w:eastAsia="Arial" w:hAnsi="Arial"/>
                <w:sz w:val="14"/>
                <w:szCs w:val="14"/>
                <w:color w:val="auto"/>
                <w:w w:val="90"/>
              </w:rPr>
              <w:t>Yet Be Purchased Under the Plan or</w:t>
            </w:r>
          </w:p>
        </w:tc>
      </w:tr>
      <w:tr>
        <w:trPr>
          <w:trHeight w:val="177"/>
        </w:trPr>
        <w:tc>
          <w:tcPr>
            <w:tcW w:w="1540" w:type="dxa"/>
            <w:vAlign w:val="bottom"/>
          </w:tcPr>
          <w:p>
            <w:pPr>
              <w:jc w:val="center"/>
              <w:spacing w:after="0"/>
              <w:rPr>
                <w:sz w:val="20"/>
                <w:szCs w:val="20"/>
                <w:color w:val="auto"/>
              </w:rPr>
            </w:pPr>
            <w:r>
              <w:rPr>
                <w:rFonts w:ascii="Arial" w:cs="Arial" w:eastAsia="Arial" w:hAnsi="Arial"/>
                <w:sz w:val="14"/>
                <w:szCs w:val="14"/>
                <w:color w:val="auto"/>
                <w:w w:val="93"/>
              </w:rPr>
              <w:t>Period</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color w:val="auto"/>
                <w:w w:val="86"/>
              </w:rPr>
              <w:t>Purchased</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color w:val="auto"/>
                <w:w w:val="89"/>
              </w:rPr>
              <w:t>per Class A Share</w:t>
            </w:r>
          </w:p>
        </w:tc>
        <w:tc>
          <w:tcPr>
            <w:tcW w:w="212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Announced Plan or Program</w:t>
            </w:r>
          </w:p>
        </w:tc>
        <w:tc>
          <w:tcPr>
            <w:tcW w:w="2440" w:type="dxa"/>
            <w:vAlign w:val="bottom"/>
          </w:tcPr>
          <w:p>
            <w:pPr>
              <w:jc w:val="center"/>
              <w:spacing w:after="0"/>
              <w:rPr>
                <w:sz w:val="20"/>
                <w:szCs w:val="20"/>
                <w:color w:val="auto"/>
              </w:rPr>
            </w:pPr>
            <w:r>
              <w:rPr>
                <w:rFonts w:ascii="Arial" w:cs="Arial" w:eastAsia="Arial" w:hAnsi="Arial"/>
                <w:sz w:val="14"/>
                <w:szCs w:val="14"/>
                <w:color w:val="auto"/>
                <w:w w:val="89"/>
              </w:rPr>
              <w:t>Program</w:t>
            </w:r>
          </w:p>
        </w:tc>
      </w:tr>
      <w:tr>
        <w:trPr>
          <w:trHeight w:val="204"/>
        </w:trPr>
        <w:tc>
          <w:tcPr>
            <w:tcW w:w="1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4/1/2020-4/30/2020</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w:t>
            </w:r>
          </w:p>
        </w:tc>
        <w:tc>
          <w:tcPr>
            <w:tcW w:w="6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135,667</w:t>
            </w:r>
          </w:p>
        </w:tc>
      </w:tr>
      <w:tr>
        <w:trPr>
          <w:trHeight w:val="224"/>
        </w:trPr>
        <w:tc>
          <w:tcPr>
            <w:tcW w:w="1540" w:type="dxa"/>
            <w:vAlign w:val="bottom"/>
          </w:tcPr>
          <w:p>
            <w:pPr>
              <w:jc w:val="center"/>
              <w:spacing w:after="0"/>
              <w:rPr>
                <w:sz w:val="20"/>
                <w:szCs w:val="20"/>
                <w:color w:val="auto"/>
              </w:rPr>
            </w:pPr>
            <w:r>
              <w:rPr>
                <w:rFonts w:ascii="Arial" w:cs="Arial" w:eastAsia="Arial" w:hAnsi="Arial"/>
                <w:sz w:val="14"/>
                <w:szCs w:val="14"/>
                <w:color w:val="auto"/>
                <w:w w:val="90"/>
              </w:rPr>
              <w:t>5/1/2020-5/31/2020</w:t>
            </w:r>
          </w:p>
        </w:tc>
        <w:tc>
          <w:tcPr>
            <w:tcW w:w="1380" w:type="dxa"/>
            <w:vAlign w:val="bottom"/>
          </w:tcPr>
          <w:p>
            <w:pPr>
              <w:jc w:val="right"/>
              <w:spacing w:after="0"/>
              <w:rPr>
                <w:sz w:val="20"/>
                <w:szCs w:val="20"/>
                <w:color w:val="auto"/>
              </w:rPr>
            </w:pPr>
            <w:r>
              <w:rPr>
                <w:rFonts w:ascii="Arial" w:cs="Arial" w:eastAsia="Arial" w:hAnsi="Arial"/>
                <w:sz w:val="14"/>
                <w:szCs w:val="14"/>
                <w:color w:val="auto"/>
              </w:rPr>
              <w:t>6,780</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6.10</w:t>
            </w:r>
          </w:p>
        </w:tc>
        <w:tc>
          <w:tcPr>
            <w:tcW w:w="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4"/>
                <w:szCs w:val="14"/>
                <w:color w:val="auto"/>
              </w:rPr>
              <w:t>128,887</w:t>
            </w:r>
          </w:p>
        </w:tc>
      </w:tr>
      <w:tr>
        <w:trPr>
          <w:trHeight w:val="224"/>
        </w:trPr>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6/1/2020-6/30/2020</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6,960</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w:t>
            </w:r>
          </w:p>
        </w:tc>
        <w:tc>
          <w:tcPr>
            <w:tcW w:w="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121,927</w:t>
            </w:r>
          </w:p>
        </w:tc>
      </w:tr>
      <w:tr>
        <w:trPr>
          <w:trHeight w:val="172"/>
        </w:trPr>
        <w:tc>
          <w:tcPr>
            <w:tcW w:w="154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r>
      <w:tr>
        <w:trPr>
          <w:trHeight w:val="204"/>
        </w:trPr>
        <w:tc>
          <w:tcPr>
            <w:tcW w:w="1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23,740</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w:t>
            </w:r>
          </w:p>
        </w:tc>
        <w:tc>
          <w:tcPr>
            <w:tcW w:w="6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121,927</w:t>
            </w:r>
          </w:p>
        </w:tc>
      </w:tr>
      <w:tr>
        <w:trPr>
          <w:trHeight w:val="20"/>
        </w:trPr>
        <w:tc>
          <w:tcPr>
            <w:tcW w:w="1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 Financial Statements Schedules and Reports on Form 8-K.</w:t>
      </w:r>
    </w:p>
    <w:p>
      <w:pPr>
        <w:spacing w:after="0" w:line="236"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(a)(1)</w:t>
      </w:r>
      <w:r>
        <w:rPr>
          <w:sz w:val="20"/>
          <w:szCs w:val="20"/>
          <w:color w:val="auto"/>
        </w:rPr>
        <w:tab/>
      </w:r>
      <w:r>
        <w:rPr>
          <w:rFonts w:ascii="Arial" w:cs="Arial" w:eastAsia="Arial" w:hAnsi="Arial"/>
          <w:sz w:val="17"/>
          <w:szCs w:val="17"/>
          <w:u w:val="single" w:color="auto"/>
          <w:color w:val="auto"/>
        </w:rPr>
        <w:t>Financial Statements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See “Table of Contents – Part I – Financial Information” under page 2 above</w:t>
      </w:r>
    </w:p>
    <w:p>
      <w:pPr>
        <w:spacing w:after="0" w:line="230"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(a)(2)</w:t>
      </w:r>
      <w:r>
        <w:rPr>
          <w:sz w:val="20"/>
          <w:szCs w:val="20"/>
          <w:color w:val="auto"/>
        </w:rPr>
        <w:tab/>
      </w:r>
      <w:r>
        <w:rPr>
          <w:rFonts w:ascii="Arial" w:cs="Arial" w:eastAsia="Arial" w:hAnsi="Arial"/>
          <w:sz w:val="17"/>
          <w:szCs w:val="17"/>
          <w:u w:val="single" w:color="auto"/>
          <w:color w:val="auto"/>
        </w:rPr>
        <w:t>Financial Statement Schedules</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None</w:t>
      </w:r>
    </w:p>
    <w:p>
      <w:pPr>
        <w:spacing w:after="0" w:line="230" w:lineRule="exact"/>
        <w:rPr>
          <w:sz w:val="20"/>
          <w:szCs w:val="20"/>
          <w:color w:val="auto"/>
        </w:rPr>
      </w:pPr>
    </w:p>
    <w:p>
      <w:pPr>
        <w:jc w:val="both"/>
        <w:ind w:left="640" w:right="399"/>
        <w:spacing w:after="0" w:line="306" w:lineRule="auto"/>
        <w:rPr>
          <w:sz w:val="20"/>
          <w:szCs w:val="20"/>
          <w:color w:val="auto"/>
        </w:rPr>
      </w:pPr>
      <w:r>
        <w:rPr>
          <w:rFonts w:ascii="Arial" w:cs="Arial" w:eastAsia="Arial" w:hAnsi="Arial"/>
          <w:sz w:val="18"/>
          <w:szCs w:val="18"/>
          <w:color w:val="auto"/>
        </w:rPr>
        <w:t>All other schedules to the consolidated financial statements required by Article 7 of Regulation S-X are not required under the related instructions or are inapplicable and therefore have been omitted.</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19"/>
          <w:szCs w:val="19"/>
          <w:color w:val="auto"/>
        </w:rPr>
        <w:t>(a)(3)</w:t>
      </w:r>
      <w:r>
        <w:rPr>
          <w:sz w:val="20"/>
          <w:szCs w:val="20"/>
          <w:color w:val="auto"/>
        </w:rPr>
        <w:tab/>
      </w:r>
      <w:r>
        <w:rPr>
          <w:rFonts w:ascii="Arial" w:cs="Arial" w:eastAsia="Arial" w:hAnsi="Arial"/>
          <w:sz w:val="18"/>
          <w:szCs w:val="18"/>
          <w:u w:val="single" w:color="auto"/>
          <w:color w:val="auto"/>
        </w:rPr>
        <w:t>Exhibits</w:t>
      </w:r>
    </w:p>
    <w:p>
      <w:pPr>
        <w:spacing w:after="0" w:line="230" w:lineRule="exact"/>
        <w:rPr>
          <w:sz w:val="20"/>
          <w:szCs w:val="20"/>
          <w:color w:val="auto"/>
        </w:rPr>
      </w:pPr>
    </w:p>
    <w:p>
      <w:pPr>
        <w:jc w:val="both"/>
        <w:ind w:left="640" w:right="399"/>
        <w:spacing w:after="0" w:line="277" w:lineRule="auto"/>
        <w:rPr>
          <w:sz w:val="20"/>
          <w:szCs w:val="20"/>
          <w:color w:val="auto"/>
        </w:rPr>
      </w:pPr>
      <w:r>
        <w:rPr>
          <w:rFonts w:ascii="Arial" w:cs="Arial" w:eastAsia="Arial" w:hAnsi="Arial"/>
          <w:sz w:val="19"/>
          <w:szCs w:val="19"/>
          <w:color w:val="auto"/>
        </w:rPr>
        <w:t>The following Exhibits are filed herewith pursuant to Rule 601 of Regulation S-K or are incorporated by reference to previous filings.</w:t>
      </w:r>
    </w:p>
    <w:p>
      <w:pPr>
        <w:spacing w:after="0" w:line="169" w:lineRule="exact"/>
        <w:rPr>
          <w:sz w:val="20"/>
          <w:szCs w:val="20"/>
          <w:color w:val="auto"/>
        </w:rPr>
      </w:pPr>
    </w:p>
    <w:p>
      <w:pPr>
        <w:ind w:left="640"/>
        <w:spacing w:after="0"/>
        <w:tabs>
          <w:tab w:leader="none" w:pos="1400" w:val="left"/>
        </w:tabs>
        <w:rPr>
          <w:rFonts w:ascii="Arial" w:cs="Arial" w:eastAsia="Arial" w:hAnsi="Arial"/>
          <w:sz w:val="17"/>
          <w:szCs w:val="17"/>
          <w:u w:val="single" w:color="auto"/>
          <w:color w:val="0000FF"/>
        </w:rPr>
      </w:pPr>
      <w:r>
        <w:rPr>
          <w:rFonts w:ascii="Arial" w:cs="Arial" w:eastAsia="Arial" w:hAnsi="Arial"/>
          <w:sz w:val="19"/>
          <w:szCs w:val="19"/>
          <w:color w:val="auto"/>
        </w:rPr>
        <w:t>3.1</w:t>
      </w:r>
      <w:r>
        <w:rPr>
          <w:sz w:val="20"/>
          <w:szCs w:val="20"/>
          <w:color w:val="auto"/>
        </w:rPr>
        <w:tab/>
      </w:r>
      <w:hyperlink r:id="rId128">
        <w:r>
          <w:rPr>
            <w:rFonts w:ascii="Arial" w:cs="Arial" w:eastAsia="Arial" w:hAnsi="Arial"/>
            <w:sz w:val="17"/>
            <w:szCs w:val="17"/>
            <w:u w:val="single" w:color="auto"/>
            <w:color w:val="0000FF"/>
          </w:rPr>
          <w:t xml:space="preserve">Amended and Restated Articles of Incorporation </w:t>
        </w:r>
      </w:hyperlink>
      <w:r>
        <w:rPr>
          <w:rFonts w:ascii="Arial" w:cs="Arial" w:eastAsia="Arial" w:hAnsi="Arial"/>
          <w:sz w:val="17"/>
          <w:szCs w:val="17"/>
          <w:color w:val="000000"/>
        </w:rPr>
        <w:t>(5)</w:t>
      </w:r>
    </w:p>
    <w:p>
      <w:pPr>
        <w:spacing w:after="0" w:line="22" w:lineRule="exact"/>
        <w:rPr>
          <w:sz w:val="20"/>
          <w:szCs w:val="20"/>
          <w:color w:val="auto"/>
        </w:rPr>
      </w:pPr>
    </w:p>
    <w:p>
      <w:pPr>
        <w:ind w:left="640"/>
        <w:spacing w:after="0"/>
        <w:tabs>
          <w:tab w:leader="none" w:pos="1400" w:val="left"/>
        </w:tabs>
        <w:rPr>
          <w:rFonts w:ascii="Arial" w:cs="Arial" w:eastAsia="Arial" w:hAnsi="Arial"/>
          <w:sz w:val="17"/>
          <w:szCs w:val="17"/>
          <w:u w:val="single" w:color="auto"/>
          <w:color w:val="0000FF"/>
        </w:rPr>
      </w:pPr>
      <w:r>
        <w:rPr>
          <w:rFonts w:ascii="Arial" w:cs="Arial" w:eastAsia="Arial" w:hAnsi="Arial"/>
          <w:sz w:val="19"/>
          <w:szCs w:val="19"/>
          <w:color w:val="auto"/>
        </w:rPr>
        <w:t>3.2</w:t>
      </w:r>
      <w:r>
        <w:rPr>
          <w:sz w:val="20"/>
          <w:szCs w:val="20"/>
          <w:color w:val="auto"/>
        </w:rPr>
        <w:tab/>
      </w:r>
      <w:hyperlink r:id="rId129">
        <w:r>
          <w:rPr>
            <w:rFonts w:ascii="Arial" w:cs="Arial" w:eastAsia="Arial" w:hAnsi="Arial"/>
            <w:sz w:val="17"/>
            <w:szCs w:val="17"/>
            <w:u w:val="single" w:color="auto"/>
            <w:color w:val="0000FF"/>
          </w:rPr>
          <w:t xml:space="preserve">Amended and Restated Bylaws </w:t>
        </w:r>
      </w:hyperlink>
      <w:r>
        <w:rPr>
          <w:rFonts w:ascii="Arial" w:cs="Arial" w:eastAsia="Arial" w:hAnsi="Arial"/>
          <w:sz w:val="17"/>
          <w:szCs w:val="17"/>
          <w:color w:val="000000"/>
        </w:rPr>
        <w:t>(9)</w:t>
      </w:r>
    </w:p>
    <w:p>
      <w:pPr>
        <w:spacing w:after="0" w:line="6"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color w:val="auto"/>
        </w:rPr>
        <w:t>Specimen Class A Stock Certificate (1)</w:t>
      </w:r>
    </w:p>
    <w:p>
      <w:pPr>
        <w:spacing w:after="0" w:line="6"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7"/>
          <w:szCs w:val="17"/>
          <w:color w:val="auto"/>
        </w:rPr>
        <w:t>Specimen Class C Stock Certificate (1)</w:t>
      </w:r>
    </w:p>
    <w:p>
      <w:pPr>
        <w:spacing w:after="0" w:line="6"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7"/>
          <w:szCs w:val="17"/>
          <w:color w:val="auto"/>
        </w:rPr>
        <w:t>Specimen Preferred Stock Certificate and Certificate of Designation of Preferred Stock (1)</w:t>
      </w:r>
    </w:p>
    <w:p>
      <w:pPr>
        <w:spacing w:after="0" w:line="6" w:lineRule="exact"/>
        <w:rPr>
          <w:sz w:val="20"/>
          <w:szCs w:val="20"/>
          <w:color w:val="auto"/>
        </w:rPr>
      </w:pPr>
    </w:p>
    <w:p>
      <w:pPr>
        <w:ind w:left="640"/>
        <w:spacing w:after="0"/>
        <w:tabs>
          <w:tab w:leader="none" w:pos="140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7"/>
          <w:szCs w:val="17"/>
          <w:color w:val="auto"/>
        </w:rPr>
        <w:t>Employee Stock Ownership Plan, as amended and restated (ESOP) and Trust Agreement (1)</w:t>
      </w:r>
    </w:p>
    <w:p>
      <w:pPr>
        <w:spacing w:after="0" w:line="6" w:lineRule="exact"/>
        <w:rPr>
          <w:sz w:val="20"/>
          <w:szCs w:val="20"/>
          <w:color w:val="auto"/>
        </w:rPr>
      </w:pPr>
    </w:p>
    <w:p>
      <w:pPr>
        <w:ind w:left="640"/>
        <w:spacing w:after="0"/>
        <w:tabs>
          <w:tab w:leader="none" w:pos="1400" w:val="left"/>
        </w:tabs>
        <w:rPr>
          <w:rFonts w:ascii="Arial" w:cs="Arial" w:eastAsia="Arial" w:hAnsi="Arial"/>
          <w:sz w:val="17"/>
          <w:szCs w:val="17"/>
          <w:u w:val="single" w:color="auto"/>
          <w:color w:val="0000FF"/>
        </w:rPr>
      </w:pPr>
      <w:r>
        <w:rPr>
          <w:rFonts w:ascii="Arial" w:cs="Arial" w:eastAsia="Arial" w:hAnsi="Arial"/>
          <w:sz w:val="19"/>
          <w:szCs w:val="19"/>
          <w:color w:val="auto"/>
        </w:rPr>
        <w:t>10.2</w:t>
      </w:r>
      <w:r>
        <w:rPr>
          <w:sz w:val="20"/>
          <w:szCs w:val="20"/>
          <w:color w:val="auto"/>
        </w:rPr>
        <w:tab/>
      </w:r>
      <w:hyperlink r:id="rId130">
        <w:r>
          <w:rPr>
            <w:rFonts w:ascii="Arial" w:cs="Arial" w:eastAsia="Arial" w:hAnsi="Arial"/>
            <w:sz w:val="17"/>
            <w:szCs w:val="17"/>
            <w:u w:val="single" w:color="auto"/>
            <w:color w:val="0000FF"/>
          </w:rPr>
          <w:t xml:space="preserve">Amended and Restated 2013 Stock Option and Other Equity Incentive Awards Plan </w:t>
        </w:r>
      </w:hyperlink>
      <w:r>
        <w:rPr>
          <w:rFonts w:ascii="Arial" w:cs="Arial" w:eastAsia="Arial" w:hAnsi="Arial"/>
          <w:sz w:val="17"/>
          <w:szCs w:val="17"/>
          <w:color w:val="000000"/>
        </w:rPr>
        <w:t>(3)</w:t>
      </w:r>
    </w:p>
    <w:p>
      <w:pPr>
        <w:spacing w:after="0" w:line="6" w:lineRule="exact"/>
        <w:rPr>
          <w:sz w:val="20"/>
          <w:szCs w:val="20"/>
          <w:color w:val="auto"/>
        </w:rPr>
      </w:pPr>
    </w:p>
    <w:p>
      <w:pPr>
        <w:ind w:left="640"/>
        <w:spacing w:after="0"/>
        <w:tabs>
          <w:tab w:leader="none" w:pos="1400" w:val="left"/>
        </w:tabs>
        <w:rPr>
          <w:rFonts w:ascii="Arial" w:cs="Arial" w:eastAsia="Arial" w:hAnsi="Arial"/>
          <w:sz w:val="17"/>
          <w:szCs w:val="17"/>
          <w:u w:val="single" w:color="auto"/>
          <w:color w:val="0000FF"/>
        </w:rPr>
      </w:pPr>
      <w:r>
        <w:rPr>
          <w:rFonts w:ascii="Arial" w:cs="Arial" w:eastAsia="Arial" w:hAnsi="Arial"/>
          <w:sz w:val="19"/>
          <w:szCs w:val="19"/>
          <w:color w:val="auto"/>
        </w:rPr>
        <w:t>10.3</w:t>
      </w:r>
      <w:r>
        <w:rPr>
          <w:sz w:val="20"/>
          <w:szCs w:val="20"/>
          <w:color w:val="auto"/>
        </w:rPr>
        <w:tab/>
      </w:r>
      <w:hyperlink r:id="rId131">
        <w:r>
          <w:rPr>
            <w:rFonts w:ascii="Arial" w:cs="Arial" w:eastAsia="Arial" w:hAnsi="Arial"/>
            <w:sz w:val="17"/>
            <w:szCs w:val="17"/>
            <w:u w:val="single" w:color="auto"/>
            <w:color w:val="0000FF"/>
          </w:rPr>
          <w:t>Amended and Restated 2014 Director Stock Option Plan</w:t>
        </w:r>
      </w:hyperlink>
    </w:p>
    <w:p>
      <w:pPr>
        <w:spacing w:after="0" w:line="6" w:lineRule="exact"/>
        <w:rPr>
          <w:sz w:val="20"/>
          <w:szCs w:val="20"/>
          <w:color w:val="auto"/>
        </w:rPr>
      </w:pPr>
    </w:p>
    <w:p>
      <w:pPr>
        <w:ind w:left="640"/>
        <w:spacing w:after="0"/>
        <w:tabs>
          <w:tab w:leader="none" w:pos="1400" w:val="left"/>
        </w:tabs>
        <w:rPr>
          <w:rFonts w:ascii="Arial" w:cs="Arial" w:eastAsia="Arial" w:hAnsi="Arial"/>
          <w:sz w:val="18"/>
          <w:szCs w:val="18"/>
          <w:u w:val="single" w:color="auto"/>
          <w:color w:val="0000FF"/>
        </w:rPr>
      </w:pPr>
      <w:r>
        <w:rPr>
          <w:rFonts w:ascii="Arial" w:cs="Arial" w:eastAsia="Arial" w:hAnsi="Arial"/>
          <w:sz w:val="19"/>
          <w:szCs w:val="19"/>
          <w:color w:val="auto"/>
        </w:rPr>
        <w:t>10.4</w:t>
      </w:r>
      <w:r>
        <w:rPr>
          <w:sz w:val="20"/>
          <w:szCs w:val="20"/>
          <w:color w:val="auto"/>
        </w:rPr>
        <w:tab/>
      </w:r>
      <w:hyperlink r:id="rId132">
        <w:r>
          <w:rPr>
            <w:rFonts w:ascii="Arial" w:cs="Arial" w:eastAsia="Arial" w:hAnsi="Arial"/>
            <w:sz w:val="18"/>
            <w:szCs w:val="18"/>
            <w:u w:val="single" w:color="auto"/>
            <w:color w:val="0000FF"/>
          </w:rPr>
          <w:t xml:space="preserve">Employment Agreement with Scott M. Quist </w:t>
        </w:r>
      </w:hyperlink>
      <w:r>
        <w:rPr>
          <w:rFonts w:ascii="Arial" w:cs="Arial" w:eastAsia="Arial" w:hAnsi="Arial"/>
          <w:sz w:val="18"/>
          <w:szCs w:val="18"/>
          <w:color w:val="000000"/>
        </w:rPr>
        <w:t>(2)</w:t>
      </w:r>
    </w:p>
    <w:p>
      <w:pPr>
        <w:spacing w:after="0" w:line="6" w:lineRule="exact"/>
        <w:rPr>
          <w:sz w:val="20"/>
          <w:szCs w:val="20"/>
          <w:color w:val="auto"/>
        </w:rPr>
      </w:pPr>
    </w:p>
    <w:p>
      <w:pPr>
        <w:jc w:val="both"/>
        <w:ind w:left="1420" w:right="399" w:hanging="1108"/>
        <w:spacing w:after="0" w:line="246" w:lineRule="auto"/>
        <w:tabs>
          <w:tab w:leader="none" w:pos="1400" w:val="left"/>
        </w:tabs>
        <w:rPr>
          <w:rFonts w:ascii="Arial" w:cs="Arial" w:eastAsia="Arial" w:hAnsi="Arial"/>
          <w:sz w:val="19"/>
          <w:szCs w:val="19"/>
          <w:color w:val="0000FF"/>
        </w:rPr>
      </w:pPr>
      <w:r>
        <w:rPr>
          <w:rFonts w:ascii="Arial" w:cs="Arial" w:eastAsia="Arial" w:hAnsi="Arial"/>
          <w:sz w:val="19"/>
          <w:szCs w:val="19"/>
          <w:color w:val="auto"/>
        </w:rPr>
        <w:t>10.5</w:t>
      </w:r>
      <w:r>
        <w:rPr>
          <w:sz w:val="20"/>
          <w:szCs w:val="20"/>
          <w:color w:val="auto"/>
        </w:rPr>
        <w:tab/>
      </w:r>
      <w:hyperlink r:id="rId133">
        <w:r>
          <w:rPr>
            <w:rFonts w:ascii="Arial" w:cs="Arial" w:eastAsia="Arial" w:hAnsi="Arial"/>
            <w:sz w:val="19"/>
            <w:szCs w:val="19"/>
            <w:u w:val="single" w:color="auto"/>
            <w:color w:val="0000FF"/>
          </w:rPr>
          <w:t>Stock Purchase Agreement among Security National Financial Corporation, Beta Capital Corp.,</w:t>
        </w:r>
      </w:hyperlink>
      <w:r>
        <w:rPr>
          <w:rFonts w:ascii="Arial" w:cs="Arial" w:eastAsia="Arial" w:hAnsi="Arial"/>
          <w:sz w:val="19"/>
          <w:szCs w:val="19"/>
          <w:u w:val="single" w:color="auto"/>
          <w:color w:val="0000FF"/>
        </w:rPr>
        <w:t xml:space="preserve"> </w:t>
      </w:r>
      <w:hyperlink r:id="rId133">
        <w:r>
          <w:rPr>
            <w:rFonts w:ascii="Arial" w:cs="Arial" w:eastAsia="Arial" w:hAnsi="Arial"/>
            <w:sz w:val="19"/>
            <w:szCs w:val="19"/>
            <w:u w:val="single" w:color="auto"/>
            <w:color w:val="0000FF"/>
          </w:rPr>
          <w:t>and Ronald D. Maxson, sole shareholder</w:t>
        </w:r>
        <w:r>
          <w:rPr>
            <w:rFonts w:ascii="Arial" w:cs="Arial" w:eastAsia="Arial" w:hAnsi="Arial"/>
            <w:sz w:val="19"/>
            <w:szCs w:val="19"/>
            <w:color w:val="0000FF"/>
          </w:rPr>
          <w:t xml:space="preserve"> </w:t>
        </w:r>
        <w:r>
          <w:rPr>
            <w:rFonts w:ascii="Arial" w:cs="Arial" w:eastAsia="Arial" w:hAnsi="Arial"/>
            <w:sz w:val="19"/>
            <w:szCs w:val="19"/>
            <w:color w:val="000000"/>
          </w:rPr>
          <w:t>(6)</w:t>
        </w:r>
      </w:hyperlink>
    </w:p>
    <w:p>
      <w:pPr>
        <w:spacing w:after="0" w:line="1" w:lineRule="exact"/>
        <w:rPr>
          <w:sz w:val="20"/>
          <w:szCs w:val="20"/>
          <w:color w:val="auto"/>
        </w:rPr>
      </w:pPr>
    </w:p>
    <w:p>
      <w:pPr>
        <w:ind w:left="640"/>
        <w:spacing w:after="0"/>
        <w:tabs>
          <w:tab w:leader="none" w:pos="1400" w:val="left"/>
        </w:tabs>
        <w:rPr>
          <w:rFonts w:ascii="Arial" w:cs="Arial" w:eastAsia="Arial" w:hAnsi="Arial"/>
          <w:sz w:val="17"/>
          <w:szCs w:val="17"/>
          <w:u w:val="single" w:color="auto"/>
          <w:color w:val="0000FF"/>
        </w:rPr>
      </w:pPr>
      <w:r>
        <w:rPr>
          <w:rFonts w:ascii="Arial" w:cs="Arial" w:eastAsia="Arial" w:hAnsi="Arial"/>
          <w:sz w:val="19"/>
          <w:szCs w:val="19"/>
          <w:color w:val="auto"/>
        </w:rPr>
        <w:t>10.6</w:t>
      </w:r>
      <w:r>
        <w:rPr>
          <w:sz w:val="20"/>
          <w:szCs w:val="20"/>
          <w:color w:val="auto"/>
        </w:rPr>
        <w:tab/>
      </w:r>
      <w:hyperlink r:id="rId134">
        <w:r>
          <w:rPr>
            <w:rFonts w:ascii="Arial" w:cs="Arial" w:eastAsia="Arial" w:hAnsi="Arial"/>
            <w:sz w:val="17"/>
            <w:szCs w:val="17"/>
            <w:u w:val="single" w:color="auto"/>
            <w:color w:val="0000FF"/>
          </w:rPr>
          <w:t xml:space="preserve">Stock Repurchase Plan </w:t>
        </w:r>
      </w:hyperlink>
      <w:r>
        <w:rPr>
          <w:rFonts w:ascii="Arial" w:cs="Arial" w:eastAsia="Arial" w:hAnsi="Arial"/>
          <w:sz w:val="17"/>
          <w:szCs w:val="17"/>
          <w:color w:val="000000"/>
        </w:rPr>
        <w:t>(7)</w:t>
      </w:r>
    </w:p>
    <w:p>
      <w:pPr>
        <w:spacing w:after="0" w:line="6" w:lineRule="exact"/>
        <w:rPr>
          <w:sz w:val="20"/>
          <w:szCs w:val="20"/>
          <w:color w:val="auto"/>
        </w:rPr>
      </w:pPr>
    </w:p>
    <w:p>
      <w:pPr>
        <w:jc w:val="both"/>
        <w:ind w:left="1420" w:right="399" w:hanging="1108"/>
        <w:spacing w:after="0" w:line="253" w:lineRule="auto"/>
        <w:tabs>
          <w:tab w:leader="none" w:pos="1400" w:val="left"/>
        </w:tabs>
        <w:rPr>
          <w:rFonts w:ascii="Arial" w:cs="Arial" w:eastAsia="Arial" w:hAnsi="Arial"/>
          <w:sz w:val="19"/>
          <w:szCs w:val="19"/>
          <w:color w:val="0000FF"/>
        </w:rPr>
      </w:pPr>
      <w:r>
        <w:rPr>
          <w:rFonts w:ascii="Arial" w:cs="Arial" w:eastAsia="Arial" w:hAnsi="Arial"/>
          <w:sz w:val="19"/>
          <w:szCs w:val="19"/>
          <w:color w:val="auto"/>
        </w:rPr>
        <w:t>10.7</w:t>
      </w:r>
      <w:r>
        <w:rPr>
          <w:sz w:val="20"/>
          <w:szCs w:val="20"/>
          <w:color w:val="auto"/>
        </w:rPr>
        <w:tab/>
      </w:r>
      <w:hyperlink r:id="rId135">
        <w:r>
          <w:rPr>
            <w:rFonts w:ascii="Arial" w:cs="Arial" w:eastAsia="Arial" w:hAnsi="Arial"/>
            <w:sz w:val="19"/>
            <w:szCs w:val="19"/>
            <w:u w:val="single" w:color="auto"/>
            <w:color w:val="0000FF"/>
          </w:rPr>
          <w:t>Asset Purchase Agreement among SN Probst LLC, Probst Family Funerals and Cremations,</w:t>
        </w:r>
      </w:hyperlink>
      <w:r>
        <w:rPr>
          <w:rFonts w:ascii="Arial" w:cs="Arial" w:eastAsia="Arial" w:hAnsi="Arial"/>
          <w:sz w:val="19"/>
          <w:szCs w:val="19"/>
          <w:u w:val="single" w:color="auto"/>
          <w:color w:val="0000FF"/>
        </w:rPr>
        <w:t xml:space="preserve"> </w:t>
      </w:r>
      <w:hyperlink r:id="rId135">
        <w:r>
          <w:rPr>
            <w:rFonts w:ascii="Arial" w:cs="Arial" w:eastAsia="Arial" w:hAnsi="Arial"/>
            <w:sz w:val="19"/>
            <w:szCs w:val="19"/>
            <w:u w:val="single" w:color="auto"/>
            <w:color w:val="0000FF"/>
          </w:rPr>
          <w:t>L.L.C, Heber Valley Funeral Home, Inc., Joe T. Probst, Clinton Wayne Probst, Calle J.</w:t>
        </w:r>
      </w:hyperlink>
      <w:r>
        <w:rPr>
          <w:rFonts w:ascii="Arial" w:cs="Arial" w:eastAsia="Arial" w:hAnsi="Arial"/>
          <w:sz w:val="19"/>
          <w:szCs w:val="19"/>
          <w:u w:val="single" w:color="auto"/>
          <w:color w:val="0000FF"/>
        </w:rPr>
        <w:t xml:space="preserve"> </w:t>
      </w:r>
      <w:hyperlink r:id="rId135">
        <w:r>
          <w:rPr>
            <w:rFonts w:ascii="Arial" w:cs="Arial" w:eastAsia="Arial" w:hAnsi="Arial"/>
            <w:sz w:val="19"/>
            <w:szCs w:val="19"/>
            <w:u w:val="single" w:color="auto"/>
            <w:color w:val="0000FF"/>
          </w:rPr>
          <w:t>Probst, and Marsha J. Probst</w:t>
        </w:r>
        <w:r>
          <w:rPr>
            <w:rFonts w:ascii="Arial" w:cs="Arial" w:eastAsia="Arial" w:hAnsi="Arial"/>
            <w:sz w:val="19"/>
            <w:szCs w:val="19"/>
            <w:color w:val="0000FF"/>
          </w:rPr>
          <w:t xml:space="preserve"> </w:t>
        </w:r>
        <w:r>
          <w:rPr>
            <w:rFonts w:ascii="Arial" w:cs="Arial" w:eastAsia="Arial" w:hAnsi="Arial"/>
            <w:sz w:val="19"/>
            <w:szCs w:val="19"/>
            <w:color w:val="000000"/>
          </w:rPr>
          <w:t>(8)</w:t>
        </w:r>
      </w:hyperlink>
    </w:p>
    <w:p>
      <w:pPr>
        <w:spacing w:after="0" w:line="217" w:lineRule="exact"/>
        <w:rPr>
          <w:rFonts w:ascii="Arial" w:cs="Arial" w:eastAsia="Arial" w:hAnsi="Arial"/>
          <w:sz w:val="19"/>
          <w:szCs w:val="19"/>
          <w:u w:val="single" w:color="auto"/>
          <w:color w:val="0000FF"/>
        </w:rPr>
      </w:pPr>
    </w:p>
    <w:p>
      <w:pPr>
        <w:jc w:val="center"/>
        <w:ind w:right="379"/>
        <w:spacing w:after="0"/>
        <w:rPr>
          <w:sz w:val="20"/>
          <w:szCs w:val="20"/>
          <w:color w:val="auto"/>
        </w:rPr>
      </w:pPr>
      <w:r>
        <w:rPr>
          <w:rFonts w:ascii="Arial" w:cs="Arial" w:eastAsia="Arial" w:hAnsi="Arial"/>
          <w:sz w:val="19"/>
          <w:szCs w:val="19"/>
          <w:color w:val="auto"/>
        </w:rPr>
        <w:t>64</w:t>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-1270</wp:posOffset>
            </wp:positionH>
            <wp:positionV relativeFrom="paragraph">
              <wp:posOffset>98425</wp:posOffset>
            </wp:positionV>
            <wp:extent cx="5634355" cy="33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59"/>
          </w:cols>
          <w:pgMar w:left="1200" w:top="122" w:right="1440" w:bottom="1440" w:gutter="0" w:footer="0" w:header="0"/>
        </w:sectPr>
      </w:pPr>
    </w:p>
    <w:bookmarkStart w:id="64" w:name="page65"/>
    <w:bookmarkEnd w:id="64"/>
    <w:p>
      <w:pPr>
        <w:ind w:left="1440" w:right="399" w:hanging="1108"/>
        <w:spacing w:after="0" w:line="256" w:lineRule="auto"/>
        <w:tabs>
          <w:tab w:leader="none" w:pos="1420" w:val="left"/>
        </w:tabs>
        <w:rPr>
          <w:rFonts w:ascii="Arial" w:cs="Arial" w:eastAsia="Arial" w:hAnsi="Arial"/>
          <w:sz w:val="19"/>
          <w:szCs w:val="19"/>
          <w:color w:val="0000FF"/>
        </w:rPr>
      </w:pPr>
      <w:r>
        <w:rPr>
          <w:rFonts w:ascii="Arial" w:cs="Arial" w:eastAsia="Arial" w:hAnsi="Arial"/>
          <w:sz w:val="19"/>
          <w:szCs w:val="19"/>
          <w:color w:val="auto"/>
        </w:rPr>
        <w:t>10.8</w:t>
      </w:r>
      <w:r>
        <w:rPr>
          <w:sz w:val="20"/>
          <w:szCs w:val="20"/>
          <w:color w:val="auto"/>
        </w:rPr>
        <w:tab/>
      </w:r>
      <w:hyperlink r:id="rId137">
        <w:r>
          <w:rPr>
            <w:rFonts w:ascii="Arial" w:cs="Arial" w:eastAsia="Arial" w:hAnsi="Arial"/>
            <w:sz w:val="19"/>
            <w:szCs w:val="19"/>
            <w:u w:val="single" w:color="auto"/>
            <w:color w:val="0000FF"/>
          </w:rPr>
          <w:t>Coinsurance Agreement between Kilpatrick Life Insurance Company and Security National</w:t>
        </w:r>
      </w:hyperlink>
      <w:r>
        <w:rPr>
          <w:rFonts w:ascii="Arial" w:cs="Arial" w:eastAsia="Arial" w:hAnsi="Arial"/>
          <w:sz w:val="19"/>
          <w:szCs w:val="19"/>
          <w:u w:val="single" w:color="auto"/>
          <w:color w:val="0000FF"/>
        </w:rPr>
        <w:t xml:space="preserve"> </w:t>
      </w:r>
      <w:hyperlink r:id="rId137">
        <w:r>
          <w:rPr>
            <w:rFonts w:ascii="Arial" w:cs="Arial" w:eastAsia="Arial" w:hAnsi="Arial"/>
            <w:sz w:val="19"/>
            <w:szCs w:val="19"/>
            <w:u w:val="single" w:color="auto"/>
            <w:color w:val="0000FF"/>
          </w:rPr>
          <w:t>Life Insurance Company</w:t>
        </w:r>
        <w:r>
          <w:rPr>
            <w:rFonts w:ascii="Arial" w:cs="Arial" w:eastAsia="Arial" w:hAnsi="Arial"/>
            <w:sz w:val="19"/>
            <w:szCs w:val="19"/>
            <w:color w:val="0000FF"/>
          </w:rPr>
          <w:t xml:space="preserve"> </w:t>
        </w:r>
        <w:r>
          <w:rPr>
            <w:rFonts w:ascii="Arial" w:cs="Arial" w:eastAsia="Arial" w:hAnsi="Arial"/>
            <w:sz w:val="19"/>
            <w:szCs w:val="19"/>
            <w:color w:val="000000"/>
          </w:rPr>
          <w:t>(10)</w:t>
        </w:r>
      </w:hyperlink>
    </w:p>
    <w:p>
      <w:pPr>
        <w:ind w:left="1440" w:right="399" w:hanging="1108"/>
        <w:spacing w:after="0" w:line="260" w:lineRule="auto"/>
        <w:tabs>
          <w:tab w:leader="none" w:pos="1420" w:val="left"/>
        </w:tabs>
        <w:rPr>
          <w:rFonts w:ascii="Arial" w:cs="Arial" w:eastAsia="Arial" w:hAnsi="Arial"/>
          <w:sz w:val="18"/>
          <w:szCs w:val="18"/>
          <w:color w:val="0000FF"/>
        </w:rPr>
      </w:pPr>
      <w:r>
        <w:rPr>
          <w:rFonts w:ascii="Arial" w:cs="Arial" w:eastAsia="Arial" w:hAnsi="Arial"/>
          <w:sz w:val="19"/>
          <w:szCs w:val="19"/>
          <w:color w:val="auto"/>
        </w:rPr>
        <w:t>10.9</w:t>
      </w:r>
      <w:r>
        <w:rPr>
          <w:sz w:val="20"/>
          <w:szCs w:val="20"/>
          <w:color w:val="auto"/>
        </w:rPr>
        <w:tab/>
      </w:r>
      <w:hyperlink r:id="rId138">
        <w:r>
          <w:rPr>
            <w:rFonts w:ascii="Arial" w:cs="Arial" w:eastAsia="Arial" w:hAnsi="Arial"/>
            <w:sz w:val="18"/>
            <w:szCs w:val="18"/>
            <w:u w:val="single" w:color="auto"/>
            <w:color w:val="0000FF"/>
          </w:rPr>
          <w:t>Stock Purchase Agreement among Security National Financial Corporation, Kilpatrick Life</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Insurance Company, and the Shareholders of Kilpatrick Life Insurance Company</w:t>
        </w:r>
        <w:r>
          <w:rPr>
            <w:rFonts w:ascii="Arial" w:cs="Arial" w:eastAsia="Arial" w:hAnsi="Arial"/>
            <w:sz w:val="18"/>
            <w:szCs w:val="18"/>
            <w:color w:val="0000FF"/>
          </w:rPr>
          <w:t xml:space="preserve"> </w:t>
        </w:r>
        <w:r>
          <w:rPr>
            <w:rFonts w:ascii="Arial" w:cs="Arial" w:eastAsia="Arial" w:hAnsi="Arial"/>
            <w:sz w:val="18"/>
            <w:szCs w:val="18"/>
            <w:color w:val="000000"/>
          </w:rPr>
          <w:t>(10)</w:t>
        </w:r>
      </w:hyperlink>
    </w:p>
    <w:p>
      <w:pPr>
        <w:ind w:left="660"/>
        <w:spacing w:after="0"/>
        <w:tabs>
          <w:tab w:leader="none" w:pos="1420" w:val="left"/>
        </w:tabs>
        <w:rPr>
          <w:rFonts w:ascii="Arial" w:cs="Arial" w:eastAsia="Arial" w:hAnsi="Arial"/>
          <w:sz w:val="18"/>
          <w:szCs w:val="18"/>
          <w:u w:val="single" w:color="auto"/>
          <w:color w:val="0000FF"/>
        </w:rPr>
      </w:pPr>
      <w:r>
        <w:rPr>
          <w:rFonts w:ascii="Arial" w:cs="Arial" w:eastAsia="Arial" w:hAnsi="Arial"/>
          <w:sz w:val="19"/>
          <w:szCs w:val="19"/>
          <w:color w:val="auto"/>
        </w:rPr>
        <w:t>10.10</w:t>
      </w:r>
      <w:r>
        <w:rPr>
          <w:sz w:val="20"/>
          <w:szCs w:val="20"/>
          <w:color w:val="auto"/>
        </w:rPr>
        <w:tab/>
      </w:r>
      <w:hyperlink r:id="rId139">
        <w:r>
          <w:rPr>
            <w:rFonts w:ascii="Arial" w:cs="Arial" w:eastAsia="Arial" w:hAnsi="Arial"/>
            <w:sz w:val="18"/>
            <w:szCs w:val="18"/>
            <w:u w:val="single" w:color="auto"/>
            <w:color w:val="0000FF"/>
          </w:rPr>
          <w:t>Consolidated Statement of Assets Acquired and Liabilities Assumed at December 13, 2019</w:t>
        </w:r>
      </w:hyperlink>
    </w:p>
    <w:p>
      <w:pPr>
        <w:spacing w:after="0" w:line="6" w:lineRule="exact"/>
        <w:rPr>
          <w:sz w:val="20"/>
          <w:szCs w:val="20"/>
          <w:color w:val="auto"/>
        </w:rPr>
      </w:pPr>
    </w:p>
    <w:p>
      <w:pPr>
        <w:ind w:left="1760"/>
        <w:spacing w:after="0"/>
        <w:rPr>
          <w:sz w:val="20"/>
          <w:szCs w:val="20"/>
          <w:color w:val="auto"/>
        </w:rPr>
      </w:pPr>
      <w:r>
        <w:rPr>
          <w:rFonts w:ascii="Arial" w:cs="Arial" w:eastAsia="Arial" w:hAnsi="Arial"/>
          <w:sz w:val="19"/>
          <w:szCs w:val="19"/>
          <w:color w:val="auto"/>
        </w:rPr>
        <w:t>(11)</w:t>
      </w:r>
    </w:p>
    <w:p>
      <w:pPr>
        <w:spacing w:after="0" w:line="6" w:lineRule="exact"/>
        <w:rPr>
          <w:sz w:val="20"/>
          <w:szCs w:val="20"/>
          <w:color w:val="auto"/>
        </w:rPr>
      </w:pPr>
    </w:p>
    <w:p>
      <w:pPr>
        <w:ind w:left="1440" w:hanging="789"/>
        <w:spacing w:after="0"/>
        <w:tabs>
          <w:tab w:leader="none" w:pos="1440" w:val="left"/>
        </w:tabs>
        <w:numPr>
          <w:ilvl w:val="0"/>
          <w:numId w:val="72"/>
        </w:numPr>
        <w:rPr>
          <w:rFonts w:ascii="Arial" w:cs="Arial" w:eastAsia="Arial" w:hAnsi="Arial"/>
          <w:sz w:val="19"/>
          <w:szCs w:val="19"/>
          <w:color w:val="0000FF"/>
        </w:rPr>
      </w:pPr>
      <w:hyperlink r:id="rId140">
        <w:r>
          <w:rPr>
            <w:rFonts w:ascii="Arial" w:cs="Arial" w:eastAsia="Arial" w:hAnsi="Arial"/>
            <w:sz w:val="19"/>
            <w:szCs w:val="19"/>
            <w:u w:val="single" w:color="auto"/>
            <w:color w:val="0000FF"/>
          </w:rPr>
          <w:t>Code of Business Conduct and Ethics</w:t>
        </w:r>
        <w:r>
          <w:rPr>
            <w:rFonts w:ascii="Arial" w:cs="Arial" w:eastAsia="Arial" w:hAnsi="Arial"/>
            <w:sz w:val="19"/>
            <w:szCs w:val="19"/>
            <w:color w:val="0000FF"/>
          </w:rPr>
          <w:t xml:space="preserve"> </w:t>
        </w:r>
      </w:hyperlink>
      <w:r>
        <w:rPr>
          <w:rFonts w:ascii="Arial" w:cs="Arial" w:eastAsia="Arial" w:hAnsi="Arial"/>
          <w:sz w:val="19"/>
          <w:szCs w:val="19"/>
          <w:color w:val="000000"/>
        </w:rPr>
        <w:t>(9)</w:t>
      </w:r>
    </w:p>
    <w:p>
      <w:pPr>
        <w:spacing w:after="0" w:line="5" w:lineRule="exact"/>
        <w:rPr>
          <w:rFonts w:ascii="Arial" w:cs="Arial" w:eastAsia="Arial" w:hAnsi="Arial"/>
          <w:sz w:val="19"/>
          <w:szCs w:val="19"/>
          <w:color w:val="0000FF"/>
        </w:rPr>
      </w:pPr>
    </w:p>
    <w:p>
      <w:pPr>
        <w:ind w:left="1440" w:hanging="789"/>
        <w:spacing w:after="0"/>
        <w:tabs>
          <w:tab w:leader="none" w:pos="1440" w:val="left"/>
        </w:tabs>
        <w:numPr>
          <w:ilvl w:val="0"/>
          <w:numId w:val="73"/>
        </w:numPr>
        <w:rPr>
          <w:rFonts w:ascii="Arial" w:cs="Arial" w:eastAsia="Arial" w:hAnsi="Arial"/>
          <w:sz w:val="19"/>
          <w:szCs w:val="19"/>
          <w:u w:val="single" w:color="auto"/>
          <w:color w:val="0000FF"/>
        </w:rPr>
      </w:pPr>
      <w:hyperlink r:id="rId141">
        <w:r>
          <w:rPr>
            <w:rFonts w:ascii="Arial" w:cs="Arial" w:eastAsia="Arial" w:hAnsi="Arial"/>
            <w:sz w:val="19"/>
            <w:szCs w:val="19"/>
            <w:u w:val="single" w:color="auto"/>
            <w:color w:val="0000FF"/>
          </w:rPr>
          <w:t>Subsidiaries of the Registrant</w:t>
        </w:r>
      </w:hyperlink>
    </w:p>
    <w:p>
      <w:pPr>
        <w:spacing w:after="0" w:line="5" w:lineRule="exact"/>
        <w:rPr>
          <w:rFonts w:ascii="Arial" w:cs="Arial" w:eastAsia="Arial" w:hAnsi="Arial"/>
          <w:sz w:val="19"/>
          <w:szCs w:val="19"/>
          <w:u w:val="single" w:color="auto"/>
          <w:color w:val="0000FF"/>
        </w:rPr>
      </w:pPr>
    </w:p>
    <w:p>
      <w:pPr>
        <w:ind w:left="660"/>
        <w:spacing w:after="0"/>
        <w:rPr>
          <w:rFonts w:ascii="Arial" w:cs="Arial" w:eastAsia="Arial" w:hAnsi="Arial"/>
          <w:sz w:val="18"/>
          <w:szCs w:val="18"/>
          <w:u w:val="single" w:color="auto"/>
          <w:color w:val="0000FF"/>
        </w:rPr>
      </w:pPr>
      <w:r>
        <w:rPr>
          <w:rFonts w:ascii="Arial" w:cs="Arial" w:eastAsia="Arial" w:hAnsi="Arial"/>
          <w:sz w:val="19"/>
          <w:szCs w:val="19"/>
          <w:color w:val="auto"/>
        </w:rPr>
        <w:t>23.1</w:t>
      </w:r>
      <w:hyperlink r:id="rId142">
        <w:r>
          <w:rPr>
            <w:rFonts w:ascii="Arial" w:cs="Arial" w:eastAsia="Arial" w:hAnsi="Arial"/>
            <w:sz w:val="18"/>
            <w:szCs w:val="18"/>
            <w:u w:val="single" w:color="auto"/>
            <w:color w:val="0000FF"/>
          </w:rPr>
          <w:t xml:space="preserve">Consent of Eide Bailly LLP </w:t>
        </w:r>
      </w:hyperlink>
      <w:r>
        <w:rPr>
          <w:rFonts w:ascii="Arial" w:cs="Arial" w:eastAsia="Arial" w:hAnsi="Arial"/>
          <w:sz w:val="18"/>
          <w:szCs w:val="18"/>
          <w:color w:val="000000"/>
        </w:rPr>
        <w:t>(4)</w:t>
      </w:r>
    </w:p>
    <w:p>
      <w:pPr>
        <w:spacing w:after="0" w:line="5" w:lineRule="exact"/>
        <w:rPr>
          <w:rFonts w:ascii="Arial" w:cs="Arial" w:eastAsia="Arial" w:hAnsi="Arial"/>
          <w:sz w:val="18"/>
          <w:szCs w:val="18"/>
          <w:u w:val="single" w:color="auto"/>
          <w:color w:val="0000FF"/>
        </w:rPr>
      </w:pPr>
    </w:p>
    <w:p>
      <w:pPr>
        <w:ind w:left="660"/>
        <w:spacing w:after="0"/>
        <w:rPr>
          <w:rFonts w:ascii="Arial" w:cs="Arial" w:eastAsia="Arial" w:hAnsi="Arial"/>
          <w:sz w:val="17"/>
          <w:szCs w:val="17"/>
          <w:u w:val="single" w:color="auto"/>
          <w:color w:val="0000FF"/>
        </w:rPr>
      </w:pPr>
      <w:r>
        <w:rPr>
          <w:rFonts w:ascii="Arial" w:cs="Arial" w:eastAsia="Arial" w:hAnsi="Arial"/>
          <w:sz w:val="19"/>
          <w:szCs w:val="19"/>
          <w:color w:val="auto"/>
        </w:rPr>
        <w:t>23.2</w:t>
      </w:r>
      <w:hyperlink r:id="rId143">
        <w:r>
          <w:rPr>
            <w:rFonts w:ascii="Arial" w:cs="Arial" w:eastAsia="Arial" w:hAnsi="Arial"/>
            <w:sz w:val="17"/>
            <w:szCs w:val="17"/>
            <w:u w:val="single" w:color="auto"/>
            <w:color w:val="0000FF"/>
          </w:rPr>
          <w:t xml:space="preserve">Consent of Mackey Price &amp; Mecham </w:t>
        </w:r>
      </w:hyperlink>
      <w:r>
        <w:rPr>
          <w:rFonts w:ascii="Arial" w:cs="Arial" w:eastAsia="Arial" w:hAnsi="Arial"/>
          <w:sz w:val="17"/>
          <w:szCs w:val="17"/>
          <w:color w:val="000000"/>
        </w:rPr>
        <w:t>(4)</w:t>
      </w:r>
    </w:p>
    <w:p>
      <w:pPr>
        <w:spacing w:after="0" w:line="5" w:lineRule="exact"/>
        <w:rPr>
          <w:rFonts w:ascii="Arial" w:cs="Arial" w:eastAsia="Arial" w:hAnsi="Arial"/>
          <w:sz w:val="17"/>
          <w:szCs w:val="17"/>
          <w:u w:val="single" w:color="auto"/>
          <w:color w:val="0000FF"/>
        </w:rPr>
      </w:pPr>
    </w:p>
    <w:p>
      <w:pPr>
        <w:ind w:left="1440" w:right="399" w:hanging="1109"/>
        <w:spacing w:after="0" w:line="246" w:lineRule="auto"/>
        <w:rPr>
          <w:rFonts w:ascii="Arial" w:cs="Arial" w:eastAsia="Arial" w:hAnsi="Arial"/>
          <w:sz w:val="19"/>
          <w:szCs w:val="19"/>
          <w:u w:val="single" w:color="auto"/>
          <w:color w:val="0000FF"/>
        </w:rPr>
      </w:pPr>
      <w:r>
        <w:rPr>
          <w:rFonts w:ascii="Arial" w:cs="Arial" w:eastAsia="Arial" w:hAnsi="Arial"/>
          <w:sz w:val="19"/>
          <w:szCs w:val="19"/>
          <w:color w:val="auto"/>
        </w:rPr>
        <w:t>31.1</w:t>
      </w:r>
      <w:hyperlink r:id="rId144">
        <w:r>
          <w:rPr>
            <w:rFonts w:ascii="Arial" w:cs="Arial" w:eastAsia="Arial" w:hAnsi="Arial"/>
            <w:sz w:val="19"/>
            <w:szCs w:val="19"/>
            <w:u w:val="single" w:color="auto"/>
            <w:color w:val="0000FF"/>
          </w:rPr>
          <w:t>Certification pursuant to 18 U.S.C. Section 1350, as enacted by Section 302 of the Sarbanes-</w:t>
        </w:r>
      </w:hyperlink>
      <w:hyperlink r:id="rId144">
        <w:r>
          <w:rPr>
            <w:rFonts w:ascii="Arial" w:cs="Arial" w:eastAsia="Arial" w:hAnsi="Arial"/>
            <w:sz w:val="19"/>
            <w:szCs w:val="19"/>
            <w:u w:val="single" w:color="auto"/>
            <w:color w:val="0000FF"/>
          </w:rPr>
          <w:t>Oxley Act of 2002</w:t>
        </w:r>
      </w:hyperlink>
    </w:p>
    <w:p>
      <w:pPr>
        <w:spacing w:after="0" w:line="1" w:lineRule="exact"/>
        <w:rPr>
          <w:rFonts w:ascii="Arial" w:cs="Arial" w:eastAsia="Arial" w:hAnsi="Arial"/>
          <w:sz w:val="19"/>
          <w:szCs w:val="19"/>
          <w:u w:val="single" w:color="auto"/>
          <w:color w:val="0000FF"/>
        </w:rPr>
      </w:pPr>
    </w:p>
    <w:p>
      <w:pPr>
        <w:ind w:left="1440" w:right="399" w:hanging="1109"/>
        <w:spacing w:after="0" w:line="246" w:lineRule="auto"/>
        <w:rPr>
          <w:rFonts w:ascii="Arial" w:cs="Arial" w:eastAsia="Arial" w:hAnsi="Arial"/>
          <w:sz w:val="19"/>
          <w:szCs w:val="19"/>
          <w:u w:val="single" w:color="auto"/>
          <w:color w:val="0000FF"/>
        </w:rPr>
      </w:pPr>
      <w:r>
        <w:rPr>
          <w:rFonts w:ascii="Arial" w:cs="Arial" w:eastAsia="Arial" w:hAnsi="Arial"/>
          <w:sz w:val="19"/>
          <w:szCs w:val="19"/>
          <w:color w:val="auto"/>
        </w:rPr>
        <w:t>31.2</w:t>
      </w:r>
      <w:hyperlink r:id="rId145">
        <w:r>
          <w:rPr>
            <w:rFonts w:ascii="Arial" w:cs="Arial" w:eastAsia="Arial" w:hAnsi="Arial"/>
            <w:sz w:val="19"/>
            <w:szCs w:val="19"/>
            <w:u w:val="single" w:color="auto"/>
            <w:color w:val="0000FF"/>
          </w:rPr>
          <w:t>Certification pursuant to 18 U.S.C. Section 1350, as enacted by Section 302 of the Sarbanes-</w:t>
        </w:r>
      </w:hyperlink>
      <w:hyperlink r:id="rId145">
        <w:r>
          <w:rPr>
            <w:rFonts w:ascii="Arial" w:cs="Arial" w:eastAsia="Arial" w:hAnsi="Arial"/>
            <w:sz w:val="19"/>
            <w:szCs w:val="19"/>
            <w:u w:val="single" w:color="auto"/>
            <w:color w:val="0000FF"/>
          </w:rPr>
          <w:t>Oxley Act of 2002</w:t>
        </w:r>
      </w:hyperlink>
    </w:p>
    <w:p>
      <w:pPr>
        <w:spacing w:after="0" w:line="1" w:lineRule="exact"/>
        <w:rPr>
          <w:rFonts w:ascii="Arial" w:cs="Arial" w:eastAsia="Arial" w:hAnsi="Arial"/>
          <w:sz w:val="19"/>
          <w:szCs w:val="19"/>
          <w:u w:val="single" w:color="auto"/>
          <w:color w:val="0000FF"/>
        </w:rPr>
      </w:pPr>
    </w:p>
    <w:p>
      <w:pPr>
        <w:ind w:left="1440" w:right="399" w:hanging="1109"/>
        <w:spacing w:after="0" w:line="246" w:lineRule="auto"/>
        <w:rPr>
          <w:rFonts w:ascii="Arial" w:cs="Arial" w:eastAsia="Arial" w:hAnsi="Arial"/>
          <w:sz w:val="19"/>
          <w:szCs w:val="19"/>
          <w:u w:val="single" w:color="auto"/>
          <w:color w:val="0000FF"/>
        </w:rPr>
      </w:pPr>
      <w:r>
        <w:rPr>
          <w:rFonts w:ascii="Arial" w:cs="Arial" w:eastAsia="Arial" w:hAnsi="Arial"/>
          <w:sz w:val="19"/>
          <w:szCs w:val="19"/>
          <w:color w:val="auto"/>
        </w:rPr>
        <w:t>32.1</w:t>
      </w:r>
      <w:hyperlink r:id="rId146">
        <w:r>
          <w:rPr>
            <w:rFonts w:ascii="Arial" w:cs="Arial" w:eastAsia="Arial" w:hAnsi="Arial"/>
            <w:sz w:val="19"/>
            <w:szCs w:val="19"/>
            <w:u w:val="single" w:color="auto"/>
            <w:color w:val="0000FF"/>
          </w:rPr>
          <w:t>Certification pursuant to 18 U.S.C. Section 1350, as adopted pursuant to Section 906 of the</w:t>
        </w:r>
      </w:hyperlink>
      <w:r>
        <w:rPr>
          <w:rFonts w:ascii="Arial" w:cs="Arial" w:eastAsia="Arial" w:hAnsi="Arial"/>
          <w:sz w:val="19"/>
          <w:szCs w:val="19"/>
          <w:u w:val="single" w:color="auto"/>
          <w:color w:val="0000FF"/>
        </w:rPr>
        <w:t xml:space="preserve"> </w:t>
      </w:r>
      <w:hyperlink r:id="rId146">
        <w:r>
          <w:rPr>
            <w:rFonts w:ascii="Arial" w:cs="Arial" w:eastAsia="Arial" w:hAnsi="Arial"/>
            <w:sz w:val="19"/>
            <w:szCs w:val="19"/>
            <w:u w:val="single" w:color="auto"/>
            <w:color w:val="0000FF"/>
          </w:rPr>
          <w:t>Sarbanes-Oxley Act of 2002</w:t>
        </w:r>
      </w:hyperlink>
    </w:p>
    <w:p>
      <w:pPr>
        <w:spacing w:after="0" w:line="1" w:lineRule="exact"/>
        <w:rPr>
          <w:rFonts w:ascii="Arial" w:cs="Arial" w:eastAsia="Arial" w:hAnsi="Arial"/>
          <w:sz w:val="19"/>
          <w:szCs w:val="19"/>
          <w:u w:val="single" w:color="auto"/>
          <w:color w:val="0000FF"/>
        </w:rPr>
      </w:pPr>
    </w:p>
    <w:p>
      <w:pPr>
        <w:ind w:left="1440" w:right="399" w:hanging="1109"/>
        <w:spacing w:after="0" w:line="246" w:lineRule="auto"/>
        <w:rPr>
          <w:rFonts w:ascii="Arial" w:cs="Arial" w:eastAsia="Arial" w:hAnsi="Arial"/>
          <w:sz w:val="19"/>
          <w:szCs w:val="19"/>
          <w:u w:val="single" w:color="auto"/>
          <w:color w:val="0000FF"/>
        </w:rPr>
      </w:pPr>
      <w:r>
        <w:rPr>
          <w:rFonts w:ascii="Arial" w:cs="Arial" w:eastAsia="Arial" w:hAnsi="Arial"/>
          <w:sz w:val="19"/>
          <w:szCs w:val="19"/>
          <w:color w:val="auto"/>
        </w:rPr>
        <w:t>32.2</w:t>
      </w:r>
      <w:hyperlink r:id="rId147">
        <w:r>
          <w:rPr>
            <w:rFonts w:ascii="Arial" w:cs="Arial" w:eastAsia="Arial" w:hAnsi="Arial"/>
            <w:sz w:val="19"/>
            <w:szCs w:val="19"/>
            <w:u w:val="single" w:color="auto"/>
            <w:color w:val="0000FF"/>
          </w:rPr>
          <w:t>Certification pursuant to 18 U.S.C. Section 1350, as adopted pursuant to Section 906 of the</w:t>
        </w:r>
      </w:hyperlink>
      <w:r>
        <w:rPr>
          <w:rFonts w:ascii="Arial" w:cs="Arial" w:eastAsia="Arial" w:hAnsi="Arial"/>
          <w:sz w:val="19"/>
          <w:szCs w:val="19"/>
          <w:u w:val="single" w:color="auto"/>
          <w:color w:val="0000FF"/>
        </w:rPr>
        <w:t xml:space="preserve"> </w:t>
      </w:r>
      <w:hyperlink r:id="rId147">
        <w:r>
          <w:rPr>
            <w:rFonts w:ascii="Arial" w:cs="Arial" w:eastAsia="Arial" w:hAnsi="Arial"/>
            <w:sz w:val="19"/>
            <w:szCs w:val="19"/>
            <w:u w:val="single" w:color="auto"/>
            <w:color w:val="0000FF"/>
          </w:rPr>
          <w:t>Sarbanes-Oxley Act of 2002</w:t>
        </w:r>
      </w:hyperlink>
    </w:p>
    <w:p>
      <w:pPr>
        <w:spacing w:after="0" w:line="1" w:lineRule="exact"/>
        <w:rPr>
          <w:rFonts w:ascii="Arial" w:cs="Arial" w:eastAsia="Arial" w:hAnsi="Arial"/>
          <w:sz w:val="19"/>
          <w:szCs w:val="19"/>
          <w:u w:val="single" w:color="auto"/>
          <w:color w:val="0000FF"/>
        </w:rPr>
      </w:pPr>
    </w:p>
    <w:p>
      <w:pPr>
        <w:ind w:left="660"/>
        <w:spacing w:after="0"/>
        <w:rPr>
          <w:rFonts w:ascii="Arial" w:cs="Arial" w:eastAsia="Arial" w:hAnsi="Arial"/>
          <w:sz w:val="19"/>
          <w:szCs w:val="19"/>
          <w:u w:val="single" w:color="auto"/>
          <w:color w:val="0000FF"/>
        </w:rPr>
      </w:pPr>
      <w:r>
        <w:rPr>
          <w:rFonts w:ascii="Arial" w:cs="Arial" w:eastAsia="Arial" w:hAnsi="Arial"/>
          <w:sz w:val="19"/>
          <w:szCs w:val="19"/>
          <w:color w:val="auto"/>
        </w:rPr>
        <w:t>101.xml  Instance Document</w:t>
      </w:r>
    </w:p>
    <w:tbl>
      <w:tblPr>
        <w:tblLayout w:type="fixed"/>
        <w:tblInd w:w="0" w:type="dxa"/>
        <w:tblCellMar>
          <w:top w:w="0" w:type="dxa"/>
          <w:left w:w="0" w:type="dxa"/>
          <w:bottom w:w="0" w:type="dxa"/>
          <w:right w:w="0" w:type="dxa"/>
        </w:tblCellMar>
      </w:tblPr>
      <w:tr>
        <w:trPr>
          <w:trHeight w:val="214"/>
        </w:trPr>
        <w:tc>
          <w:tcPr>
            <w:tcW w:w="1360" w:type="dxa"/>
            <w:vAlign w:val="bottom"/>
            <w:gridSpan w:val="2"/>
          </w:tcPr>
          <w:p>
            <w:pPr>
              <w:ind w:left="660"/>
              <w:spacing w:after="0" w:line="214" w:lineRule="exact"/>
              <w:rPr>
                <w:sz w:val="20"/>
                <w:szCs w:val="20"/>
                <w:color w:val="auto"/>
              </w:rPr>
            </w:pPr>
            <w:r>
              <w:rPr>
                <w:rFonts w:ascii="Arial" w:cs="Arial" w:eastAsia="Arial" w:hAnsi="Arial"/>
                <w:sz w:val="19"/>
                <w:szCs w:val="19"/>
                <w:color w:val="auto"/>
              </w:rPr>
              <w:t>101.xsd</w:t>
            </w:r>
          </w:p>
        </w:tc>
        <w:tc>
          <w:tcPr>
            <w:tcW w:w="4340" w:type="dxa"/>
            <w:vAlign w:val="bottom"/>
          </w:tcPr>
          <w:p>
            <w:pPr>
              <w:ind w:left="80"/>
              <w:spacing w:after="0" w:line="214" w:lineRule="exact"/>
              <w:rPr>
                <w:sz w:val="20"/>
                <w:szCs w:val="20"/>
                <w:color w:val="auto"/>
              </w:rPr>
            </w:pPr>
            <w:r>
              <w:rPr>
                <w:rFonts w:ascii="Arial" w:cs="Arial" w:eastAsia="Arial" w:hAnsi="Arial"/>
                <w:sz w:val="19"/>
                <w:szCs w:val="19"/>
                <w:color w:val="auto"/>
              </w:rPr>
              <w:t>Taxonomy Extension Schema Document</w:t>
            </w:r>
          </w:p>
        </w:tc>
      </w:tr>
      <w:tr>
        <w:trPr>
          <w:trHeight w:val="224"/>
        </w:trPr>
        <w:tc>
          <w:tcPr>
            <w:tcW w:w="1360" w:type="dxa"/>
            <w:vAlign w:val="bottom"/>
            <w:gridSpan w:val="2"/>
          </w:tcPr>
          <w:p>
            <w:pPr>
              <w:ind w:left="660"/>
              <w:spacing w:after="0"/>
              <w:rPr>
                <w:sz w:val="20"/>
                <w:szCs w:val="20"/>
                <w:color w:val="auto"/>
              </w:rPr>
            </w:pPr>
            <w:r>
              <w:rPr>
                <w:rFonts w:ascii="Arial" w:cs="Arial" w:eastAsia="Arial" w:hAnsi="Arial"/>
                <w:sz w:val="19"/>
                <w:szCs w:val="19"/>
                <w:color w:val="auto"/>
              </w:rPr>
              <w:t>101.cal</w:t>
            </w:r>
          </w:p>
        </w:tc>
        <w:tc>
          <w:tcPr>
            <w:tcW w:w="4340" w:type="dxa"/>
            <w:vAlign w:val="bottom"/>
          </w:tcPr>
          <w:p>
            <w:pPr>
              <w:ind w:left="80"/>
              <w:spacing w:after="0"/>
              <w:rPr>
                <w:sz w:val="20"/>
                <w:szCs w:val="20"/>
                <w:color w:val="auto"/>
              </w:rPr>
            </w:pPr>
            <w:r>
              <w:rPr>
                <w:rFonts w:ascii="Arial" w:cs="Arial" w:eastAsia="Arial" w:hAnsi="Arial"/>
                <w:sz w:val="19"/>
                <w:szCs w:val="19"/>
                <w:color w:val="auto"/>
                <w:w w:val="94"/>
              </w:rPr>
              <w:t>Taxonomy Extension Calculation Linkbase Document</w:t>
            </w:r>
          </w:p>
        </w:tc>
      </w:tr>
      <w:tr>
        <w:trPr>
          <w:trHeight w:val="224"/>
        </w:trPr>
        <w:tc>
          <w:tcPr>
            <w:tcW w:w="1360" w:type="dxa"/>
            <w:vAlign w:val="bottom"/>
            <w:gridSpan w:val="2"/>
          </w:tcPr>
          <w:p>
            <w:pPr>
              <w:ind w:left="660"/>
              <w:spacing w:after="0"/>
              <w:rPr>
                <w:sz w:val="20"/>
                <w:szCs w:val="20"/>
                <w:color w:val="auto"/>
              </w:rPr>
            </w:pPr>
            <w:r>
              <w:rPr>
                <w:rFonts w:ascii="Arial" w:cs="Arial" w:eastAsia="Arial" w:hAnsi="Arial"/>
                <w:sz w:val="19"/>
                <w:szCs w:val="19"/>
                <w:color w:val="auto"/>
              </w:rPr>
              <w:t>101.def</w:t>
            </w:r>
          </w:p>
        </w:tc>
        <w:tc>
          <w:tcPr>
            <w:tcW w:w="4340" w:type="dxa"/>
            <w:vAlign w:val="bottom"/>
          </w:tcPr>
          <w:p>
            <w:pPr>
              <w:ind w:left="80"/>
              <w:spacing w:after="0"/>
              <w:rPr>
                <w:sz w:val="20"/>
                <w:szCs w:val="20"/>
                <w:color w:val="auto"/>
              </w:rPr>
            </w:pPr>
            <w:r>
              <w:rPr>
                <w:rFonts w:ascii="Arial" w:cs="Arial" w:eastAsia="Arial" w:hAnsi="Arial"/>
                <w:sz w:val="19"/>
                <w:szCs w:val="19"/>
                <w:color w:val="auto"/>
                <w:w w:val="97"/>
              </w:rPr>
              <w:t>Taxonomy Extension Definition Linkbase Document</w:t>
            </w:r>
          </w:p>
        </w:tc>
      </w:tr>
      <w:tr>
        <w:trPr>
          <w:trHeight w:val="224"/>
        </w:trPr>
        <w:tc>
          <w:tcPr>
            <w:tcW w:w="1360" w:type="dxa"/>
            <w:vAlign w:val="bottom"/>
            <w:gridSpan w:val="2"/>
          </w:tcPr>
          <w:p>
            <w:pPr>
              <w:ind w:left="660"/>
              <w:spacing w:after="0"/>
              <w:rPr>
                <w:sz w:val="20"/>
                <w:szCs w:val="20"/>
                <w:color w:val="auto"/>
              </w:rPr>
            </w:pPr>
            <w:r>
              <w:rPr>
                <w:rFonts w:ascii="Arial" w:cs="Arial" w:eastAsia="Arial" w:hAnsi="Arial"/>
                <w:sz w:val="19"/>
                <w:szCs w:val="19"/>
                <w:color w:val="auto"/>
              </w:rPr>
              <w:t>101.lab</w:t>
            </w:r>
          </w:p>
        </w:tc>
        <w:tc>
          <w:tcPr>
            <w:tcW w:w="4340" w:type="dxa"/>
            <w:vAlign w:val="bottom"/>
          </w:tcPr>
          <w:p>
            <w:pPr>
              <w:ind w:left="80"/>
              <w:spacing w:after="0"/>
              <w:rPr>
                <w:sz w:val="20"/>
                <w:szCs w:val="20"/>
                <w:color w:val="auto"/>
              </w:rPr>
            </w:pPr>
            <w:r>
              <w:rPr>
                <w:rFonts w:ascii="Arial" w:cs="Arial" w:eastAsia="Arial" w:hAnsi="Arial"/>
                <w:sz w:val="19"/>
                <w:szCs w:val="19"/>
                <w:color w:val="auto"/>
              </w:rPr>
              <w:t>Taxonomy Extension Label Linkbase Document</w:t>
            </w:r>
          </w:p>
        </w:tc>
      </w:tr>
      <w:tr>
        <w:trPr>
          <w:trHeight w:val="241"/>
        </w:trPr>
        <w:tc>
          <w:tcPr>
            <w:tcW w:w="1360" w:type="dxa"/>
            <w:vAlign w:val="bottom"/>
            <w:gridSpan w:val="2"/>
          </w:tcPr>
          <w:p>
            <w:pPr>
              <w:ind w:left="660"/>
              <w:spacing w:after="0"/>
              <w:rPr>
                <w:sz w:val="20"/>
                <w:szCs w:val="20"/>
                <w:color w:val="auto"/>
              </w:rPr>
            </w:pPr>
            <w:r>
              <w:rPr>
                <w:rFonts w:ascii="Arial" w:cs="Arial" w:eastAsia="Arial" w:hAnsi="Arial"/>
                <w:sz w:val="19"/>
                <w:szCs w:val="19"/>
                <w:color w:val="auto"/>
              </w:rPr>
              <w:t>101.pre</w:t>
            </w:r>
          </w:p>
        </w:tc>
        <w:tc>
          <w:tcPr>
            <w:tcW w:w="4340" w:type="dxa"/>
            <w:vAlign w:val="bottom"/>
          </w:tcPr>
          <w:p>
            <w:pPr>
              <w:ind w:left="80"/>
              <w:spacing w:after="0"/>
              <w:rPr>
                <w:sz w:val="20"/>
                <w:szCs w:val="20"/>
                <w:color w:val="auto"/>
              </w:rPr>
            </w:pPr>
            <w:r>
              <w:rPr>
                <w:rFonts w:ascii="Arial" w:cs="Arial" w:eastAsia="Arial" w:hAnsi="Arial"/>
                <w:sz w:val="19"/>
                <w:szCs w:val="19"/>
                <w:color w:val="auto"/>
                <w:w w:val="91"/>
              </w:rPr>
              <w:t>Taxonomy Extension Presentation Linkbase Document</w:t>
            </w:r>
          </w:p>
        </w:tc>
      </w:tr>
      <w:tr>
        <w:trPr>
          <w:trHeight w:val="20"/>
        </w:trPr>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r>
    </w:tbl>
    <w:p>
      <w:pPr>
        <w:spacing w:after="0" w:line="295" w:lineRule="exact"/>
        <w:rPr>
          <w:rFonts w:ascii="Arial" w:cs="Arial" w:eastAsia="Arial" w:hAnsi="Arial"/>
          <w:sz w:val="19"/>
          <w:szCs w:val="19"/>
          <w:u w:val="single" w:color="auto"/>
          <w:color w:val="0000FF"/>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S-1, as filed on June 29, 1987</w:t>
      </w:r>
    </w:p>
    <w:p>
      <w:pPr>
        <w:spacing w:after="0" w:line="20"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2015</w:t>
      </w:r>
    </w:p>
    <w:p>
      <w:pPr>
        <w:spacing w:after="0" w:line="4"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15, 2016</w:t>
      </w:r>
    </w:p>
    <w:p>
      <w:pPr>
        <w:spacing w:after="0" w:line="4"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S-8, as filed on September 7, 2016</w:t>
      </w:r>
    </w:p>
    <w:p>
      <w:pPr>
        <w:spacing w:after="0" w:line="4"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pacing w:after="0" w:line="4"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June 6, 2018</w:t>
      </w:r>
    </w:p>
    <w:p>
      <w:pPr>
        <w:spacing w:after="0" w:line="4"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2018</w:t>
      </w:r>
    </w:p>
    <w:p>
      <w:pPr>
        <w:spacing w:after="0" w:line="4"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February 28, 2019</w:t>
      </w:r>
    </w:p>
    <w:p>
      <w:pPr>
        <w:spacing w:after="0" w:line="4"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May 15, 2019</w:t>
      </w:r>
    </w:p>
    <w:p>
      <w:pPr>
        <w:spacing w:after="0" w:line="4"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November 12, 2019</w:t>
      </w:r>
    </w:p>
    <w:p>
      <w:pPr>
        <w:spacing w:after="0" w:line="4" w:lineRule="exact"/>
        <w:rPr>
          <w:rFonts w:ascii="Arial" w:cs="Arial" w:eastAsia="Arial" w:hAnsi="Arial"/>
          <w:sz w:val="18"/>
          <w:szCs w:val="18"/>
          <w:color w:val="auto"/>
        </w:rPr>
      </w:pPr>
    </w:p>
    <w:p>
      <w:pPr>
        <w:ind w:left="660" w:hanging="643"/>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Incorporated by reference from Report on Form 8-K/A, as filed on February 26, 2020</w:t>
      </w:r>
    </w:p>
    <w:p>
      <w:pPr>
        <w:spacing w:after="0" w:line="245" w:lineRule="exact"/>
        <w:rPr>
          <w:rFonts w:ascii="Arial" w:cs="Arial" w:eastAsia="Arial" w:hAnsi="Arial"/>
          <w:sz w:val="19"/>
          <w:szCs w:val="19"/>
          <w:u w:val="single" w:color="auto"/>
          <w:color w:val="0000FF"/>
        </w:rPr>
      </w:pPr>
    </w:p>
    <w:p>
      <w:pPr>
        <w:jc w:val="center"/>
        <w:ind w:right="379"/>
        <w:spacing w:after="0"/>
        <w:rPr>
          <w:sz w:val="20"/>
          <w:szCs w:val="20"/>
          <w:color w:val="auto"/>
        </w:rPr>
      </w:pPr>
      <w:r>
        <w:rPr>
          <w:rFonts w:ascii="Arial" w:cs="Arial" w:eastAsia="Arial" w:hAnsi="Arial"/>
          <w:sz w:val="19"/>
          <w:szCs w:val="19"/>
          <w:color w:val="auto"/>
        </w:rPr>
        <w:t>65</w:t>
      </w:r>
    </w:p>
    <w:p>
      <w:pPr>
        <w:spacing w:after="0" w:line="20" w:lineRule="exact"/>
        <w:rPr>
          <w:rFonts w:ascii="Arial" w:cs="Arial" w:eastAsia="Arial" w:hAnsi="Arial"/>
          <w:sz w:val="19"/>
          <w:szCs w:val="19"/>
          <w:u w:val="single" w:color="auto"/>
          <w:color w:val="0000FF"/>
        </w:rPr>
      </w:pPr>
      <w:r>
        <w:rPr>
          <w:rFonts w:ascii="Arial" w:cs="Arial" w:eastAsia="Arial" w:hAnsi="Arial"/>
          <w:sz w:val="19"/>
          <w:szCs w:val="19"/>
          <w:u w:val="single" w:color="auto"/>
          <w:color w:val="0000FF"/>
        </w:rPr>
        <w:drawing>
          <wp:anchor simplePos="0" relativeHeight="251657728" behindDoc="1" locked="0" layoutInCell="0" allowOverlap="1">
            <wp:simplePos x="0" y="0"/>
            <wp:positionH relativeFrom="column">
              <wp:posOffset>10795</wp:posOffset>
            </wp:positionH>
            <wp:positionV relativeFrom="paragraph">
              <wp:posOffset>98425</wp:posOffset>
            </wp:positionV>
            <wp:extent cx="5634355" cy="33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5634355" cy="33655"/>
                    </a:xfrm>
                    <a:prstGeom prst="rect">
                      <a:avLst/>
                    </a:prstGeom>
                    <a:noFill/>
                  </pic:spPr>
                </pic:pic>
              </a:graphicData>
            </a:graphic>
          </wp:anchor>
        </w:drawing>
      </w:r>
    </w:p>
    <w:p>
      <w:pPr>
        <w:sectPr>
          <w:pgSz w:w="11900" w:h="16838" w:orient="portrait"/>
          <w:cols w:equalWidth="0" w:num="1">
            <w:col w:w="9279"/>
          </w:cols>
          <w:pgMar w:left="1180" w:top="122" w:right="1440" w:bottom="1440" w:gutter="0" w:footer="0" w:header="0"/>
        </w:sectPr>
      </w:pPr>
    </w:p>
    <w:bookmarkStart w:id="65" w:name="page66"/>
    <w:bookmarkEnd w:id="65"/>
    <w:p>
      <w:pPr>
        <w:jc w:val="center"/>
        <w:ind w:right="399"/>
        <w:spacing w:after="0"/>
        <w:rPr>
          <w:sz w:val="20"/>
          <w:szCs w:val="20"/>
          <w:color w:val="auto"/>
        </w:rPr>
      </w:pPr>
      <w:r>
        <w:rPr>
          <w:rFonts w:ascii="Arial" w:cs="Arial" w:eastAsia="Arial" w:hAnsi="Arial"/>
          <w:sz w:val="19"/>
          <w:szCs w:val="19"/>
          <w:b w:val="1"/>
          <w:bCs w:val="1"/>
          <w:color w:val="auto"/>
        </w:rPr>
        <w:t>SIGNATURES</w:t>
      </w:r>
    </w:p>
    <w:p>
      <w:pPr>
        <w:spacing w:after="0" w:line="156" w:lineRule="exact"/>
        <w:rPr>
          <w:sz w:val="20"/>
          <w:szCs w:val="20"/>
          <w:color w:val="auto"/>
        </w:rPr>
      </w:pPr>
    </w:p>
    <w:p>
      <w:pPr>
        <w:ind w:right="399"/>
        <w:spacing w:after="0" w:line="277"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thereunto duly authorized.</w:t>
      </w:r>
    </w:p>
    <w:p>
      <w:pPr>
        <w:spacing w:after="0" w:line="233" w:lineRule="exact"/>
        <w:rPr>
          <w:sz w:val="20"/>
          <w:szCs w:val="20"/>
          <w:color w:val="auto"/>
        </w:rPr>
      </w:pPr>
    </w:p>
    <w:p>
      <w:pPr>
        <w:jc w:val="center"/>
        <w:ind w:right="399"/>
        <w:spacing w:after="0"/>
        <w:rPr>
          <w:sz w:val="20"/>
          <w:szCs w:val="20"/>
          <w:color w:val="auto"/>
        </w:rPr>
      </w:pPr>
      <w:r>
        <w:rPr>
          <w:rFonts w:ascii="Arial" w:cs="Arial" w:eastAsia="Arial" w:hAnsi="Arial"/>
          <w:sz w:val="14"/>
          <w:szCs w:val="14"/>
          <w:b w:val="1"/>
          <w:bCs w:val="1"/>
          <w:i w:val="1"/>
          <w:iCs w:val="1"/>
          <w:color w:val="auto"/>
        </w:rPr>
        <w:t>REGISTRANT</w:t>
      </w:r>
    </w:p>
    <w:p>
      <w:pPr>
        <w:spacing w:after="0" w:line="131" w:lineRule="exact"/>
        <w:rPr>
          <w:sz w:val="20"/>
          <w:szCs w:val="20"/>
          <w:color w:val="auto"/>
        </w:rPr>
      </w:pPr>
    </w:p>
    <w:p>
      <w:pPr>
        <w:jc w:val="center"/>
        <w:ind w:right="399"/>
        <w:spacing w:after="0"/>
        <w:rPr>
          <w:sz w:val="20"/>
          <w:szCs w:val="20"/>
          <w:color w:val="auto"/>
        </w:rPr>
      </w:pPr>
      <w:r>
        <w:rPr>
          <w:rFonts w:ascii="Arial" w:cs="Arial" w:eastAsia="Arial" w:hAnsi="Arial"/>
          <w:sz w:val="19"/>
          <w:szCs w:val="19"/>
          <w:u w:val="single" w:color="auto"/>
          <w:color w:val="auto"/>
        </w:rPr>
        <w:t>SECURITY NATIONAL FINANCIAL CORPORATION</w:t>
      </w:r>
    </w:p>
    <w:p>
      <w:pPr>
        <w:spacing w:after="0" w:line="22"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Registrant</w:t>
      </w:r>
    </w:p>
    <w:p>
      <w:pPr>
        <w:spacing w:after="0" w:line="386" w:lineRule="exact"/>
        <w:rPr>
          <w:sz w:val="20"/>
          <w:szCs w:val="20"/>
          <w:color w:val="auto"/>
        </w:rPr>
      </w:pPr>
    </w:p>
    <w:p>
      <w:pPr>
        <w:ind w:left="740"/>
        <w:spacing w:after="0"/>
        <w:tabs>
          <w:tab w:leader="none" w:pos="3720" w:val="left"/>
        </w:tabs>
        <w:rPr>
          <w:sz w:val="20"/>
          <w:szCs w:val="20"/>
          <w:color w:val="auto"/>
        </w:rPr>
      </w:pPr>
      <w:r>
        <w:rPr>
          <w:rFonts w:ascii="Arial" w:cs="Arial" w:eastAsia="Arial" w:hAnsi="Arial"/>
          <w:sz w:val="19"/>
          <w:szCs w:val="19"/>
          <w:color w:val="auto"/>
        </w:rPr>
        <w:t>Dated: August 14, 2020</w:t>
      </w:r>
      <w:r>
        <w:rPr>
          <w:sz w:val="20"/>
          <w:szCs w:val="20"/>
          <w:color w:val="auto"/>
        </w:rPr>
        <w:tab/>
      </w:r>
      <w:r>
        <w:rPr>
          <w:rFonts w:ascii="Arial" w:cs="Arial" w:eastAsia="Arial" w:hAnsi="Arial"/>
          <w:sz w:val="17"/>
          <w:szCs w:val="17"/>
          <w:u w:val="single" w:color="auto"/>
          <w:color w:val="auto"/>
        </w:rPr>
        <w:t>/s/ Scott M. Quist</w:t>
      </w:r>
    </w:p>
    <w:p>
      <w:pPr>
        <w:spacing w:after="0" w:line="46"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Scott M. Quist</w:t>
      </w:r>
    </w:p>
    <w:p>
      <w:pPr>
        <w:spacing w:after="0" w:line="46"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Chairman, President and Chief Executive Officer</w:t>
      </w:r>
    </w:p>
    <w:p>
      <w:pPr>
        <w:spacing w:after="0" w:line="46"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(Principal Executive Officer)</w:t>
      </w:r>
    </w:p>
    <w:p>
      <w:pPr>
        <w:spacing w:after="0" w:line="200" w:lineRule="exact"/>
        <w:rPr>
          <w:sz w:val="20"/>
          <w:szCs w:val="20"/>
          <w:color w:val="auto"/>
        </w:rPr>
      </w:pPr>
    </w:p>
    <w:p>
      <w:pPr>
        <w:spacing w:after="0" w:line="334" w:lineRule="exact"/>
        <w:rPr>
          <w:sz w:val="20"/>
          <w:szCs w:val="20"/>
          <w:color w:val="auto"/>
        </w:rPr>
      </w:pPr>
    </w:p>
    <w:p>
      <w:pPr>
        <w:ind w:left="740"/>
        <w:spacing w:after="0"/>
        <w:tabs>
          <w:tab w:leader="none" w:pos="3720" w:val="left"/>
        </w:tabs>
        <w:rPr>
          <w:sz w:val="20"/>
          <w:szCs w:val="20"/>
          <w:color w:val="auto"/>
        </w:rPr>
      </w:pPr>
      <w:r>
        <w:rPr>
          <w:rFonts w:ascii="Arial" w:cs="Arial" w:eastAsia="Arial" w:hAnsi="Arial"/>
          <w:sz w:val="19"/>
          <w:szCs w:val="19"/>
          <w:color w:val="auto"/>
        </w:rPr>
        <w:t>Dated: August 14, 2020</w:t>
      </w:r>
      <w:r>
        <w:rPr>
          <w:sz w:val="20"/>
          <w:szCs w:val="20"/>
          <w:color w:val="auto"/>
        </w:rPr>
        <w:tab/>
      </w:r>
      <w:r>
        <w:rPr>
          <w:rFonts w:ascii="Arial" w:cs="Arial" w:eastAsia="Arial" w:hAnsi="Arial"/>
          <w:sz w:val="17"/>
          <w:szCs w:val="17"/>
          <w:u w:val="single" w:color="auto"/>
          <w:color w:val="auto"/>
        </w:rPr>
        <w:t>/s/ Garrett S. Sill</w:t>
      </w:r>
    </w:p>
    <w:p>
      <w:pPr>
        <w:spacing w:after="0" w:line="46"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Garrett S. Sill</w:t>
      </w:r>
    </w:p>
    <w:p>
      <w:pPr>
        <w:spacing w:after="0" w:line="46"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Chief Financial Officer and Treasurer</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(Principal Financial Officer and Principal Accounting</w:t>
      </w:r>
    </w:p>
    <w:p>
      <w:pPr>
        <w:spacing w:after="0" w:line="22"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339725</wp:posOffset>
            </wp:positionV>
            <wp:extent cx="1425575"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142557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9259"/>
          </w:cols>
          <w:pgMar w:left="1200" w:top="118" w:right="1440" w:bottom="1440" w:gutter="0" w:footer="0" w:header="0"/>
        </w:sectPr>
      </w:pPr>
    </w:p>
    <w:bookmarkStart w:id="66" w:name="page67"/>
    <w:bookmarkEnd w:id="66"/>
    <w:p>
      <w:pPr>
        <w:jc w:val="center"/>
        <w:ind w:right="479"/>
        <w:spacing w:after="0"/>
        <w:rPr>
          <w:sz w:val="20"/>
          <w:szCs w:val="20"/>
          <w:color w:val="auto"/>
        </w:rPr>
      </w:pPr>
      <w:r>
        <w:rPr>
          <w:rFonts w:ascii="Arial" w:cs="Arial" w:eastAsia="Arial" w:hAnsi="Arial"/>
          <w:sz w:val="21"/>
          <w:szCs w:val="21"/>
          <w:color w:val="auto"/>
        </w:rPr>
        <w:t>Exhibit 10.3</w:t>
      </w:r>
    </w:p>
    <w:p>
      <w:pPr>
        <w:spacing w:after="0" w:line="234"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Amended and Restated 2014 Director Stock Option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118110</wp:posOffset>
            </wp:positionV>
            <wp:extent cx="5231765" cy="33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5231765" cy="33655"/>
                    </a:xfrm>
                    <a:prstGeom prst="rect">
                      <a:avLst/>
                    </a:prstGeom>
                    <a:noFill/>
                  </pic:spPr>
                </pic:pic>
              </a:graphicData>
            </a:graphic>
          </wp:anchor>
        </w:drawing>
      </w:r>
    </w:p>
    <w:p>
      <w:pPr>
        <w:sectPr>
          <w:pgSz w:w="11900" w:h="16838" w:orient="portrait"/>
          <w:cols w:equalWidth="0" w:num="1">
            <w:col w:w="9019"/>
          </w:cols>
          <w:pgMar w:left="1440" w:top="1307" w:right="1440" w:bottom="1440" w:gutter="0" w:footer="0" w:header="0"/>
        </w:sectPr>
      </w:pPr>
    </w:p>
    <w:bookmarkStart w:id="67" w:name="page68"/>
    <w:bookmarkEnd w:id="67"/>
    <w:p>
      <w:pPr>
        <w:jc w:val="center"/>
        <w:ind w:right="459"/>
        <w:spacing w:after="0"/>
        <w:rPr>
          <w:sz w:val="20"/>
          <w:szCs w:val="20"/>
          <w:color w:val="auto"/>
        </w:rPr>
      </w:pPr>
      <w:r>
        <w:rPr>
          <w:rFonts w:ascii="Arial" w:cs="Arial" w:eastAsia="Arial" w:hAnsi="Arial"/>
          <w:sz w:val="21"/>
          <w:szCs w:val="21"/>
          <w:color w:val="auto"/>
        </w:rPr>
        <w:t>SECURITY NATIONAL FINANCIAL CORPORATION</w:t>
      </w:r>
    </w:p>
    <w:p>
      <w:pPr>
        <w:spacing w:after="0" w:line="234" w:lineRule="exact"/>
        <w:rPr>
          <w:sz w:val="20"/>
          <w:szCs w:val="20"/>
          <w:color w:val="auto"/>
        </w:rPr>
      </w:pPr>
    </w:p>
    <w:p>
      <w:pPr>
        <w:ind w:left="1060"/>
        <w:spacing w:after="0"/>
        <w:rPr>
          <w:sz w:val="20"/>
          <w:szCs w:val="20"/>
          <w:color w:val="auto"/>
        </w:rPr>
      </w:pPr>
      <w:r>
        <w:rPr>
          <w:rFonts w:ascii="Arial" w:cs="Arial" w:eastAsia="Arial" w:hAnsi="Arial"/>
          <w:sz w:val="21"/>
          <w:szCs w:val="21"/>
          <w:color w:val="auto"/>
        </w:rPr>
        <w:t>AMENDED AND RESTATED 2014 DIRECTOR STOCK OPTION PLAN</w:t>
      </w:r>
    </w:p>
    <w:p>
      <w:pPr>
        <w:spacing w:after="0" w:line="234" w:lineRule="exact"/>
        <w:rPr>
          <w:sz w:val="20"/>
          <w:szCs w:val="20"/>
          <w:color w:val="auto"/>
        </w:rPr>
      </w:pPr>
    </w:p>
    <w:p>
      <w:pPr>
        <w:jc w:val="both"/>
        <w:ind w:left="160" w:right="619" w:hanging="7"/>
        <w:spacing w:after="0" w:line="249" w:lineRule="auto"/>
        <w:tabs>
          <w:tab w:leader="none" w:pos="794" w:val="left"/>
        </w:tabs>
        <w:numPr>
          <w:ilvl w:val="0"/>
          <w:numId w:val="75"/>
        </w:numPr>
        <w:rPr>
          <w:rFonts w:ascii="Arial" w:cs="Arial" w:eastAsia="Arial" w:hAnsi="Arial"/>
          <w:sz w:val="21"/>
          <w:szCs w:val="21"/>
          <w:color w:val="auto"/>
        </w:rPr>
      </w:pPr>
      <w:r>
        <w:rPr>
          <w:rFonts w:ascii="Arial" w:cs="Arial" w:eastAsia="Arial" w:hAnsi="Arial"/>
          <w:sz w:val="21"/>
          <w:szCs w:val="21"/>
          <w:u w:val="single" w:color="auto"/>
          <w:color w:val="auto"/>
        </w:rPr>
        <w:t>Purpose of the Plan</w:t>
      </w:r>
      <w:r>
        <w:rPr>
          <w:rFonts w:ascii="Arial" w:cs="Arial" w:eastAsia="Arial" w:hAnsi="Arial"/>
          <w:sz w:val="21"/>
          <w:szCs w:val="21"/>
          <w:color w:val="auto"/>
        </w:rPr>
        <w:t>. The purpose of this Amended and Restated 2014 Director Stock Option Plan is to attract and retain the best available personnel to serve as Outside Directors of Security National Financial Corporation.</w:t>
      </w:r>
    </w:p>
    <w:p>
      <w:pPr>
        <w:spacing w:after="0" w:line="199" w:lineRule="exact"/>
        <w:rPr>
          <w:sz w:val="20"/>
          <w:szCs w:val="20"/>
          <w:color w:val="auto"/>
        </w:rPr>
      </w:pPr>
    </w:p>
    <w:p>
      <w:pPr>
        <w:ind w:left="780"/>
        <w:spacing w:after="0"/>
        <w:rPr>
          <w:sz w:val="20"/>
          <w:szCs w:val="20"/>
          <w:color w:val="auto"/>
        </w:rPr>
      </w:pPr>
      <w:r>
        <w:rPr>
          <w:rFonts w:ascii="Arial" w:cs="Arial" w:eastAsia="Arial" w:hAnsi="Arial"/>
          <w:sz w:val="21"/>
          <w:szCs w:val="21"/>
          <w:color w:val="auto"/>
        </w:rPr>
        <w:t>All options granted hereunder shall be “non-statutory stock options.”</w:t>
      </w:r>
    </w:p>
    <w:p>
      <w:pPr>
        <w:spacing w:after="0" w:line="234" w:lineRule="exact"/>
        <w:rPr>
          <w:sz w:val="20"/>
          <w:szCs w:val="20"/>
          <w:color w:val="auto"/>
        </w:rPr>
      </w:pPr>
    </w:p>
    <w:p>
      <w:pPr>
        <w:ind w:left="780" w:hanging="627"/>
        <w:spacing w:after="0"/>
        <w:tabs>
          <w:tab w:leader="none" w:pos="780" w:val="left"/>
        </w:tabs>
        <w:numPr>
          <w:ilvl w:val="0"/>
          <w:numId w:val="76"/>
        </w:numPr>
        <w:rPr>
          <w:rFonts w:ascii="Arial" w:cs="Arial" w:eastAsia="Arial" w:hAnsi="Arial"/>
          <w:sz w:val="21"/>
          <w:szCs w:val="21"/>
          <w:color w:val="auto"/>
        </w:rPr>
      </w:pPr>
      <w:r>
        <w:rPr>
          <w:rFonts w:ascii="Arial" w:cs="Arial" w:eastAsia="Arial" w:hAnsi="Arial"/>
          <w:sz w:val="21"/>
          <w:szCs w:val="21"/>
          <w:u w:val="single" w:color="auto"/>
          <w:color w:val="auto"/>
        </w:rPr>
        <w:t>Definitions</w:t>
      </w:r>
      <w:r>
        <w:rPr>
          <w:rFonts w:ascii="Arial" w:cs="Arial" w:eastAsia="Arial" w:hAnsi="Arial"/>
          <w:sz w:val="21"/>
          <w:szCs w:val="21"/>
          <w:color w:val="auto"/>
        </w:rPr>
        <w:t>. A used herein, the following definitions shall apply:</w:t>
      </w:r>
    </w:p>
    <w:p>
      <w:pPr>
        <w:spacing w:after="0" w:line="234" w:lineRule="exact"/>
        <w:rPr>
          <w:sz w:val="20"/>
          <w:szCs w:val="20"/>
          <w:color w:val="auto"/>
        </w:rPr>
      </w:pPr>
    </w:p>
    <w:p>
      <w:pPr>
        <w:ind w:left="780" w:hanging="627"/>
        <w:spacing w:after="0"/>
        <w:tabs>
          <w:tab w:leader="none" w:pos="7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“Board” means the Board of Directors of the Company.</w:t>
      </w:r>
    </w:p>
    <w:p>
      <w:pPr>
        <w:spacing w:after="0" w:line="233" w:lineRule="exact"/>
        <w:rPr>
          <w:rFonts w:ascii="Arial" w:cs="Arial" w:eastAsia="Arial" w:hAnsi="Arial"/>
          <w:sz w:val="21"/>
          <w:szCs w:val="21"/>
          <w:color w:val="auto"/>
        </w:rPr>
      </w:pPr>
    </w:p>
    <w:p>
      <w:pPr>
        <w:jc w:val="both"/>
        <w:ind w:left="160" w:right="619" w:hanging="7"/>
        <w:spacing w:after="0" w:line="252" w:lineRule="auto"/>
        <w:tabs>
          <w:tab w:leader="none" w:pos="794" w:val="left"/>
        </w:tabs>
        <w:numPr>
          <w:ilvl w:val="0"/>
          <w:numId w:val="77"/>
        </w:numPr>
        <w:rPr>
          <w:rFonts w:ascii="Arial" w:cs="Arial" w:eastAsia="Arial" w:hAnsi="Arial"/>
          <w:sz w:val="20"/>
          <w:szCs w:val="20"/>
          <w:color w:val="auto"/>
        </w:rPr>
      </w:pPr>
      <w:r>
        <w:rPr>
          <w:rFonts w:ascii="Arial" w:cs="Arial" w:eastAsia="Arial" w:hAnsi="Arial"/>
          <w:sz w:val="20"/>
          <w:szCs w:val="20"/>
          <w:color w:val="auto"/>
        </w:rPr>
        <w:t>“Change in Control” means (i) the acquisition, directly or indirectly, by any person or group (within the meaning of Section 13(d)(3) of the Securities Exchange Act of 1934, as amended) of the beneficial ownership of more than fifty percent (50%) of the outstanding securities of the Company; (ii) a merger or consolidation in which the Company is not the surviving entity except for a transaction the principal purpose of which is to change the state in which the Company is incorporated; (iii) the sale, transfer or other disposition of all or substantially all of the assets of the Company; (iv) a complete liquidation or dissolution of the Company; or (v) any reverse merger in which the Company is the surviving entity but in which securities possessing more than fifty percent (50%) of the total combined voting power of the Company’s outstanding securities are transferred to a person or persons different from the persons holding those securities immediately prior to such a merger.</w:t>
      </w:r>
    </w:p>
    <w:p>
      <w:pPr>
        <w:spacing w:after="0" w:line="195" w:lineRule="exact"/>
        <w:rPr>
          <w:rFonts w:ascii="Arial" w:cs="Arial" w:eastAsia="Arial" w:hAnsi="Arial"/>
          <w:sz w:val="20"/>
          <w:szCs w:val="20"/>
          <w:color w:val="auto"/>
        </w:rPr>
      </w:pPr>
    </w:p>
    <w:p>
      <w:pPr>
        <w:ind w:left="780" w:hanging="627"/>
        <w:spacing w:after="0"/>
        <w:tabs>
          <w:tab w:leader="none" w:pos="7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“Code” means the Internal Revenue Code of 1986, as amended.</w:t>
      </w:r>
    </w:p>
    <w:p>
      <w:pPr>
        <w:spacing w:after="0" w:line="233" w:lineRule="exact"/>
        <w:rPr>
          <w:rFonts w:ascii="Arial" w:cs="Arial" w:eastAsia="Arial" w:hAnsi="Arial"/>
          <w:sz w:val="21"/>
          <w:szCs w:val="21"/>
          <w:color w:val="auto"/>
        </w:rPr>
      </w:pPr>
    </w:p>
    <w:p>
      <w:pPr>
        <w:ind w:left="780" w:hanging="627"/>
        <w:spacing w:after="0"/>
        <w:tabs>
          <w:tab w:leader="none" w:pos="7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“Common Stock” means the Class A Common Stock of the Company.</w:t>
      </w:r>
    </w:p>
    <w:p>
      <w:pPr>
        <w:spacing w:after="0" w:line="233" w:lineRule="exact"/>
        <w:rPr>
          <w:rFonts w:ascii="Arial" w:cs="Arial" w:eastAsia="Arial" w:hAnsi="Arial"/>
          <w:sz w:val="21"/>
          <w:szCs w:val="21"/>
          <w:color w:val="auto"/>
        </w:rPr>
      </w:pPr>
    </w:p>
    <w:p>
      <w:pPr>
        <w:ind w:left="780" w:hanging="627"/>
        <w:spacing w:after="0"/>
        <w:tabs>
          <w:tab w:leader="none" w:pos="7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“Company” means Security National Financial Corporation, a Utah corporation.</w:t>
      </w:r>
    </w:p>
    <w:p>
      <w:pPr>
        <w:spacing w:after="0" w:line="233" w:lineRule="exact"/>
        <w:rPr>
          <w:rFonts w:ascii="Arial" w:cs="Arial" w:eastAsia="Arial" w:hAnsi="Arial"/>
          <w:sz w:val="21"/>
          <w:szCs w:val="21"/>
          <w:color w:val="auto"/>
        </w:rPr>
      </w:pPr>
    </w:p>
    <w:p>
      <w:pPr>
        <w:ind w:left="160" w:right="619" w:hanging="7"/>
        <w:spacing w:after="0" w:line="262" w:lineRule="auto"/>
        <w:tabs>
          <w:tab w:leader="none" w:pos="794" w:val="left"/>
        </w:tabs>
        <w:numPr>
          <w:ilvl w:val="0"/>
          <w:numId w:val="77"/>
        </w:numPr>
        <w:rPr>
          <w:rFonts w:ascii="Arial" w:cs="Arial" w:eastAsia="Arial" w:hAnsi="Arial"/>
          <w:sz w:val="21"/>
          <w:szCs w:val="21"/>
          <w:color w:val="auto"/>
        </w:rPr>
      </w:pPr>
      <w:r>
        <w:rPr>
          <w:rFonts w:ascii="Arial" w:cs="Arial" w:eastAsia="Arial" w:hAnsi="Arial"/>
          <w:sz w:val="21"/>
          <w:szCs w:val="21"/>
          <w:color w:val="auto"/>
        </w:rPr>
        <w:t>“Continuous Status as a Director” means the absence of any interruption or termination of service as a Director.</w:t>
      </w:r>
    </w:p>
    <w:p>
      <w:pPr>
        <w:spacing w:after="0" w:line="185" w:lineRule="exact"/>
        <w:rPr>
          <w:rFonts w:ascii="Arial" w:cs="Arial" w:eastAsia="Arial" w:hAnsi="Arial"/>
          <w:sz w:val="21"/>
          <w:szCs w:val="21"/>
          <w:color w:val="auto"/>
        </w:rPr>
      </w:pPr>
    </w:p>
    <w:p>
      <w:pPr>
        <w:ind w:left="780" w:hanging="627"/>
        <w:spacing w:after="0"/>
        <w:tabs>
          <w:tab w:leader="none" w:pos="7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“Director” means a member of the Board.</w:t>
      </w:r>
    </w:p>
    <w:p>
      <w:pPr>
        <w:spacing w:after="0" w:line="233" w:lineRule="exact"/>
        <w:rPr>
          <w:rFonts w:ascii="Arial" w:cs="Arial" w:eastAsia="Arial" w:hAnsi="Arial"/>
          <w:sz w:val="21"/>
          <w:szCs w:val="21"/>
          <w:color w:val="auto"/>
        </w:rPr>
      </w:pPr>
    </w:p>
    <w:p>
      <w:pPr>
        <w:jc w:val="both"/>
        <w:ind w:left="160" w:right="619" w:hanging="7"/>
        <w:spacing w:after="0" w:line="288" w:lineRule="auto"/>
        <w:tabs>
          <w:tab w:leader="none" w:pos="794" w:val="left"/>
        </w:tabs>
        <w:numPr>
          <w:ilvl w:val="0"/>
          <w:numId w:val="77"/>
        </w:numPr>
        <w:rPr>
          <w:rFonts w:ascii="Arial" w:cs="Arial" w:eastAsia="Arial" w:hAnsi="Arial"/>
          <w:sz w:val="19"/>
          <w:szCs w:val="19"/>
          <w:color w:val="auto"/>
        </w:rPr>
      </w:pPr>
      <w:r>
        <w:rPr>
          <w:rFonts w:ascii="Arial" w:cs="Arial" w:eastAsia="Arial" w:hAnsi="Arial"/>
          <w:sz w:val="19"/>
          <w:szCs w:val="19"/>
          <w:color w:val="auto"/>
        </w:rPr>
        <w:t>“Employee” means any person, including an officer and Director, employed by the Company or any Parent or Subsidiary of the Company. The payment of a Director’s fee by the Company shall not be sufficient in and of itself to constitute “employment” by the Company.</w:t>
      </w:r>
    </w:p>
    <w:p>
      <w:pPr>
        <w:spacing w:after="0" w:line="164" w:lineRule="exact"/>
        <w:rPr>
          <w:rFonts w:ascii="Arial" w:cs="Arial" w:eastAsia="Arial" w:hAnsi="Arial"/>
          <w:sz w:val="19"/>
          <w:szCs w:val="19"/>
          <w:color w:val="auto"/>
        </w:rPr>
      </w:pPr>
    </w:p>
    <w:p>
      <w:pPr>
        <w:ind w:left="780" w:hanging="627"/>
        <w:spacing w:after="0"/>
        <w:tabs>
          <w:tab w:leader="none" w:pos="7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“Exchange Act” means the Securities Exchange Act of 1934, as amended.</w:t>
      </w:r>
    </w:p>
    <w:p>
      <w:pPr>
        <w:spacing w:after="0" w:line="233" w:lineRule="exact"/>
        <w:rPr>
          <w:rFonts w:ascii="Arial" w:cs="Arial" w:eastAsia="Arial" w:hAnsi="Arial"/>
          <w:sz w:val="21"/>
          <w:szCs w:val="21"/>
          <w:color w:val="auto"/>
        </w:rPr>
      </w:pPr>
    </w:p>
    <w:p>
      <w:pPr>
        <w:ind w:left="160" w:right="639" w:hanging="7"/>
        <w:spacing w:after="0" w:line="262" w:lineRule="auto"/>
        <w:tabs>
          <w:tab w:leader="none" w:pos="794" w:val="left"/>
        </w:tabs>
        <w:numPr>
          <w:ilvl w:val="0"/>
          <w:numId w:val="77"/>
        </w:numPr>
        <w:rPr>
          <w:rFonts w:ascii="Arial" w:cs="Arial" w:eastAsia="Arial" w:hAnsi="Arial"/>
          <w:sz w:val="21"/>
          <w:szCs w:val="21"/>
          <w:color w:val="auto"/>
        </w:rPr>
      </w:pPr>
      <w:r>
        <w:rPr>
          <w:rFonts w:ascii="Arial" w:cs="Arial" w:eastAsia="Arial" w:hAnsi="Arial"/>
          <w:sz w:val="21"/>
          <w:szCs w:val="21"/>
          <w:color w:val="auto"/>
        </w:rPr>
        <w:t>“Fair Market Value” means, as of any date, the value of Common Stock determined as follows:</w:t>
      </w:r>
    </w:p>
    <w:p>
      <w:pPr>
        <w:spacing w:after="0" w:line="186"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103505</wp:posOffset>
            </wp:positionV>
            <wp:extent cx="5231765" cy="33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5231765" cy="3365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68" w:name="page69"/>
    <w:bookmarkEnd w:id="68"/>
    <w:p>
      <w:pPr>
        <w:jc w:val="both"/>
        <w:ind w:left="160" w:right="619" w:firstLine="1578"/>
        <w:spacing w:after="0"/>
        <w:tabs>
          <w:tab w:leader="none" w:pos="2036" w:val="left"/>
        </w:tabs>
        <w:numPr>
          <w:ilvl w:val="1"/>
          <w:numId w:val="78"/>
        </w:numPr>
        <w:rPr>
          <w:rFonts w:ascii="Arial" w:cs="Arial" w:eastAsia="Arial" w:hAnsi="Arial"/>
          <w:sz w:val="21"/>
          <w:szCs w:val="21"/>
          <w:color w:val="auto"/>
        </w:rPr>
      </w:pPr>
      <w:r>
        <w:rPr>
          <w:rFonts w:ascii="Arial" w:cs="Arial" w:eastAsia="Arial" w:hAnsi="Arial"/>
          <w:sz w:val="21"/>
          <w:szCs w:val="21"/>
          <w:color w:val="auto"/>
        </w:rPr>
        <w:t>If the Common Stock is listed on any established stock exchange or a national market system, including without limitation, The NASDAQ National Market (“NASDAQ”), the Fair Market Value of a Share of Common Stock shall be the closing sales price for such stock (or the closing bid, if no sales were reported) as quoted on such system or exchange (or the exchange with the greatest volume of trading in Common Stock) on the last market trading day prior to the day of determination, as reported by the Wall Street Journal or such other source as the Board deems reliable;</w:t>
      </w:r>
    </w:p>
    <w:p>
      <w:pPr>
        <w:spacing w:after="0" w:line="211" w:lineRule="exact"/>
        <w:rPr>
          <w:rFonts w:ascii="Arial" w:cs="Arial" w:eastAsia="Arial" w:hAnsi="Arial"/>
          <w:sz w:val="21"/>
          <w:szCs w:val="21"/>
          <w:color w:val="auto"/>
        </w:rPr>
      </w:pPr>
    </w:p>
    <w:p>
      <w:pPr>
        <w:jc w:val="both"/>
        <w:ind w:left="160" w:right="619" w:firstLine="1578"/>
        <w:spacing w:after="0" w:line="241" w:lineRule="auto"/>
        <w:tabs>
          <w:tab w:leader="none" w:pos="2082" w:val="left"/>
        </w:tabs>
        <w:numPr>
          <w:ilvl w:val="1"/>
          <w:numId w:val="78"/>
        </w:numPr>
        <w:rPr>
          <w:rFonts w:ascii="Arial" w:cs="Arial" w:eastAsia="Arial" w:hAnsi="Arial"/>
          <w:sz w:val="21"/>
          <w:szCs w:val="21"/>
          <w:color w:val="auto"/>
        </w:rPr>
      </w:pPr>
      <w:r>
        <w:rPr>
          <w:rFonts w:ascii="Arial" w:cs="Arial" w:eastAsia="Arial" w:hAnsi="Arial"/>
          <w:sz w:val="21"/>
          <w:szCs w:val="21"/>
          <w:color w:val="auto"/>
        </w:rPr>
        <w:t>If the Common Stock is quoted on NASDAQ (but not on the National Market System thereof) or regularly quoted by a recognized securities dealer but selling prices are not reported, the Fair Market Value of a Share of Common Stock shall be the mean between the high bid and low asked price for the Common Stock on the last market trading day prior to the day of determination, as reported in the Wall Street Journal or such other source as the Board deems reliable; or</w:t>
      </w:r>
    </w:p>
    <w:p>
      <w:pPr>
        <w:spacing w:after="0" w:line="208" w:lineRule="exact"/>
        <w:rPr>
          <w:rFonts w:ascii="Arial" w:cs="Arial" w:eastAsia="Arial" w:hAnsi="Arial"/>
          <w:sz w:val="21"/>
          <w:szCs w:val="21"/>
          <w:color w:val="auto"/>
        </w:rPr>
      </w:pPr>
    </w:p>
    <w:p>
      <w:pPr>
        <w:ind w:left="160" w:right="619" w:firstLine="1578"/>
        <w:spacing w:after="0" w:line="262" w:lineRule="auto"/>
        <w:tabs>
          <w:tab w:leader="none" w:pos="2191" w:val="left"/>
        </w:tabs>
        <w:numPr>
          <w:ilvl w:val="1"/>
          <w:numId w:val="78"/>
        </w:numPr>
        <w:rPr>
          <w:rFonts w:ascii="Arial" w:cs="Arial" w:eastAsia="Arial" w:hAnsi="Arial"/>
          <w:sz w:val="21"/>
          <w:szCs w:val="21"/>
          <w:color w:val="auto"/>
        </w:rPr>
      </w:pPr>
      <w:r>
        <w:rPr>
          <w:rFonts w:ascii="Arial" w:cs="Arial" w:eastAsia="Arial" w:hAnsi="Arial"/>
          <w:sz w:val="21"/>
          <w:szCs w:val="21"/>
          <w:color w:val="auto"/>
        </w:rPr>
        <w:t>In the absence of an established market for the Common Stock, the Fair Market Value thereof shall be determined in good faith by the Board.</w:t>
      </w:r>
    </w:p>
    <w:p>
      <w:pPr>
        <w:spacing w:after="0" w:line="185" w:lineRule="exact"/>
        <w:rPr>
          <w:rFonts w:ascii="Arial" w:cs="Arial" w:eastAsia="Arial" w:hAnsi="Arial"/>
          <w:sz w:val="21"/>
          <w:szCs w:val="21"/>
          <w:color w:val="auto"/>
        </w:rPr>
      </w:pPr>
    </w:p>
    <w:p>
      <w:pPr>
        <w:ind w:left="780" w:hanging="627"/>
        <w:spacing w:after="0"/>
        <w:tabs>
          <w:tab w:leader="none" w:pos="7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“Option” means a stock option granted pursuant to the Plan.</w:t>
      </w:r>
    </w:p>
    <w:p>
      <w:pPr>
        <w:spacing w:after="0" w:line="233" w:lineRule="exact"/>
        <w:rPr>
          <w:rFonts w:ascii="Arial" w:cs="Arial" w:eastAsia="Arial" w:hAnsi="Arial"/>
          <w:sz w:val="21"/>
          <w:szCs w:val="21"/>
          <w:color w:val="auto"/>
        </w:rPr>
      </w:pPr>
    </w:p>
    <w:p>
      <w:pPr>
        <w:ind w:left="780" w:hanging="627"/>
        <w:spacing w:after="0"/>
        <w:tabs>
          <w:tab w:leader="none" w:pos="7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“Optioned Stock” means the Common Stock subject to an Option.</w:t>
      </w:r>
    </w:p>
    <w:p>
      <w:pPr>
        <w:spacing w:after="0" w:line="233" w:lineRule="exact"/>
        <w:rPr>
          <w:rFonts w:ascii="Arial" w:cs="Arial" w:eastAsia="Arial" w:hAnsi="Arial"/>
          <w:sz w:val="21"/>
          <w:szCs w:val="21"/>
          <w:color w:val="auto"/>
        </w:rPr>
      </w:pPr>
    </w:p>
    <w:p>
      <w:pPr>
        <w:ind w:left="780" w:hanging="627"/>
        <w:spacing w:after="0"/>
        <w:tabs>
          <w:tab w:leader="none" w:pos="7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“Optionee” means an Outside Director who receives an Option.</w:t>
      </w:r>
    </w:p>
    <w:p>
      <w:pPr>
        <w:spacing w:after="0" w:line="233" w:lineRule="exact"/>
        <w:rPr>
          <w:rFonts w:ascii="Arial" w:cs="Arial" w:eastAsia="Arial" w:hAnsi="Arial"/>
          <w:sz w:val="21"/>
          <w:szCs w:val="21"/>
          <w:color w:val="auto"/>
        </w:rPr>
      </w:pPr>
    </w:p>
    <w:p>
      <w:pPr>
        <w:ind w:left="780" w:hanging="627"/>
        <w:spacing w:after="0"/>
        <w:tabs>
          <w:tab w:leader="none" w:pos="7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“Outside Director” means a Director who is not an Employee.</w:t>
      </w:r>
    </w:p>
    <w:p>
      <w:pPr>
        <w:spacing w:after="0" w:line="233" w:lineRule="exact"/>
        <w:rPr>
          <w:rFonts w:ascii="Arial" w:cs="Arial" w:eastAsia="Arial" w:hAnsi="Arial"/>
          <w:sz w:val="21"/>
          <w:szCs w:val="21"/>
          <w:color w:val="auto"/>
        </w:rPr>
      </w:pPr>
    </w:p>
    <w:p>
      <w:pPr>
        <w:ind w:left="160" w:right="639" w:hanging="7"/>
        <w:spacing w:after="0" w:line="262" w:lineRule="auto"/>
        <w:tabs>
          <w:tab w:leader="none" w:pos="794" w:val="left"/>
        </w:tabs>
        <w:numPr>
          <w:ilvl w:val="0"/>
          <w:numId w:val="79"/>
        </w:numPr>
        <w:rPr>
          <w:rFonts w:ascii="Arial" w:cs="Arial" w:eastAsia="Arial" w:hAnsi="Arial"/>
          <w:sz w:val="21"/>
          <w:szCs w:val="21"/>
          <w:color w:val="auto"/>
        </w:rPr>
      </w:pPr>
      <w:r>
        <w:rPr>
          <w:rFonts w:ascii="Arial" w:cs="Arial" w:eastAsia="Arial" w:hAnsi="Arial"/>
          <w:sz w:val="21"/>
          <w:szCs w:val="21"/>
          <w:color w:val="auto"/>
        </w:rPr>
        <w:t>“Parent” means a “parent corporation”, whether now or hereafter existing, as defined in Section 424(e) of the Code.</w:t>
      </w:r>
    </w:p>
    <w:p>
      <w:pPr>
        <w:spacing w:after="0" w:line="185" w:lineRule="exact"/>
        <w:rPr>
          <w:rFonts w:ascii="Arial" w:cs="Arial" w:eastAsia="Arial" w:hAnsi="Arial"/>
          <w:sz w:val="21"/>
          <w:szCs w:val="21"/>
          <w:color w:val="auto"/>
        </w:rPr>
      </w:pPr>
    </w:p>
    <w:p>
      <w:pPr>
        <w:ind w:left="780" w:hanging="627"/>
        <w:spacing w:after="0"/>
        <w:tabs>
          <w:tab w:leader="none" w:pos="7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“Plan” means this Amended and Restated 2014 Director Stock Option Plan.</w:t>
      </w:r>
    </w:p>
    <w:p>
      <w:pPr>
        <w:spacing w:after="0" w:line="233" w:lineRule="exact"/>
        <w:rPr>
          <w:rFonts w:ascii="Arial" w:cs="Arial" w:eastAsia="Arial" w:hAnsi="Arial"/>
          <w:sz w:val="21"/>
          <w:szCs w:val="21"/>
          <w:color w:val="auto"/>
        </w:rPr>
      </w:pPr>
    </w:p>
    <w:p>
      <w:pPr>
        <w:ind w:left="160" w:right="639" w:hanging="7"/>
        <w:spacing w:after="0" w:line="262" w:lineRule="auto"/>
        <w:tabs>
          <w:tab w:leader="none" w:pos="794" w:val="left"/>
        </w:tabs>
        <w:numPr>
          <w:ilvl w:val="0"/>
          <w:numId w:val="79"/>
        </w:numPr>
        <w:rPr>
          <w:rFonts w:ascii="Arial" w:cs="Arial" w:eastAsia="Arial" w:hAnsi="Arial"/>
          <w:sz w:val="21"/>
          <w:szCs w:val="21"/>
          <w:color w:val="auto"/>
        </w:rPr>
      </w:pPr>
      <w:r>
        <w:rPr>
          <w:rFonts w:ascii="Arial" w:cs="Arial" w:eastAsia="Arial" w:hAnsi="Arial"/>
          <w:sz w:val="21"/>
          <w:szCs w:val="21"/>
          <w:color w:val="auto"/>
        </w:rPr>
        <w:t>“Pool” means the maximum aggregate number of Shares which may be optioned and sold under the Plan.</w:t>
      </w:r>
    </w:p>
    <w:p>
      <w:pPr>
        <w:spacing w:after="0" w:line="185" w:lineRule="exact"/>
        <w:rPr>
          <w:rFonts w:ascii="Arial" w:cs="Arial" w:eastAsia="Arial" w:hAnsi="Arial"/>
          <w:sz w:val="21"/>
          <w:szCs w:val="21"/>
          <w:color w:val="auto"/>
        </w:rPr>
      </w:pPr>
    </w:p>
    <w:p>
      <w:pPr>
        <w:ind w:left="160" w:right="639" w:hanging="7"/>
        <w:spacing w:after="0" w:line="262" w:lineRule="auto"/>
        <w:tabs>
          <w:tab w:leader="none" w:pos="794" w:val="left"/>
        </w:tabs>
        <w:numPr>
          <w:ilvl w:val="0"/>
          <w:numId w:val="79"/>
        </w:numPr>
        <w:rPr>
          <w:rFonts w:ascii="Arial" w:cs="Arial" w:eastAsia="Arial" w:hAnsi="Arial"/>
          <w:sz w:val="21"/>
          <w:szCs w:val="21"/>
          <w:color w:val="auto"/>
        </w:rPr>
      </w:pPr>
      <w:r>
        <w:rPr>
          <w:rFonts w:ascii="Arial" w:cs="Arial" w:eastAsia="Arial" w:hAnsi="Arial"/>
          <w:sz w:val="21"/>
          <w:szCs w:val="21"/>
          <w:color w:val="auto"/>
        </w:rPr>
        <w:t>“Share” means a share of the Common Stock, as adjusted in accordance with Section 10 of the Plan.</w:t>
      </w:r>
    </w:p>
    <w:p>
      <w:pPr>
        <w:spacing w:after="0" w:line="185" w:lineRule="exact"/>
        <w:rPr>
          <w:rFonts w:ascii="Arial" w:cs="Arial" w:eastAsia="Arial" w:hAnsi="Arial"/>
          <w:sz w:val="21"/>
          <w:szCs w:val="21"/>
          <w:color w:val="auto"/>
        </w:rPr>
      </w:pPr>
    </w:p>
    <w:p>
      <w:pPr>
        <w:ind w:left="160" w:right="639" w:hanging="7"/>
        <w:spacing w:after="0" w:line="262" w:lineRule="auto"/>
        <w:tabs>
          <w:tab w:leader="none" w:pos="794" w:val="left"/>
        </w:tabs>
        <w:numPr>
          <w:ilvl w:val="0"/>
          <w:numId w:val="79"/>
        </w:numPr>
        <w:rPr>
          <w:rFonts w:ascii="Arial" w:cs="Arial" w:eastAsia="Arial" w:hAnsi="Arial"/>
          <w:sz w:val="21"/>
          <w:szCs w:val="21"/>
          <w:color w:val="auto"/>
        </w:rPr>
      </w:pPr>
      <w:r>
        <w:rPr>
          <w:rFonts w:ascii="Arial" w:cs="Arial" w:eastAsia="Arial" w:hAnsi="Arial"/>
          <w:sz w:val="21"/>
          <w:szCs w:val="21"/>
          <w:color w:val="auto"/>
        </w:rPr>
        <w:t>“Subsidiary” means a “subsidiary corporation”, whether now or hereafter existing, as defined in Section 424(f) of the Code.</w:t>
      </w:r>
    </w:p>
    <w:p>
      <w:pPr>
        <w:spacing w:after="0" w:line="186" w:lineRule="exact"/>
        <w:rPr>
          <w:sz w:val="20"/>
          <w:szCs w:val="20"/>
          <w:color w:val="auto"/>
        </w:rPr>
      </w:pPr>
    </w:p>
    <w:p>
      <w:pPr>
        <w:jc w:val="both"/>
        <w:ind w:left="160" w:right="619" w:hanging="7"/>
        <w:spacing w:after="0" w:line="245" w:lineRule="auto"/>
        <w:tabs>
          <w:tab w:leader="none" w:pos="794"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Stock Subject to the Plan</w:t>
      </w:r>
      <w:r>
        <w:rPr>
          <w:rFonts w:ascii="Arial" w:cs="Arial" w:eastAsia="Arial" w:hAnsi="Arial"/>
          <w:sz w:val="21"/>
          <w:szCs w:val="21"/>
          <w:color w:val="auto"/>
        </w:rPr>
        <w:t>. The initial amount of the Pool shall be 150,000 Shares. Additional Shares may be added to the Pool with Board and stockholder approval. The Shares may be authorized but unissued, or reacquired Common Stock. All Shares issued under the Plan shall be subject to the provisions of Section 10 of the Plan.</w:t>
      </w:r>
    </w:p>
    <w:p>
      <w:pPr>
        <w:spacing w:after="0" w:line="202" w:lineRule="exact"/>
        <w:rPr>
          <w:sz w:val="20"/>
          <w:szCs w:val="20"/>
          <w:color w:val="auto"/>
        </w:rPr>
      </w:pPr>
    </w:p>
    <w:p>
      <w:pPr>
        <w:jc w:val="both"/>
        <w:ind w:left="160" w:right="639" w:firstLine="634"/>
        <w:spacing w:after="0" w:line="267" w:lineRule="auto"/>
        <w:rPr>
          <w:sz w:val="20"/>
          <w:szCs w:val="20"/>
          <w:color w:val="auto"/>
        </w:rPr>
      </w:pPr>
      <w:r>
        <w:rPr>
          <w:rFonts w:ascii="Arial" w:cs="Arial" w:eastAsia="Arial" w:hAnsi="Arial"/>
          <w:sz w:val="20"/>
          <w:szCs w:val="20"/>
          <w:color w:val="auto"/>
        </w:rPr>
        <w:t>If an Option should expire or become un-exercisable for any reason without having been exercised in full, the un-exercised Options which were subject thereto shall, unless the Plan shall have been terminated, become available for future grant under the Plan.</w:t>
      </w:r>
    </w:p>
    <w:p>
      <w:pPr>
        <w:spacing w:after="0" w:line="196"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95250</wp:posOffset>
            </wp:positionV>
            <wp:extent cx="5231765" cy="33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5231765" cy="336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9" w:name="page70"/>
    <w:bookmarkEnd w:id="69"/>
    <w:p>
      <w:pPr>
        <w:ind w:left="780" w:hanging="627"/>
        <w:spacing w:after="0"/>
        <w:tabs>
          <w:tab w:leader="none" w:pos="78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Administration of and Grants of Options Under the Plan</w:t>
      </w:r>
      <w:r>
        <w:rPr>
          <w:rFonts w:ascii="Arial" w:cs="Arial" w:eastAsia="Arial" w:hAnsi="Arial"/>
          <w:sz w:val="21"/>
          <w:szCs w:val="21"/>
          <w:color w:val="auto"/>
        </w:rPr>
        <w:t>.</w:t>
      </w:r>
    </w:p>
    <w:p>
      <w:pPr>
        <w:spacing w:after="0" w:line="234" w:lineRule="exact"/>
        <w:rPr>
          <w:sz w:val="20"/>
          <w:szCs w:val="20"/>
          <w:color w:val="auto"/>
        </w:rPr>
      </w:pPr>
    </w:p>
    <w:p>
      <w:pPr>
        <w:jc w:val="both"/>
        <w:ind w:left="160" w:right="619" w:hanging="7"/>
        <w:spacing w:after="0" w:line="242" w:lineRule="auto"/>
        <w:tabs>
          <w:tab w:leader="none" w:pos="794"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Administrator</w:t>
      </w:r>
      <w:r>
        <w:rPr>
          <w:rFonts w:ascii="Arial" w:cs="Arial" w:eastAsia="Arial" w:hAnsi="Arial"/>
          <w:sz w:val="21"/>
          <w:szCs w:val="21"/>
          <w:color w:val="auto"/>
        </w:rPr>
        <w:t>. Except as otherwise required herein, the Plan shall be administered by the Board. The Board has the right in its discretion to grant Options to Outside Board members, provided that such grants shall be made and approved in accordance with the provisions of this Plan. Except for the Annual Grant as defined in Section 4(b)(i) below, all grants of Options hereunder shall be discretionary.</w:t>
      </w:r>
    </w:p>
    <w:p>
      <w:pPr>
        <w:spacing w:after="0" w:line="208" w:lineRule="exact"/>
        <w:rPr>
          <w:rFonts w:ascii="Arial" w:cs="Arial" w:eastAsia="Arial" w:hAnsi="Arial"/>
          <w:sz w:val="21"/>
          <w:szCs w:val="21"/>
          <w:color w:val="auto"/>
        </w:rPr>
      </w:pPr>
    </w:p>
    <w:p>
      <w:pPr>
        <w:jc w:val="both"/>
        <w:ind w:left="160" w:right="619" w:hanging="7"/>
        <w:spacing w:after="0" w:line="279" w:lineRule="auto"/>
        <w:tabs>
          <w:tab w:leader="none" w:pos="79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Procedure for Grants</w:t>
      </w:r>
      <w:r>
        <w:rPr>
          <w:rFonts w:ascii="Arial" w:cs="Arial" w:eastAsia="Arial" w:hAnsi="Arial"/>
          <w:sz w:val="19"/>
          <w:szCs w:val="19"/>
          <w:color w:val="auto"/>
        </w:rPr>
        <w:t>. The provisions set forth in this Section 4(b) shall not be amended more than once every six months, other than to comply with changes in the Code, the Employee Retirement Income Security Act of 1974, as amended, or the rules promulgated thereunder. All grants of Options hereunder shall be made in accordance with the following provisions:</w:t>
      </w:r>
    </w:p>
    <w:p>
      <w:pPr>
        <w:spacing w:after="0" w:line="172" w:lineRule="exact"/>
        <w:rPr>
          <w:rFonts w:ascii="Arial" w:cs="Arial" w:eastAsia="Arial" w:hAnsi="Arial"/>
          <w:sz w:val="19"/>
          <w:szCs w:val="19"/>
          <w:color w:val="auto"/>
        </w:rPr>
      </w:pPr>
    </w:p>
    <w:p>
      <w:pPr>
        <w:jc w:val="both"/>
        <w:ind w:left="160" w:right="619" w:firstLine="1578"/>
        <w:spacing w:after="0" w:line="267" w:lineRule="auto"/>
        <w:tabs>
          <w:tab w:leader="none" w:pos="1997" w:val="left"/>
        </w:tabs>
        <w:numPr>
          <w:ilvl w:val="1"/>
          <w:numId w:val="82"/>
        </w:numPr>
        <w:rPr>
          <w:rFonts w:ascii="Arial" w:cs="Arial" w:eastAsia="Arial" w:hAnsi="Arial"/>
          <w:sz w:val="19"/>
          <w:szCs w:val="19"/>
          <w:color w:val="auto"/>
        </w:rPr>
      </w:pPr>
      <w:r>
        <w:rPr>
          <w:rFonts w:ascii="Arial" w:cs="Arial" w:eastAsia="Arial" w:hAnsi="Arial"/>
          <w:sz w:val="19"/>
          <w:szCs w:val="19"/>
          <w:color w:val="auto"/>
        </w:rPr>
        <w:t>Effective as of December 7, 2014 (the “Effective Date”) and annually each year thereafter during the term of this Plan on a day as determined each year by the Board of Directors, each Outside Director shall automatically receive an Option to purchase 1,000 Shares (an “Annual Grant”). In addition, each new Outside Director who shall first join the Board on or after the Effective Date shall automatically be granted an Option to purchase 1,000 Shares upon the date on which such person first becomes an Outside Director, whether through election by the shareholders of the Company, appointment by the Board to fill a vacancy, or termination of employment by the Company while remaining as a Director (a “One-time Grant”), and an Annual Grant of an option to purchase 1,000 Shares each year thereafter during the term of this Plan on a day as determined each year by the Board of Directors.</w:t>
      </w:r>
    </w:p>
    <w:p>
      <w:pPr>
        <w:spacing w:after="0" w:line="183" w:lineRule="exact"/>
        <w:rPr>
          <w:rFonts w:ascii="Arial" w:cs="Arial" w:eastAsia="Arial" w:hAnsi="Arial"/>
          <w:sz w:val="19"/>
          <w:szCs w:val="19"/>
          <w:color w:val="auto"/>
        </w:rPr>
      </w:pPr>
    </w:p>
    <w:p>
      <w:pPr>
        <w:ind w:left="2100" w:hanging="362"/>
        <w:spacing w:after="0"/>
        <w:tabs>
          <w:tab w:leader="none" w:pos="2100" w:val="left"/>
        </w:tabs>
        <w:numPr>
          <w:ilvl w:val="1"/>
          <w:numId w:val="82"/>
        </w:numPr>
        <w:rPr>
          <w:rFonts w:ascii="Arial" w:cs="Arial" w:eastAsia="Arial" w:hAnsi="Arial"/>
          <w:sz w:val="21"/>
          <w:szCs w:val="21"/>
          <w:color w:val="auto"/>
        </w:rPr>
      </w:pPr>
      <w:r>
        <w:rPr>
          <w:rFonts w:ascii="Arial" w:cs="Arial" w:eastAsia="Arial" w:hAnsi="Arial"/>
          <w:sz w:val="21"/>
          <w:szCs w:val="21"/>
          <w:color w:val="auto"/>
        </w:rPr>
        <w:t>The terms of each Option granted hereunder shall be as follows:</w:t>
      </w:r>
    </w:p>
    <w:p>
      <w:pPr>
        <w:spacing w:after="0" w:line="233" w:lineRule="exact"/>
        <w:rPr>
          <w:rFonts w:ascii="Arial" w:cs="Arial" w:eastAsia="Arial" w:hAnsi="Arial"/>
          <w:sz w:val="21"/>
          <w:szCs w:val="21"/>
          <w:color w:val="auto"/>
        </w:rPr>
      </w:pPr>
    </w:p>
    <w:p>
      <w:pPr>
        <w:ind w:left="2620" w:hanging="407"/>
        <w:spacing w:after="0"/>
        <w:tabs>
          <w:tab w:leader="none" w:pos="2620" w:val="left"/>
        </w:tabs>
        <w:numPr>
          <w:ilvl w:val="2"/>
          <w:numId w:val="82"/>
        </w:numPr>
        <w:rPr>
          <w:rFonts w:ascii="Arial" w:cs="Arial" w:eastAsia="Arial" w:hAnsi="Arial"/>
          <w:sz w:val="21"/>
          <w:szCs w:val="21"/>
          <w:color w:val="auto"/>
        </w:rPr>
      </w:pPr>
      <w:r>
        <w:rPr>
          <w:rFonts w:ascii="Arial" w:cs="Arial" w:eastAsia="Arial" w:hAnsi="Arial"/>
          <w:sz w:val="21"/>
          <w:szCs w:val="21"/>
          <w:color w:val="auto"/>
        </w:rPr>
        <w:t>the term of the Option shall have ten (10) years:</w:t>
      </w:r>
    </w:p>
    <w:p>
      <w:pPr>
        <w:spacing w:after="0" w:line="233" w:lineRule="exact"/>
        <w:rPr>
          <w:rFonts w:ascii="Arial" w:cs="Arial" w:eastAsia="Arial" w:hAnsi="Arial"/>
          <w:sz w:val="21"/>
          <w:szCs w:val="21"/>
          <w:color w:val="auto"/>
        </w:rPr>
      </w:pPr>
    </w:p>
    <w:p>
      <w:pPr>
        <w:jc w:val="both"/>
        <w:ind w:left="160" w:right="639" w:firstLine="2053"/>
        <w:spacing w:after="0" w:line="288" w:lineRule="auto"/>
        <w:tabs>
          <w:tab w:leader="none" w:pos="2636" w:val="left"/>
        </w:tabs>
        <w:numPr>
          <w:ilvl w:val="2"/>
          <w:numId w:val="82"/>
        </w:numPr>
        <w:rPr>
          <w:rFonts w:ascii="Arial" w:cs="Arial" w:eastAsia="Arial" w:hAnsi="Arial"/>
          <w:sz w:val="19"/>
          <w:szCs w:val="19"/>
          <w:color w:val="auto"/>
        </w:rPr>
      </w:pPr>
      <w:r>
        <w:rPr>
          <w:rFonts w:ascii="Arial" w:cs="Arial" w:eastAsia="Arial" w:hAnsi="Arial"/>
          <w:sz w:val="19"/>
          <w:szCs w:val="19"/>
          <w:color w:val="auto"/>
        </w:rPr>
        <w:t>the Option shall be exercisable while the Outside Director remains an Outside Director of the Company and for a period of six months from the date Optionee’s continuous status as an Outside Director terminates, as set forth in Section 8 hereof;</w:t>
      </w:r>
    </w:p>
    <w:p>
      <w:pPr>
        <w:spacing w:after="0" w:line="164" w:lineRule="exact"/>
        <w:rPr>
          <w:rFonts w:ascii="Arial" w:cs="Arial" w:eastAsia="Arial" w:hAnsi="Arial"/>
          <w:sz w:val="19"/>
          <w:szCs w:val="19"/>
          <w:color w:val="auto"/>
        </w:rPr>
      </w:pPr>
    </w:p>
    <w:p>
      <w:pPr>
        <w:ind w:left="160" w:right="639" w:firstLine="2053"/>
        <w:spacing w:after="0" w:line="262" w:lineRule="auto"/>
        <w:tabs>
          <w:tab w:leader="none" w:pos="2617" w:val="left"/>
        </w:tabs>
        <w:numPr>
          <w:ilvl w:val="2"/>
          <w:numId w:val="82"/>
        </w:numPr>
        <w:rPr>
          <w:rFonts w:ascii="Arial" w:cs="Arial" w:eastAsia="Arial" w:hAnsi="Arial"/>
          <w:sz w:val="21"/>
          <w:szCs w:val="21"/>
          <w:color w:val="auto"/>
        </w:rPr>
      </w:pPr>
      <w:r>
        <w:rPr>
          <w:rFonts w:ascii="Arial" w:cs="Arial" w:eastAsia="Arial" w:hAnsi="Arial"/>
          <w:sz w:val="21"/>
          <w:szCs w:val="21"/>
          <w:color w:val="auto"/>
        </w:rPr>
        <w:t>the exercise price per Share shall be 100% of the Fair Market Value per Share on the date of grant of the Option; and</w:t>
      </w:r>
    </w:p>
    <w:p>
      <w:pPr>
        <w:spacing w:after="0" w:line="185" w:lineRule="exact"/>
        <w:rPr>
          <w:rFonts w:ascii="Arial" w:cs="Arial" w:eastAsia="Arial" w:hAnsi="Arial"/>
          <w:sz w:val="21"/>
          <w:szCs w:val="21"/>
          <w:color w:val="auto"/>
        </w:rPr>
      </w:pPr>
    </w:p>
    <w:p>
      <w:pPr>
        <w:jc w:val="both"/>
        <w:ind w:left="160" w:right="639" w:firstLine="2053"/>
        <w:spacing w:after="0" w:line="249" w:lineRule="auto"/>
        <w:tabs>
          <w:tab w:leader="none" w:pos="2661" w:val="left"/>
        </w:tabs>
        <w:numPr>
          <w:ilvl w:val="2"/>
          <w:numId w:val="82"/>
        </w:numPr>
        <w:rPr>
          <w:rFonts w:ascii="Arial" w:cs="Arial" w:eastAsia="Arial" w:hAnsi="Arial"/>
          <w:sz w:val="21"/>
          <w:szCs w:val="21"/>
          <w:color w:val="auto"/>
        </w:rPr>
      </w:pPr>
      <w:r>
        <w:rPr>
          <w:rFonts w:ascii="Arial" w:cs="Arial" w:eastAsia="Arial" w:hAnsi="Arial"/>
          <w:sz w:val="21"/>
          <w:szCs w:val="21"/>
          <w:color w:val="auto"/>
        </w:rPr>
        <w:t>assuming Continuous Status as an Outside Director, Options shall vest in four equal quarterly installments, such that all Options shall become fully vested one year after the date of the grant of the Options.</w:t>
      </w:r>
    </w:p>
    <w:p>
      <w:pPr>
        <w:spacing w:after="0" w:line="199" w:lineRule="exact"/>
        <w:rPr>
          <w:rFonts w:ascii="Arial" w:cs="Arial" w:eastAsia="Arial" w:hAnsi="Arial"/>
          <w:sz w:val="21"/>
          <w:szCs w:val="21"/>
          <w:color w:val="auto"/>
        </w:rPr>
      </w:pPr>
    </w:p>
    <w:p>
      <w:pPr>
        <w:jc w:val="both"/>
        <w:ind w:left="160" w:right="639" w:firstLine="1578"/>
        <w:spacing w:after="0" w:line="256" w:lineRule="auto"/>
        <w:tabs>
          <w:tab w:leader="none" w:pos="2237" w:val="left"/>
        </w:tabs>
        <w:numPr>
          <w:ilvl w:val="1"/>
          <w:numId w:val="82"/>
        </w:numPr>
        <w:rPr>
          <w:rFonts w:ascii="Arial" w:cs="Arial" w:eastAsia="Arial" w:hAnsi="Arial"/>
          <w:sz w:val="20"/>
          <w:szCs w:val="20"/>
          <w:color w:val="auto"/>
        </w:rPr>
      </w:pPr>
      <w:r>
        <w:rPr>
          <w:rFonts w:ascii="Arial" w:cs="Arial" w:eastAsia="Arial" w:hAnsi="Arial"/>
          <w:sz w:val="20"/>
          <w:szCs w:val="20"/>
          <w:color w:val="auto"/>
        </w:rPr>
        <w:t>In the event that any Option granted under the Plan would cause the number of Shares subject to outstanding Options plus the number of Shares previously purchased upon exercise of Options to exceed the Pool, vesting of such Option shall be deferred as necessary until Shares become available for issuance under the Plan through action of the stockholders to increase the number of Shares which may be issued under the Plan or through cancellation or expiration of Options previously granted hereunder.</w:t>
      </w:r>
    </w:p>
    <w:p>
      <w:pPr>
        <w:spacing w:after="0" w:line="205"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95250</wp:posOffset>
            </wp:positionV>
            <wp:extent cx="5231765" cy="336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5231765" cy="3365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70" w:name="page71"/>
    <w:bookmarkEnd w:id="70"/>
    <w:p>
      <w:pPr>
        <w:ind w:left="160" w:right="639" w:firstLine="1578"/>
        <w:spacing w:after="0" w:line="263" w:lineRule="auto"/>
        <w:tabs>
          <w:tab w:leader="none" w:pos="2194"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Board, in its discretion, may grant Options to Outside Directors in addition to those provided for in Section 4(b)(i).</w:t>
      </w:r>
    </w:p>
    <w:p>
      <w:pPr>
        <w:spacing w:after="0" w:line="184" w:lineRule="exact"/>
        <w:rPr>
          <w:rFonts w:ascii="Arial" w:cs="Arial" w:eastAsia="Arial" w:hAnsi="Arial"/>
          <w:sz w:val="21"/>
          <w:szCs w:val="21"/>
          <w:color w:val="auto"/>
        </w:rPr>
      </w:pPr>
    </w:p>
    <w:p>
      <w:pPr>
        <w:jc w:val="both"/>
        <w:ind w:left="160" w:right="619" w:hanging="7"/>
        <w:spacing w:after="0"/>
        <w:tabs>
          <w:tab w:leader="none" w:pos="794"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Powers of the Board</w:t>
      </w:r>
      <w:r>
        <w:rPr>
          <w:rFonts w:ascii="Arial" w:cs="Arial" w:eastAsia="Arial" w:hAnsi="Arial"/>
          <w:sz w:val="21"/>
          <w:szCs w:val="21"/>
          <w:color w:val="auto"/>
        </w:rPr>
        <w:t>. Subject to the provisions and restrictions of the Plan, the Board shall have the authority, in its discretion: (i) to grant Options to Outside Directors; (ii) to determine, upon review of relevant information and in accordance with Section 2(i) of the Plan, the Fair Market Value of the Common Stock; (iii) to interpret the Plan; (iv) to prescribe, amend and rescind rules and regulations relating to the Plan; (v) to authorize any person to execute on behalf of the Company and instrument required to effectuate the grant of an Option previously granted hereunder; and (vi) to make all other determinations deemed necessary or advisable for the administration of the Plan.</w:t>
      </w:r>
    </w:p>
    <w:p>
      <w:pPr>
        <w:spacing w:after="0" w:line="207" w:lineRule="exact"/>
        <w:rPr>
          <w:rFonts w:ascii="Arial" w:cs="Arial" w:eastAsia="Arial" w:hAnsi="Arial"/>
          <w:sz w:val="21"/>
          <w:szCs w:val="21"/>
          <w:color w:val="auto"/>
        </w:rPr>
      </w:pPr>
    </w:p>
    <w:p>
      <w:pPr>
        <w:ind w:left="160" w:right="639" w:hanging="7"/>
        <w:spacing w:after="0" w:line="262" w:lineRule="auto"/>
        <w:tabs>
          <w:tab w:leader="none" w:pos="794"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Effect of Board’s Decision</w:t>
      </w:r>
      <w:r>
        <w:rPr>
          <w:rFonts w:ascii="Arial" w:cs="Arial" w:eastAsia="Arial" w:hAnsi="Arial"/>
          <w:sz w:val="21"/>
          <w:szCs w:val="21"/>
          <w:color w:val="auto"/>
        </w:rPr>
        <w:t>. All decisions, determinations and interpretations of the Board shall be final.</w:t>
      </w:r>
    </w:p>
    <w:p>
      <w:pPr>
        <w:spacing w:after="0" w:line="186" w:lineRule="exact"/>
        <w:rPr>
          <w:sz w:val="20"/>
          <w:szCs w:val="20"/>
          <w:color w:val="auto"/>
        </w:rPr>
      </w:pPr>
    </w:p>
    <w:p>
      <w:pPr>
        <w:jc w:val="both"/>
        <w:ind w:left="160" w:right="619" w:hanging="7"/>
        <w:spacing w:after="0" w:line="245" w:lineRule="auto"/>
        <w:tabs>
          <w:tab w:leader="none" w:pos="794" w:val="left"/>
        </w:tabs>
        <w:numPr>
          <w:ilvl w:val="0"/>
          <w:numId w:val="85"/>
        </w:numPr>
        <w:rPr>
          <w:rFonts w:ascii="Arial" w:cs="Arial" w:eastAsia="Arial" w:hAnsi="Arial"/>
          <w:sz w:val="21"/>
          <w:szCs w:val="21"/>
          <w:color w:val="auto"/>
        </w:rPr>
      </w:pPr>
      <w:r>
        <w:rPr>
          <w:rFonts w:ascii="Arial" w:cs="Arial" w:eastAsia="Arial" w:hAnsi="Arial"/>
          <w:sz w:val="21"/>
          <w:szCs w:val="21"/>
          <w:u w:val="single" w:color="auto"/>
          <w:color w:val="auto"/>
        </w:rPr>
        <w:t>Eligibility</w:t>
      </w:r>
      <w:r>
        <w:rPr>
          <w:rFonts w:ascii="Arial" w:cs="Arial" w:eastAsia="Arial" w:hAnsi="Arial"/>
          <w:sz w:val="21"/>
          <w:szCs w:val="21"/>
          <w:color w:val="auto"/>
        </w:rPr>
        <w:t>. Options may be granted only to Outside Directors. All Options shall be granted in accordance with the terms set forth in Section 4(b) hereof. An Outside Director who has been granted an option may, if he or she is otherwise eligible, be granted an additional Option or Options in accordance with such section.</w:t>
      </w:r>
    </w:p>
    <w:p>
      <w:pPr>
        <w:spacing w:after="0" w:line="202" w:lineRule="exact"/>
        <w:rPr>
          <w:sz w:val="20"/>
          <w:szCs w:val="20"/>
          <w:color w:val="auto"/>
        </w:rPr>
      </w:pPr>
    </w:p>
    <w:p>
      <w:pPr>
        <w:jc w:val="both"/>
        <w:ind w:left="160" w:right="619" w:firstLine="634"/>
        <w:spacing w:after="0" w:line="245" w:lineRule="auto"/>
        <w:rPr>
          <w:sz w:val="20"/>
          <w:szCs w:val="20"/>
          <w:color w:val="auto"/>
        </w:rPr>
      </w:pPr>
      <w:r>
        <w:rPr>
          <w:rFonts w:ascii="Arial" w:cs="Arial" w:eastAsia="Arial" w:hAnsi="Arial"/>
          <w:sz w:val="21"/>
          <w:szCs w:val="21"/>
          <w:color w:val="auto"/>
        </w:rPr>
        <w:t>The Plan shall not confer upon any Optionee any right with respect to continuation of service as a Director or nomination to serve as a Director, nor shall it interfere in any way with any rights which the Director or the Company may have to terminate his or her directorship at any time.</w:t>
      </w:r>
    </w:p>
    <w:p>
      <w:pPr>
        <w:spacing w:after="0" w:line="202" w:lineRule="exact"/>
        <w:rPr>
          <w:sz w:val="20"/>
          <w:szCs w:val="20"/>
          <w:color w:val="auto"/>
        </w:rPr>
      </w:pPr>
    </w:p>
    <w:p>
      <w:pPr>
        <w:jc w:val="both"/>
        <w:ind w:left="160" w:right="619" w:hanging="7"/>
        <w:spacing w:after="0" w:line="270" w:lineRule="auto"/>
        <w:tabs>
          <w:tab w:leader="none" w:pos="79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Term of Plan</w:t>
      </w:r>
      <w:r>
        <w:rPr>
          <w:rFonts w:ascii="Arial" w:cs="Arial" w:eastAsia="Arial" w:hAnsi="Arial"/>
          <w:sz w:val="19"/>
          <w:szCs w:val="19"/>
          <w:color w:val="auto"/>
        </w:rPr>
        <w:t>. The plan shall become effective as of May 16, 2014 and shall continue in effect until the tenth anniversary of the Effective Date, unless sooner terminated under Section</w:t>
      </w:r>
    </w:p>
    <w:p>
      <w:pPr>
        <w:spacing w:after="0" w:line="1" w:lineRule="exact"/>
        <w:rPr>
          <w:rFonts w:ascii="Arial" w:cs="Arial" w:eastAsia="Arial" w:hAnsi="Arial"/>
          <w:sz w:val="19"/>
          <w:szCs w:val="19"/>
          <w:color w:val="auto"/>
        </w:rPr>
      </w:pPr>
    </w:p>
    <w:p>
      <w:pPr>
        <w:ind w:left="420" w:hanging="267"/>
        <w:spacing w:after="0"/>
        <w:tabs>
          <w:tab w:leader="none" w:pos="420" w:val="left"/>
        </w:tabs>
        <w:numPr>
          <w:ilvl w:val="0"/>
          <w:numId w:val="87"/>
        </w:numPr>
        <w:rPr>
          <w:rFonts w:ascii="Arial" w:cs="Arial" w:eastAsia="Arial" w:hAnsi="Arial"/>
          <w:sz w:val="21"/>
          <w:szCs w:val="21"/>
          <w:color w:val="auto"/>
        </w:rPr>
      </w:pPr>
      <w:r>
        <w:rPr>
          <w:rFonts w:ascii="Arial" w:cs="Arial" w:eastAsia="Arial" w:hAnsi="Arial"/>
          <w:sz w:val="21"/>
          <w:szCs w:val="21"/>
          <w:color w:val="auto"/>
        </w:rPr>
        <w:t>of the plan.</w:t>
      </w:r>
    </w:p>
    <w:p>
      <w:pPr>
        <w:spacing w:after="0" w:line="215" w:lineRule="exact"/>
        <w:rPr>
          <w:rFonts w:ascii="Arial" w:cs="Arial" w:eastAsia="Arial" w:hAnsi="Arial"/>
          <w:sz w:val="21"/>
          <w:szCs w:val="21"/>
          <w:color w:val="auto"/>
        </w:rPr>
      </w:pPr>
    </w:p>
    <w:p>
      <w:pPr>
        <w:jc w:val="both"/>
        <w:ind w:left="160" w:right="619" w:hanging="7"/>
        <w:spacing w:after="0" w:line="251" w:lineRule="auto"/>
        <w:tabs>
          <w:tab w:leader="none" w:pos="794"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Means of Exercising Option</w:t>
      </w:r>
      <w:r>
        <w:rPr>
          <w:rFonts w:ascii="Arial" w:cs="Arial" w:eastAsia="Arial" w:hAnsi="Arial"/>
          <w:sz w:val="20"/>
          <w:szCs w:val="20"/>
          <w:color w:val="auto"/>
        </w:rPr>
        <w:t>. An Option shall be exercised by giving written notice to the Company at its principal office address. Such notice shall identify the Option being exercised and specify the number of Shares as to which such Option is being exercised, accompanied by full payment of the purchase price therefor either (a) in United States dollars in cash or by check, or (b) at the discretion of the Board, through delivery of Shares of Common Stock having a Fair Market Value equal as of the date of the exercise to the cash exercise price of the Option, or (c) at the discretion of the Board, through the use of some of the Shares for which the Option is being exercised, or (d) at the discretion of the Board, by any combination of (a) (b) and (c) above. If the Board exercises its discretion to permit payment of the exercise price of an Option by means of a method set forth in clause (b) (c) or (d) of the preceding sentence, such discretion shall be exercised in writing at the time of the grant of the Option in question. The holder of an Option shall not have the rights of a shareholder with respect to the Shares covered by the Option until the date of the issuance of a stock certificate to him (which may be in digital or electronic format) for such Shares.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3" w:lineRule="exact"/>
        <w:rPr>
          <w:rFonts w:ascii="Arial" w:cs="Arial" w:eastAsia="Arial" w:hAnsi="Arial"/>
          <w:sz w:val="20"/>
          <w:szCs w:val="20"/>
          <w:color w:val="auto"/>
        </w:rPr>
      </w:pPr>
    </w:p>
    <w:p>
      <w:pPr>
        <w:ind w:left="780" w:hanging="627"/>
        <w:spacing w:after="0"/>
        <w:tabs>
          <w:tab w:leader="none" w:pos="780" w:val="left"/>
        </w:tabs>
        <w:numPr>
          <w:ilvl w:val="0"/>
          <w:numId w:val="88"/>
        </w:numPr>
        <w:rPr>
          <w:rFonts w:ascii="Arial" w:cs="Arial" w:eastAsia="Arial" w:hAnsi="Arial"/>
          <w:sz w:val="21"/>
          <w:szCs w:val="21"/>
          <w:color w:val="auto"/>
        </w:rPr>
      </w:pPr>
      <w:r>
        <w:rPr>
          <w:rFonts w:ascii="Arial" w:cs="Arial" w:eastAsia="Arial" w:hAnsi="Arial"/>
          <w:sz w:val="21"/>
          <w:szCs w:val="21"/>
          <w:u w:val="single" w:color="auto"/>
          <w:color w:val="auto"/>
        </w:rPr>
        <w:t>Exercise of Option</w:t>
      </w:r>
      <w:r>
        <w:rPr>
          <w:rFonts w:ascii="Arial" w:cs="Arial" w:eastAsia="Arial" w:hAnsi="Arial"/>
          <w:sz w:val="21"/>
          <w:szCs w:val="21"/>
          <w:color w:val="auto"/>
        </w:rPr>
        <w:t>.</w:t>
      </w: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95250</wp:posOffset>
            </wp:positionV>
            <wp:extent cx="5231765" cy="336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5231765" cy="336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1" w:name="page72"/>
    <w:bookmarkEnd w:id="71"/>
    <w:p>
      <w:pPr>
        <w:jc w:val="both"/>
        <w:ind w:left="160" w:right="619" w:hanging="7"/>
        <w:spacing w:after="0" w:line="245" w:lineRule="auto"/>
        <w:tabs>
          <w:tab w:leader="none" w:pos="794"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Procedure for Exercise; Rights as a Stockholder</w:t>
      </w:r>
      <w:r>
        <w:rPr>
          <w:rFonts w:ascii="Arial" w:cs="Arial" w:eastAsia="Arial" w:hAnsi="Arial"/>
          <w:sz w:val="21"/>
          <w:szCs w:val="21"/>
          <w:color w:val="auto"/>
        </w:rPr>
        <w:t>. Any Option granted hereunder shall be exercisable at such times as are set forth in Section 4(b) hereof; provided, however, that no Options shall be exercisable until stockholder approval of the Plan in accordance with Section 17 hereof has been obtained.</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21"/>
          <w:szCs w:val="21"/>
          <w:color w:val="auto"/>
        </w:rPr>
        <w:t>An Option may not be exercised for a fraction of a Share.</w:t>
      </w:r>
    </w:p>
    <w:p>
      <w:pPr>
        <w:spacing w:after="0" w:line="234" w:lineRule="exact"/>
        <w:rPr>
          <w:sz w:val="20"/>
          <w:szCs w:val="20"/>
          <w:color w:val="auto"/>
        </w:rPr>
      </w:pPr>
    </w:p>
    <w:p>
      <w:pPr>
        <w:jc w:val="both"/>
        <w:ind w:left="160" w:right="639" w:firstLine="634"/>
        <w:spacing w:after="0" w:line="266" w:lineRule="auto"/>
        <w:rPr>
          <w:sz w:val="20"/>
          <w:szCs w:val="20"/>
          <w:color w:val="auto"/>
        </w:rPr>
      </w:pPr>
      <w:r>
        <w:rPr>
          <w:rFonts w:ascii="Arial" w:cs="Arial" w:eastAsia="Arial" w:hAnsi="Arial"/>
          <w:sz w:val="19"/>
          <w:szCs w:val="19"/>
          <w:color w:val="auto"/>
        </w:rPr>
        <w:t>An Option shall be deemed to be exercised when written notice of such exercise has been given to the Company in accordance with the terms of the Option by the person entitled to exercise the Option and full payment for the Shares with respect to which the Option is exercised has been received by the Company. Full payment may consist of any consideration and method of payment allocable under Section 7 of the Plan. Until the issuance (as evidenced by the appropriate entry on the books of the Company or of a duly authorized transfer agent of the Company) of the stock certificate evidencing such Shares, no right to vote or receive dividends or any other rights as a stockholder shall exist with respect to the Optioned stock, notwithstanding the exercise of the Option. A share certificate for the number of Shares so acquired shall be issued to the Optionee as soon as practicable after exercise of the Option. No adjustment will be made for a dividend or other right for which the record date is prior to the date the stock certificate is issued, except as provided in Section 10 of the Plan.</w:t>
      </w:r>
    </w:p>
    <w:p>
      <w:pPr>
        <w:spacing w:after="0" w:line="184" w:lineRule="exact"/>
        <w:rPr>
          <w:sz w:val="20"/>
          <w:szCs w:val="20"/>
          <w:color w:val="auto"/>
        </w:rPr>
      </w:pPr>
    </w:p>
    <w:p>
      <w:pPr>
        <w:jc w:val="both"/>
        <w:ind w:left="160" w:right="639" w:firstLine="634"/>
        <w:spacing w:after="0" w:line="249" w:lineRule="auto"/>
        <w:rPr>
          <w:sz w:val="20"/>
          <w:szCs w:val="20"/>
          <w:color w:val="auto"/>
        </w:rPr>
      </w:pPr>
      <w:r>
        <w:rPr>
          <w:rFonts w:ascii="Arial" w:cs="Arial" w:eastAsia="Arial" w:hAnsi="Arial"/>
          <w:sz w:val="21"/>
          <w:szCs w:val="21"/>
          <w:color w:val="auto"/>
        </w:rPr>
        <w:t>Exercise of an Option in any manner shall result in a decrease in the number of Shares which thereafter may be available, both for purposes of the Plan and for sale under the Option, by the number of Shares as to which the Option is exercised.</w:t>
      </w:r>
    </w:p>
    <w:p>
      <w:pPr>
        <w:spacing w:after="0" w:line="199" w:lineRule="exact"/>
        <w:rPr>
          <w:sz w:val="20"/>
          <w:szCs w:val="20"/>
          <w:color w:val="auto"/>
        </w:rPr>
      </w:pPr>
    </w:p>
    <w:p>
      <w:pPr>
        <w:jc w:val="both"/>
        <w:ind w:left="160" w:right="619" w:firstLine="1102"/>
        <w:spacing w:after="0"/>
        <w:tabs>
          <w:tab w:leader="none" w:pos="1700" w:val="left"/>
        </w:tabs>
        <w:numPr>
          <w:ilvl w:val="1"/>
          <w:numId w:val="90"/>
        </w:numPr>
        <w:rPr>
          <w:rFonts w:ascii="Arial" w:cs="Arial" w:eastAsia="Arial" w:hAnsi="Arial"/>
          <w:sz w:val="21"/>
          <w:szCs w:val="21"/>
          <w:color w:val="auto"/>
        </w:rPr>
      </w:pPr>
      <w:r>
        <w:rPr>
          <w:rFonts w:ascii="Arial" w:cs="Arial" w:eastAsia="Arial" w:hAnsi="Arial"/>
          <w:sz w:val="21"/>
          <w:szCs w:val="21"/>
          <w:u w:val="single" w:color="auto"/>
          <w:color w:val="auto"/>
        </w:rPr>
        <w:t>Termination of Continuous Status as an Outside Director</w:t>
      </w:r>
      <w:r>
        <w:rPr>
          <w:rFonts w:ascii="Arial" w:cs="Arial" w:eastAsia="Arial" w:hAnsi="Arial"/>
          <w:sz w:val="21"/>
          <w:szCs w:val="21"/>
          <w:color w:val="auto"/>
        </w:rPr>
        <w:t>. In the event an Optionee’s Continuous Status as an Outside Director terminates, the Optionee may exercise his or her Option but only within six months from the date of such termination, and only to the extent that the Optionee was entitled to exercise it at the date of such termination (but in no event later than the expiration of its ten-year term). To the extent that the Optionee was not entitled to exercise an Option at the date of such termination, and to the extent that the Optionee does not exercise such Option (to the extent otherwise so entitled) within the time specified herein, the Option shall terminate.</w:t>
      </w:r>
    </w:p>
    <w:p>
      <w:pPr>
        <w:spacing w:after="0" w:line="207" w:lineRule="exact"/>
        <w:rPr>
          <w:rFonts w:ascii="Arial" w:cs="Arial" w:eastAsia="Arial" w:hAnsi="Arial"/>
          <w:sz w:val="21"/>
          <w:szCs w:val="21"/>
          <w:color w:val="auto"/>
        </w:rPr>
      </w:pPr>
    </w:p>
    <w:p>
      <w:pPr>
        <w:jc w:val="both"/>
        <w:ind w:left="160" w:right="619" w:hanging="7"/>
        <w:spacing w:after="0" w:line="261" w:lineRule="auto"/>
        <w:tabs>
          <w:tab w:leader="none" w:pos="794"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Non-Transferability of Options</w:t>
      </w:r>
      <w:r>
        <w:rPr>
          <w:rFonts w:ascii="Arial" w:cs="Arial" w:eastAsia="Arial" w:hAnsi="Arial"/>
          <w:sz w:val="20"/>
          <w:szCs w:val="20"/>
          <w:color w:val="auto"/>
        </w:rPr>
        <w:t>. The Option may not be sold, pledged, assigned, hypothecated, transferred or disposed of in any manner other than by will, by law of descent or distribution or pursuant to qualified domestic relations order, and may be exercised during the lifetime of the Optionee only by the Optionee or a permitted transferee.</w:t>
      </w:r>
    </w:p>
    <w:p>
      <w:pPr>
        <w:spacing w:after="0" w:line="187" w:lineRule="exact"/>
        <w:rPr>
          <w:rFonts w:ascii="Arial" w:cs="Arial" w:eastAsia="Arial" w:hAnsi="Arial"/>
          <w:sz w:val="20"/>
          <w:szCs w:val="20"/>
          <w:color w:val="auto"/>
        </w:rPr>
      </w:pPr>
    </w:p>
    <w:p>
      <w:pPr>
        <w:ind w:left="780" w:hanging="627"/>
        <w:spacing w:after="0"/>
        <w:tabs>
          <w:tab w:leader="none" w:pos="780" w:val="left"/>
        </w:tabs>
        <w:numPr>
          <w:ilvl w:val="0"/>
          <w:numId w:val="91"/>
        </w:numPr>
        <w:rPr>
          <w:rFonts w:ascii="Arial" w:cs="Arial" w:eastAsia="Arial" w:hAnsi="Arial"/>
          <w:sz w:val="21"/>
          <w:szCs w:val="21"/>
          <w:color w:val="auto"/>
        </w:rPr>
      </w:pPr>
      <w:r>
        <w:rPr>
          <w:rFonts w:ascii="Arial" w:cs="Arial" w:eastAsia="Arial" w:hAnsi="Arial"/>
          <w:sz w:val="21"/>
          <w:szCs w:val="21"/>
          <w:u w:val="single" w:color="auto"/>
          <w:color w:val="auto"/>
        </w:rPr>
        <w:t>Adjustments</w:t>
      </w:r>
    </w:p>
    <w:p>
      <w:pPr>
        <w:spacing w:after="0" w:line="234" w:lineRule="exact"/>
        <w:rPr>
          <w:sz w:val="20"/>
          <w:szCs w:val="20"/>
          <w:color w:val="auto"/>
        </w:rPr>
      </w:pPr>
    </w:p>
    <w:p>
      <w:pPr>
        <w:jc w:val="both"/>
        <w:ind w:left="160" w:right="619" w:hanging="7"/>
        <w:spacing w:after="0" w:line="239" w:lineRule="auto"/>
        <w:tabs>
          <w:tab w:leader="none" w:pos="794"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Changes in Capitalization</w:t>
      </w:r>
      <w:r>
        <w:rPr>
          <w:rFonts w:ascii="Arial" w:cs="Arial" w:eastAsia="Arial" w:hAnsi="Arial"/>
          <w:sz w:val="21"/>
          <w:szCs w:val="21"/>
          <w:color w:val="auto"/>
        </w:rPr>
        <w:t>. In the event that the stock of the Company is changed by reason of any stock split, reverse stock split, recapitalization, or other change in the capital structure of the Company, or converted into or exchanged for other securities as a result of any merger, consolidation or reorganization, or in the event that the outstanding number of shares of stock of the Company is increased through payment of a stock dividend, appropriate proportionate adjustments shall be made in the number and class of shares of stock subject to the Plan, and the number and class of shares subject to any outstanding Option; provided, however, that the Company shall not be required to issue fractional shares as a result of any such adjustment.</w:t>
      </w:r>
    </w:p>
    <w:p>
      <w:pPr>
        <w:spacing w:after="0" w:line="226"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95250</wp:posOffset>
            </wp:positionV>
            <wp:extent cx="5231765" cy="33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5231765" cy="336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2" w:name="page73"/>
    <w:bookmarkEnd w:id="72"/>
    <w:p>
      <w:pPr>
        <w:jc w:val="both"/>
        <w:ind w:left="160" w:right="619"/>
        <w:spacing w:after="0" w:line="253" w:lineRule="auto"/>
        <w:rPr>
          <w:sz w:val="20"/>
          <w:szCs w:val="20"/>
          <w:color w:val="auto"/>
        </w:rPr>
      </w:pPr>
      <w:r>
        <w:rPr>
          <w:rFonts w:ascii="Arial" w:cs="Arial" w:eastAsia="Arial" w:hAnsi="Arial"/>
          <w:sz w:val="20"/>
          <w:szCs w:val="20"/>
          <w:color w:val="auto"/>
        </w:rPr>
        <w:t>Any such adjustment shall be made upon approval by the Board, whose determination shall be conclusive. If there is any other change in the number or type of the outstanding shares of stock of the Company, or of any other security into which such stock shall have been changed or for which it shall have been exchanged, and if the Board in its sole discretion determines that such change equitably requires an adjustment shall be made in accordance with the determination of the Board. No adjustments shall be required by reason of the issuance or sale by the Company for cash or other consideration of additional shares of its stock or securities convertible into or exchangeable for shares of its stock.</w:t>
      </w:r>
    </w:p>
    <w:p>
      <w:pPr>
        <w:spacing w:after="0" w:line="200" w:lineRule="exact"/>
        <w:rPr>
          <w:sz w:val="20"/>
          <w:szCs w:val="20"/>
          <w:color w:val="auto"/>
        </w:rPr>
      </w:pPr>
    </w:p>
    <w:p>
      <w:pPr>
        <w:jc w:val="both"/>
        <w:ind w:left="160" w:right="619" w:hanging="7"/>
        <w:spacing w:after="0" w:line="250" w:lineRule="auto"/>
        <w:tabs>
          <w:tab w:leader="none" w:pos="794"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Corporate Transactions</w:t>
      </w:r>
      <w:r>
        <w:rPr>
          <w:rFonts w:ascii="Arial" w:cs="Arial" w:eastAsia="Arial" w:hAnsi="Arial"/>
          <w:sz w:val="20"/>
          <w:szCs w:val="20"/>
          <w:color w:val="auto"/>
        </w:rPr>
        <w:t>. New Options (substantially equivalent to the Options) may be substituted for the Options granted under the Plan, or the Company’s duties as to Options outstanding under the Plan may be assumed, by an employer corporation other than the Company or by a parent or subsidiary of such employer corporation, in connection with any merger, consolidation, acquisition of assets or stock, separation, reorganization, liquidation, or like occurrence in which the Company is involved; provided, however, in the event such employer the Options granted hereunder or substituted for such Options substantially equivalent options, or if the Board determined, in its sole discretion, that Options outstanding under the Plans should not then continue to be outstanding, the Options granted hereunder shall terminate and thereupon become null and void (i) upon dissolution or liquidation of the Company, acquisition, separation, or similar occurrence, or (ii) upon any merger, consolidation or similar occurrence; provided, however, that each Optionee shall be given notice of such dissolution, liquidation, merger, consolidation or similar occurrence, and shall have the right, at any time prior to, but contingent upon the consummation of such transaction, to exercise (x) any unexpired Options granted hereunder to the extent they are then exercisable, and (y) in the case of a merger, consolidation or similar occurrence in which the Company is not the surviving corporation, those Options which are not them; provided, further, that such exercise right shall not in any event expire less than 30 days after the date that notice of such transaction is sent to the Optionee.</w:t>
      </w:r>
    </w:p>
    <w:p>
      <w:pPr>
        <w:spacing w:after="0" w:line="202" w:lineRule="exact"/>
        <w:rPr>
          <w:sz w:val="20"/>
          <w:szCs w:val="20"/>
          <w:color w:val="auto"/>
        </w:rPr>
      </w:pPr>
    </w:p>
    <w:p>
      <w:pPr>
        <w:jc w:val="both"/>
        <w:ind w:left="160" w:right="619" w:hanging="7"/>
        <w:spacing w:after="0" w:line="250" w:lineRule="auto"/>
        <w:tabs>
          <w:tab w:leader="none" w:pos="794" w:val="left"/>
        </w:tabs>
        <w:numPr>
          <w:ilvl w:val="0"/>
          <w:numId w:val="9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In the event of a Change in Control, if such Change in Control is not approved by a majority of the Directors, the Board shall cause written notice of the proposed transaction to be given to all Optionees not less than fifteen (15) days prior to the anticipated effective date of the proposed transaction and, concurrent with the effective date of the proposed transaction, all Options shall be accelerated and concurrent with such date the holders of such Options shall have the right to exercise such Options in respect to any or all shares subject thereto. The Board in its discretion may, at any time an Option is granted, or at any time thereafter (regardless of its acceleration or non-acceleration), take one or more of the following actions: (A) provide for the purchase of each Option for an amount of cash or other property that could have been received upon the exercise of the Option, (B) adjust the terms of the Options in a manner determined by the Board to reflect the Change in Control, (C) cause the Options to be continued or assumed, or new rights substitute therefor, by the surviving or another entity, through the continuance of the Plan and the continuation or assumption of outstanding Options or the substitution for such Options of new options of comparable value covering shares of a successor corporation, with appropriate adjustments as to the number and kind of shares and exercise prices, in which event the Plan and such Options, or the new options substituted therefor, shall continue in the manner and under the terms so provided or (D) make such other provision as the Board may consider equitable. In the event of a Change in Control in which the Options are not continued, assumed or substituted therefor by the surviving or another entity, regardless of whether such Change in Control is approved by a majority of the continuing Directors, the Options shall be</w:t>
      </w:r>
    </w:p>
    <w:p>
      <w:pPr>
        <w:spacing w:after="0" w:line="211"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95250</wp:posOffset>
            </wp:positionV>
            <wp:extent cx="5231765" cy="33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5231765" cy="336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3" w:name="page74"/>
    <w:bookmarkEnd w:id="73"/>
    <w:p>
      <w:pPr>
        <w:jc w:val="both"/>
        <w:ind w:left="160" w:right="619"/>
        <w:spacing w:after="0" w:line="274" w:lineRule="auto"/>
        <w:rPr>
          <w:sz w:val="20"/>
          <w:szCs w:val="20"/>
          <w:color w:val="auto"/>
        </w:rPr>
      </w:pPr>
      <w:r>
        <w:rPr>
          <w:rFonts w:ascii="Arial" w:cs="Arial" w:eastAsia="Arial" w:hAnsi="Arial"/>
          <w:sz w:val="19"/>
          <w:szCs w:val="19"/>
          <w:color w:val="auto"/>
        </w:rPr>
        <w:t>accelerated and fully exercisable upon the effective date of the Change in Control and the Board shall cause written notice of the proposed transaction to be given to all Optionees not less than fifteen (15) days prior to the anticipated effective date of the proposed transaction. The Board shall have the right with respect to any specific Option granted under the Plan, to provide that such Option shall be accelerated in any event upon the effective date of the Change in Control.</w:t>
      </w:r>
    </w:p>
    <w:p>
      <w:pPr>
        <w:spacing w:after="0" w:line="179" w:lineRule="exact"/>
        <w:rPr>
          <w:sz w:val="20"/>
          <w:szCs w:val="20"/>
          <w:color w:val="auto"/>
        </w:rPr>
      </w:pPr>
    </w:p>
    <w:p>
      <w:pPr>
        <w:ind w:left="780" w:hanging="627"/>
        <w:spacing w:after="0"/>
        <w:tabs>
          <w:tab w:leader="none" w:pos="780" w:val="left"/>
        </w:tabs>
        <w:numPr>
          <w:ilvl w:val="0"/>
          <w:numId w:val="95"/>
        </w:numPr>
        <w:rPr>
          <w:rFonts w:ascii="Arial" w:cs="Arial" w:eastAsia="Arial" w:hAnsi="Arial"/>
          <w:sz w:val="21"/>
          <w:szCs w:val="21"/>
          <w:color w:val="auto"/>
        </w:rPr>
      </w:pPr>
      <w:r>
        <w:rPr>
          <w:rFonts w:ascii="Arial" w:cs="Arial" w:eastAsia="Arial" w:hAnsi="Arial"/>
          <w:sz w:val="21"/>
          <w:szCs w:val="21"/>
          <w:u w:val="single" w:color="auto"/>
          <w:color w:val="auto"/>
        </w:rPr>
        <w:t>Amendment and Termination of the Plan</w:t>
      </w:r>
      <w:r>
        <w:rPr>
          <w:rFonts w:ascii="Arial" w:cs="Arial" w:eastAsia="Arial" w:hAnsi="Arial"/>
          <w:sz w:val="21"/>
          <w:szCs w:val="21"/>
          <w:color w:val="auto"/>
        </w:rPr>
        <w:t>.</w:t>
      </w:r>
    </w:p>
    <w:p>
      <w:pPr>
        <w:spacing w:after="0" w:line="234" w:lineRule="exact"/>
        <w:rPr>
          <w:sz w:val="20"/>
          <w:szCs w:val="20"/>
          <w:color w:val="auto"/>
        </w:rPr>
      </w:pPr>
    </w:p>
    <w:p>
      <w:pPr>
        <w:jc w:val="both"/>
        <w:ind w:left="160" w:right="639" w:hanging="7"/>
        <w:spacing w:after="0" w:line="256" w:lineRule="auto"/>
        <w:tabs>
          <w:tab w:leader="none" w:pos="794"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Amendment and Termination</w:t>
      </w:r>
      <w:r>
        <w:rPr>
          <w:rFonts w:ascii="Arial" w:cs="Arial" w:eastAsia="Arial" w:hAnsi="Arial"/>
          <w:sz w:val="20"/>
          <w:szCs w:val="20"/>
          <w:color w:val="auto"/>
        </w:rPr>
        <w:t>. The Board may at any time amend, alter, suspend or discontinue the plan, but no amendment, alteration, suspension or discontinuation shall be made which would impair the rights of any Optionee under any grant theretofore made, without his or her consent. In addition, to the extent necessary and desirable to comply with any applicable law or regulation, the Company shall obtain stockholder approval of any Plan amendment in such a manner and to such a degree as may be required.</w:t>
      </w:r>
    </w:p>
    <w:p>
      <w:pPr>
        <w:spacing w:after="0" w:line="191" w:lineRule="exact"/>
        <w:rPr>
          <w:rFonts w:ascii="Arial" w:cs="Arial" w:eastAsia="Arial" w:hAnsi="Arial"/>
          <w:sz w:val="20"/>
          <w:szCs w:val="20"/>
          <w:color w:val="auto"/>
        </w:rPr>
      </w:pPr>
    </w:p>
    <w:p>
      <w:pPr>
        <w:jc w:val="both"/>
        <w:ind w:left="160" w:right="639" w:hanging="7"/>
        <w:spacing w:after="0" w:line="249" w:lineRule="auto"/>
        <w:tabs>
          <w:tab w:leader="none" w:pos="794"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Effect of Amendment or Termination</w:t>
      </w:r>
      <w:r>
        <w:rPr>
          <w:rFonts w:ascii="Arial" w:cs="Arial" w:eastAsia="Arial" w:hAnsi="Arial"/>
          <w:sz w:val="21"/>
          <w:szCs w:val="21"/>
          <w:color w:val="auto"/>
        </w:rPr>
        <w:t>. Any such amendment or termination of the Plan shall not affect Options already granted and such Options shall remain in full force and effect as if this Plan had not been amended or terminated.</w:t>
      </w:r>
    </w:p>
    <w:p>
      <w:pPr>
        <w:spacing w:after="0" w:line="199" w:lineRule="exact"/>
        <w:rPr>
          <w:sz w:val="20"/>
          <w:szCs w:val="20"/>
          <w:color w:val="auto"/>
        </w:rPr>
      </w:pPr>
    </w:p>
    <w:p>
      <w:pPr>
        <w:jc w:val="both"/>
        <w:ind w:left="160" w:right="619" w:hanging="7"/>
        <w:spacing w:after="0" w:line="245" w:lineRule="auto"/>
        <w:tabs>
          <w:tab w:leader="none" w:pos="794"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Time of Granting Options</w:t>
      </w:r>
      <w:r>
        <w:rPr>
          <w:rFonts w:ascii="Arial" w:cs="Arial" w:eastAsia="Arial" w:hAnsi="Arial"/>
          <w:sz w:val="21"/>
          <w:szCs w:val="21"/>
          <w:color w:val="auto"/>
        </w:rPr>
        <w:t>. The date of grant of an Option shall, for all purposes, be the date determined in accordance with the Section 4(b) hereof. Notice of the determination shall be given to each Outside Director to whom an Option is so granted within a reasonable time after the date of such grant.</w:t>
      </w:r>
    </w:p>
    <w:p>
      <w:pPr>
        <w:spacing w:after="0" w:line="202" w:lineRule="exact"/>
        <w:rPr>
          <w:rFonts w:ascii="Arial" w:cs="Arial" w:eastAsia="Arial" w:hAnsi="Arial"/>
          <w:sz w:val="21"/>
          <w:szCs w:val="21"/>
          <w:color w:val="auto"/>
        </w:rPr>
      </w:pPr>
    </w:p>
    <w:p>
      <w:pPr>
        <w:jc w:val="both"/>
        <w:ind w:left="160" w:right="619" w:hanging="7"/>
        <w:spacing w:after="0" w:line="254" w:lineRule="auto"/>
        <w:tabs>
          <w:tab w:leader="none" w:pos="794"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Conditions Upon Issuance of Shares</w:t>
      </w:r>
      <w:r>
        <w:rPr>
          <w:rFonts w:ascii="Arial" w:cs="Arial" w:eastAsia="Arial" w:hAnsi="Arial"/>
          <w:sz w:val="20"/>
          <w:szCs w:val="20"/>
          <w:color w:val="auto"/>
        </w:rPr>
        <w:t>. Shares shall not be issued pursuant to the exercise of an Option unless the exercise of such Option and the issuance and delivery of such Shares pursuant thereto shall comply with all relevant provisions of law, including, without limitation, the Securities Act of 1933, as amended, the Exchange Act, the rules and regulations promulgated thereunder, state securities laws and the requirements of any stock exchange or market system upon which the Shares may then be listed, and shall be further subject to the approval of counsel for the Company with respect to such compliance.</w:t>
      </w:r>
    </w:p>
    <w:p>
      <w:pPr>
        <w:spacing w:after="0" w:line="198" w:lineRule="exact"/>
        <w:rPr>
          <w:sz w:val="20"/>
          <w:szCs w:val="20"/>
          <w:color w:val="auto"/>
        </w:rPr>
      </w:pPr>
    </w:p>
    <w:p>
      <w:pPr>
        <w:jc w:val="both"/>
        <w:ind w:left="160" w:right="639" w:firstLine="634"/>
        <w:spacing w:after="0" w:line="258" w:lineRule="auto"/>
        <w:rPr>
          <w:sz w:val="20"/>
          <w:szCs w:val="20"/>
          <w:color w:val="auto"/>
        </w:rPr>
      </w:pPr>
      <w:r>
        <w:rPr>
          <w:rFonts w:ascii="Arial" w:cs="Arial" w:eastAsia="Arial" w:hAnsi="Arial"/>
          <w:sz w:val="20"/>
          <w:szCs w:val="20"/>
          <w:color w:val="auto"/>
        </w:rPr>
        <w:t>As a condition to the exercise of an Option, the Company may require the person exercising such Option to represent and warrant at the time of any such exercise that the Shares are being purchased only for investment purposes and without any present intention to sell or distribute such Shares, in the opinion of counsel for the Company, such a representation is required by any of the aforementioned relevant provisions of law.</w:t>
      </w:r>
    </w:p>
    <w:p>
      <w:pPr>
        <w:spacing w:after="0" w:line="190" w:lineRule="exact"/>
        <w:rPr>
          <w:sz w:val="20"/>
          <w:szCs w:val="20"/>
          <w:color w:val="auto"/>
        </w:rPr>
      </w:pPr>
    </w:p>
    <w:p>
      <w:pPr>
        <w:jc w:val="both"/>
        <w:ind w:left="160" w:right="619" w:firstLine="634"/>
        <w:spacing w:after="0" w:line="242" w:lineRule="auto"/>
        <w:rPr>
          <w:sz w:val="20"/>
          <w:szCs w:val="20"/>
          <w:color w:val="auto"/>
        </w:rPr>
      </w:pPr>
      <w:r>
        <w:rPr>
          <w:rFonts w:ascii="Arial" w:cs="Arial" w:eastAsia="Arial" w:hAnsi="Arial"/>
          <w:sz w:val="21"/>
          <w:szCs w:val="21"/>
          <w:color w:val="auto"/>
        </w:rPr>
        <w:t>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9" w:lineRule="exact"/>
        <w:rPr>
          <w:sz w:val="20"/>
          <w:szCs w:val="20"/>
          <w:color w:val="auto"/>
        </w:rPr>
      </w:pPr>
    </w:p>
    <w:p>
      <w:pPr>
        <w:jc w:val="both"/>
        <w:ind w:left="160" w:right="619" w:hanging="7"/>
        <w:spacing w:after="0" w:line="249" w:lineRule="auto"/>
        <w:tabs>
          <w:tab w:leader="none" w:pos="794" w:val="left"/>
        </w:tabs>
        <w:numPr>
          <w:ilvl w:val="0"/>
          <w:numId w:val="98"/>
        </w:numPr>
        <w:rPr>
          <w:rFonts w:ascii="Arial" w:cs="Arial" w:eastAsia="Arial" w:hAnsi="Arial"/>
          <w:sz w:val="21"/>
          <w:szCs w:val="21"/>
          <w:color w:val="auto"/>
        </w:rPr>
      </w:pPr>
      <w:r>
        <w:rPr>
          <w:rFonts w:ascii="Arial" w:cs="Arial" w:eastAsia="Arial" w:hAnsi="Arial"/>
          <w:sz w:val="21"/>
          <w:szCs w:val="21"/>
          <w:u w:val="single" w:color="auto"/>
          <w:color w:val="auto"/>
        </w:rPr>
        <w:t>Reservation of Shares</w:t>
      </w:r>
      <w:r>
        <w:rPr>
          <w:rFonts w:ascii="Arial" w:cs="Arial" w:eastAsia="Arial" w:hAnsi="Arial"/>
          <w:sz w:val="21"/>
          <w:szCs w:val="21"/>
          <w:color w:val="auto"/>
        </w:rPr>
        <w:t>. The Company, during the term of this plan, will at all times reserve and keep available such number of Shares as shall be sufficient to satisfy the requirements of the Plan.</w:t>
      </w:r>
    </w:p>
    <w:p>
      <w:pPr>
        <w:spacing w:after="0" w:line="212"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95250</wp:posOffset>
            </wp:positionV>
            <wp:extent cx="5231765" cy="336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5231765" cy="336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4" w:name="page75"/>
    <w:bookmarkEnd w:id="74"/>
    <w:p>
      <w:pPr>
        <w:ind w:left="160" w:right="639" w:hanging="7"/>
        <w:spacing w:after="0" w:line="263" w:lineRule="auto"/>
        <w:tabs>
          <w:tab w:leader="none" w:pos="794" w:val="left"/>
        </w:tabs>
        <w:numPr>
          <w:ilvl w:val="0"/>
          <w:numId w:val="99"/>
        </w:numPr>
        <w:rPr>
          <w:rFonts w:ascii="Arial" w:cs="Arial" w:eastAsia="Arial" w:hAnsi="Arial"/>
          <w:sz w:val="21"/>
          <w:szCs w:val="21"/>
          <w:color w:val="auto"/>
        </w:rPr>
      </w:pPr>
      <w:r>
        <w:rPr>
          <w:rFonts w:ascii="Arial" w:cs="Arial" w:eastAsia="Arial" w:hAnsi="Arial"/>
          <w:sz w:val="21"/>
          <w:szCs w:val="21"/>
          <w:u w:val="single" w:color="auto"/>
          <w:color w:val="auto"/>
        </w:rPr>
        <w:t>Option Agreement</w:t>
      </w:r>
      <w:r>
        <w:rPr>
          <w:rFonts w:ascii="Arial" w:cs="Arial" w:eastAsia="Arial" w:hAnsi="Arial"/>
          <w:sz w:val="21"/>
          <w:szCs w:val="21"/>
          <w:color w:val="auto"/>
        </w:rPr>
        <w:t>. Options shall be evidenced by written option agreements in such form as the Board shall approve.</w:t>
      </w:r>
    </w:p>
    <w:p>
      <w:pPr>
        <w:spacing w:after="0" w:line="184" w:lineRule="exact"/>
        <w:rPr>
          <w:rFonts w:ascii="Arial" w:cs="Arial" w:eastAsia="Arial" w:hAnsi="Arial"/>
          <w:sz w:val="21"/>
          <w:szCs w:val="21"/>
          <w:color w:val="auto"/>
        </w:rPr>
      </w:pPr>
    </w:p>
    <w:p>
      <w:pPr>
        <w:jc w:val="both"/>
        <w:ind w:left="160" w:right="639" w:hanging="7"/>
        <w:spacing w:after="0" w:line="261" w:lineRule="auto"/>
        <w:tabs>
          <w:tab w:leader="none" w:pos="794"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Stockholder Approval</w:t>
      </w:r>
      <w:r>
        <w:rPr>
          <w:rFonts w:ascii="Arial" w:cs="Arial" w:eastAsia="Arial" w:hAnsi="Arial"/>
          <w:sz w:val="20"/>
          <w:szCs w:val="20"/>
          <w:color w:val="auto"/>
        </w:rPr>
        <w:t>. Continuance of the Plan shall be subject to approval by the stockholders of the Company at or prior to the first annual meeting of stockholders held subsequent to the first granting of an Option hereunder. Such stockholder approval shall be obtained in the degree and manner appropriate under applicable state and federal law.</w:t>
      </w:r>
    </w:p>
    <w:p>
      <w:pPr>
        <w:spacing w:after="0" w:line="201" w:lineRule="exact"/>
        <w:rPr>
          <w:sz w:val="20"/>
          <w:szCs w:val="20"/>
          <w:color w:val="auto"/>
        </w:rPr>
      </w:pPr>
    </w:p>
    <w:p>
      <w:pPr>
        <w:ind w:left="4220"/>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9019"/>
          </w:cols>
          <w:pgMar w:left="1440" w:top="118" w:right="1440" w:bottom="1440" w:gutter="0" w:footer="0" w:header="0"/>
        </w:sectPr>
      </w:pPr>
    </w:p>
    <w:bookmarkStart w:id="75" w:name="page76"/>
    <w:bookmarkEnd w:id="75"/>
    <w:p>
      <w:pPr>
        <w:jc w:val="center"/>
        <w:ind w:right="399"/>
        <w:spacing w:after="0"/>
        <w:rPr>
          <w:sz w:val="20"/>
          <w:szCs w:val="20"/>
          <w:color w:val="auto"/>
        </w:rPr>
      </w:pPr>
      <w:r>
        <w:rPr>
          <w:rFonts w:ascii="Arial" w:cs="Arial" w:eastAsia="Arial" w:hAnsi="Arial"/>
          <w:sz w:val="19"/>
          <w:szCs w:val="19"/>
          <w:color w:val="auto"/>
        </w:rPr>
        <w:t>EXHIBIT 21</w:t>
      </w:r>
    </w:p>
    <w:p>
      <w:pPr>
        <w:spacing w:after="0" w:line="232"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Subsidiaries of Security National Financial Corporation</w:t>
      </w:r>
    </w:p>
    <w:p>
      <w:pPr>
        <w:spacing w:after="0" w:line="45" w:lineRule="exact"/>
        <w:rPr>
          <w:sz w:val="20"/>
          <w:szCs w:val="20"/>
          <w:color w:val="auto"/>
        </w:rPr>
      </w:pPr>
    </w:p>
    <w:p>
      <w:pPr>
        <w:jc w:val="center"/>
        <w:ind w:right="399"/>
        <w:spacing w:after="0"/>
        <w:rPr>
          <w:sz w:val="20"/>
          <w:szCs w:val="20"/>
          <w:color w:val="auto"/>
        </w:rPr>
      </w:pPr>
      <w:r>
        <w:rPr>
          <w:rFonts w:ascii="Arial" w:cs="Arial" w:eastAsia="Arial" w:hAnsi="Arial"/>
          <w:sz w:val="19"/>
          <w:szCs w:val="19"/>
          <w:color w:val="auto"/>
        </w:rPr>
        <w:t>As of June 30, 2020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Life Insurance Segment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Security National Life Insurance Company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Reppond Holding Company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First Guaranty Insurance Company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Kilpatrick Life Insurance Company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Care Management Group,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Bluebonnet Properties,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Kilpatrick Financial,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Arbor Terrace,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Memorial Insurance Company of America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Southern Security Life Insurance Company,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Trans-Western Life Insurance Company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 Farmington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 Nevada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5300 Development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Ascension 433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 Diamond LLC</w:t>
      </w:r>
    </w:p>
    <w:p>
      <w:pPr>
        <w:spacing w:after="0" w:line="31" w:lineRule="exact"/>
        <w:rPr>
          <w:sz w:val="20"/>
          <w:szCs w:val="20"/>
          <w:color w:val="auto"/>
        </w:rPr>
      </w:pPr>
    </w:p>
    <w:p>
      <w:pPr>
        <w:ind w:right="2799"/>
        <w:spacing w:after="0" w:line="275" w:lineRule="auto"/>
        <w:rPr>
          <w:sz w:val="20"/>
          <w:szCs w:val="20"/>
          <w:color w:val="auto"/>
        </w:rPr>
      </w:pPr>
      <w:r>
        <w:rPr>
          <w:rFonts w:ascii="Arial" w:cs="Arial" w:eastAsia="Arial" w:hAnsi="Arial"/>
          <w:sz w:val="18"/>
          <w:szCs w:val="18"/>
          <w:color w:val="auto"/>
        </w:rPr>
        <w:t>Security National Real Estate Services, Inc. also dba Security National Commercial Capital Marketing Source Center, Inc. dba Security National Travel Services SNFC Subsidiary, LLC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American Funeral Financial,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FFC Acquisition Co., LLC dba Funeral Funding Center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Canadian Funeral Financial,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Mortician's Choice,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 &amp; J Financial,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Beta Capital Corp.</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Beneficiary Advance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SNA-Venture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SNA-VR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SNA-AM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SNA-GV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SNA-MM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SNA-RP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SNA-SP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SNA-SR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SNA-WC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SNA-MB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SNA-AS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SNA-SE LLC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SNA-MP LLC</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Mortgage Segment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SecurityNational Mortgage Company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EverLEND Mortgage Company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 Sunset LLC</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Cemetery/Mortuary Segment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California Memorial Estates,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Paradise Chapel Funeral Home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Holladay Memorial Park,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Cottonwood Mortuary,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Deseret Memorial,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Holladay Cottonwood Memorial Foundation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Memorial Estates,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Memorial Mortuary,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Affordable Funerals and Cremations of America, Inc.</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SN Probst LLC</w:t>
      </w:r>
    </w:p>
    <w:p>
      <w:pPr>
        <w:sectPr>
          <w:pgSz w:w="11900" w:h="16838" w:orient="portrait"/>
          <w:cols w:equalWidth="0" w:num="1">
            <w:col w:w="9239"/>
          </w:cols>
          <w:pgMar w:left="1220" w:top="122" w:right="1440" w:bottom="1440" w:gutter="0" w:footer="0" w:header="0"/>
        </w:sectPr>
      </w:pPr>
    </w:p>
    <w:bookmarkStart w:id="76" w:name="page77"/>
    <w:bookmarkEnd w:id="76"/>
    <w:p>
      <w:pPr>
        <w:ind w:left="3680"/>
        <w:spacing w:after="0"/>
        <w:rPr>
          <w:sz w:val="20"/>
          <w:szCs w:val="20"/>
          <w:color w:val="auto"/>
        </w:rPr>
      </w:pPr>
      <w:r>
        <w:rPr>
          <w:rFonts w:ascii="Arial" w:cs="Arial" w:eastAsia="Arial" w:hAnsi="Arial"/>
          <w:sz w:val="19"/>
          <w:szCs w:val="19"/>
          <w:color w:val="auto"/>
        </w:rPr>
        <w:t>EXHIBIT 31.1</w:t>
      </w:r>
    </w:p>
    <w:p>
      <w:pPr>
        <w:ind w:left="2420"/>
        <w:spacing w:after="0" w:line="184" w:lineRule="auto"/>
        <w:rPr>
          <w:sz w:val="20"/>
          <w:szCs w:val="20"/>
          <w:color w:val="auto"/>
        </w:rPr>
      </w:pPr>
      <w:r>
        <w:rPr>
          <w:rFonts w:ascii="Arial" w:cs="Arial" w:eastAsia="Arial" w:hAnsi="Arial"/>
          <w:sz w:val="19"/>
          <w:szCs w:val="19"/>
          <w:color w:val="auto"/>
        </w:rPr>
        <w:t>CERTIFICATION OF CHIEF EXECUTIVE OFFICER,</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AS REQUIRED BY SECTION 302 OF THE SARBANES-OXLEY ACT OF 2002</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19"/>
          <w:szCs w:val="19"/>
          <w:color w:val="auto"/>
        </w:rPr>
        <w:t>I, Scott M. Quist, certify that:</w:t>
      </w:r>
    </w:p>
    <w:p>
      <w:pPr>
        <w:spacing w:after="0" w:line="151" w:lineRule="exact"/>
        <w:rPr>
          <w:sz w:val="20"/>
          <w:szCs w:val="20"/>
          <w:color w:val="auto"/>
        </w:rPr>
      </w:pPr>
    </w:p>
    <w:p>
      <w:pPr>
        <w:ind w:left="340" w:hanging="187"/>
        <w:spacing w:after="0"/>
        <w:tabs>
          <w:tab w:leader="none" w:pos="3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 have reviewed this report on Form 10-Q of Security National Financial Corporation;</w:t>
      </w:r>
    </w:p>
    <w:p>
      <w:pPr>
        <w:spacing w:after="0" w:line="151" w:lineRule="exact"/>
        <w:rPr>
          <w:rFonts w:ascii="Arial" w:cs="Arial" w:eastAsia="Arial" w:hAnsi="Arial"/>
          <w:sz w:val="19"/>
          <w:szCs w:val="19"/>
          <w:color w:val="auto"/>
        </w:rPr>
      </w:pPr>
    </w:p>
    <w:p>
      <w:pPr>
        <w:jc w:val="both"/>
        <w:ind w:left="160" w:right="619" w:hanging="7"/>
        <w:spacing w:after="0" w:line="283" w:lineRule="auto"/>
        <w:tabs>
          <w:tab w:leader="none" w:pos="35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jc w:val="both"/>
        <w:ind w:left="160" w:right="619" w:hanging="7"/>
        <w:spacing w:after="0" w:line="261" w:lineRule="auto"/>
        <w:tabs>
          <w:tab w:leader="none" w:pos="38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9"/>
          <w:szCs w:val="19"/>
          <w:color w:val="auto"/>
        </w:rPr>
      </w:pPr>
    </w:p>
    <w:p>
      <w:pPr>
        <w:jc w:val="both"/>
        <w:ind w:left="160" w:right="619" w:hanging="7"/>
        <w:spacing w:after="0" w:line="256" w:lineRule="auto"/>
        <w:tabs>
          <w:tab w:leader="none" w:pos="40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9"/>
          <w:szCs w:val="19"/>
          <w:color w:val="auto"/>
        </w:rPr>
      </w:pPr>
    </w:p>
    <w:p>
      <w:pPr>
        <w:jc w:val="both"/>
        <w:ind w:left="160" w:right="619" w:firstLine="416"/>
        <w:spacing w:after="0" w:line="256" w:lineRule="auto"/>
        <w:tabs>
          <w:tab w:leader="none" w:pos="1032" w:val="left"/>
        </w:tabs>
        <w:numPr>
          <w:ilvl w:val="2"/>
          <w:numId w:val="100"/>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84" w:lineRule="exact"/>
        <w:rPr>
          <w:rFonts w:ascii="Arial" w:cs="Arial" w:eastAsia="Arial" w:hAnsi="Arial"/>
          <w:sz w:val="19"/>
          <w:szCs w:val="19"/>
          <w:color w:val="auto"/>
        </w:rPr>
      </w:pPr>
    </w:p>
    <w:p>
      <w:pPr>
        <w:jc w:val="both"/>
        <w:ind w:left="160" w:right="619" w:firstLine="416"/>
        <w:spacing w:after="0" w:line="256" w:lineRule="auto"/>
        <w:tabs>
          <w:tab w:leader="none" w:pos="1032" w:val="left"/>
        </w:tabs>
        <w:numPr>
          <w:ilvl w:val="2"/>
          <w:numId w:val="100"/>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Arial" w:cs="Arial" w:eastAsia="Arial" w:hAnsi="Arial"/>
          <w:sz w:val="19"/>
          <w:szCs w:val="19"/>
          <w:color w:val="auto"/>
        </w:rPr>
      </w:pPr>
    </w:p>
    <w:p>
      <w:pPr>
        <w:jc w:val="both"/>
        <w:ind w:left="160" w:right="619" w:firstLine="416"/>
        <w:spacing w:after="0" w:line="261" w:lineRule="auto"/>
        <w:tabs>
          <w:tab w:leader="none" w:pos="1032" w:val="left"/>
        </w:tabs>
        <w:numPr>
          <w:ilvl w:val="2"/>
          <w:numId w:val="100"/>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9"/>
          <w:szCs w:val="19"/>
          <w:color w:val="auto"/>
        </w:rPr>
      </w:pPr>
    </w:p>
    <w:p>
      <w:pPr>
        <w:jc w:val="both"/>
        <w:ind w:left="160" w:right="639" w:firstLine="416"/>
        <w:spacing w:after="0" w:line="256" w:lineRule="auto"/>
        <w:tabs>
          <w:tab w:leader="none" w:pos="1032" w:val="left"/>
        </w:tabs>
        <w:numPr>
          <w:ilvl w:val="2"/>
          <w:numId w:val="100"/>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9"/>
          <w:szCs w:val="19"/>
          <w:color w:val="auto"/>
        </w:rPr>
      </w:pPr>
    </w:p>
    <w:p>
      <w:pPr>
        <w:jc w:val="both"/>
        <w:ind w:left="160" w:right="619" w:hanging="7"/>
        <w:spacing w:after="0" w:line="261" w:lineRule="auto"/>
        <w:tabs>
          <w:tab w:leader="none" w:pos="36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9"/>
          <w:szCs w:val="19"/>
          <w:color w:val="auto"/>
        </w:rPr>
      </w:pPr>
    </w:p>
    <w:p>
      <w:pPr>
        <w:jc w:val="both"/>
        <w:ind w:left="160" w:right="619" w:firstLine="389"/>
        <w:spacing w:after="0" w:line="261" w:lineRule="auto"/>
        <w:tabs>
          <w:tab w:leader="none" w:pos="1032"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9"/>
          <w:szCs w:val="19"/>
          <w:color w:val="auto"/>
        </w:rPr>
      </w:pPr>
    </w:p>
    <w:p>
      <w:pPr>
        <w:ind w:left="160" w:right="619" w:firstLine="389"/>
        <w:spacing w:after="0" w:line="277" w:lineRule="auto"/>
        <w:tabs>
          <w:tab w:leader="none" w:pos="1032" w:val="left"/>
        </w:tabs>
        <w:numPr>
          <w:ilvl w:val="1"/>
          <w:numId w:val="100"/>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820"/>
        <w:spacing w:after="0"/>
        <w:tabs>
          <w:tab w:leader="none" w:pos="3760" w:val="left"/>
        </w:tabs>
        <w:rPr>
          <w:sz w:val="20"/>
          <w:szCs w:val="20"/>
          <w:color w:val="auto"/>
        </w:rPr>
      </w:pPr>
      <w:r>
        <w:rPr>
          <w:rFonts w:ascii="Arial" w:cs="Arial" w:eastAsia="Arial" w:hAnsi="Arial"/>
          <w:sz w:val="19"/>
          <w:szCs w:val="19"/>
          <w:color w:val="auto"/>
        </w:rPr>
        <w:t>Dated: August 14, 2020</w:t>
      </w:r>
      <w:r>
        <w:rPr>
          <w:sz w:val="20"/>
          <w:szCs w:val="20"/>
          <w:color w:val="auto"/>
        </w:rPr>
        <w:tab/>
      </w:r>
      <w:r>
        <w:rPr>
          <w:rFonts w:ascii="Arial" w:cs="Arial" w:eastAsia="Arial" w:hAnsi="Arial"/>
          <w:sz w:val="17"/>
          <w:szCs w:val="17"/>
          <w:u w:val="single" w:color="auto"/>
          <w:color w:val="auto"/>
        </w:rPr>
        <w:t>/s/ Scott M. Quist</w:t>
      </w:r>
    </w:p>
    <w:p>
      <w:pPr>
        <w:spacing w:after="0" w:line="46"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Scott M. Quist</w:t>
      </w:r>
    </w:p>
    <w:p>
      <w:pPr>
        <w:spacing w:after="0" w:line="46"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Chairman, President and Chief Executive Officer</w:t>
      </w:r>
    </w:p>
    <w:p>
      <w:pPr>
        <w:spacing w:after="0" w:line="46"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9019"/>
          </w:cols>
          <w:pgMar w:left="1440" w:top="121" w:right="1440" w:bottom="1440" w:gutter="0" w:footer="0" w:header="0"/>
        </w:sectPr>
      </w:pPr>
    </w:p>
    <w:bookmarkStart w:id="77" w:name="page78"/>
    <w:bookmarkEnd w:id="77"/>
    <w:p>
      <w:pPr>
        <w:jc w:val="center"/>
        <w:ind w:right="376"/>
        <w:spacing w:after="0"/>
        <w:rPr>
          <w:sz w:val="20"/>
          <w:szCs w:val="20"/>
          <w:color w:val="auto"/>
        </w:rPr>
      </w:pPr>
      <w:r>
        <w:rPr>
          <w:rFonts w:ascii="Arial" w:cs="Arial" w:eastAsia="Arial" w:hAnsi="Arial"/>
          <w:sz w:val="19"/>
          <w:szCs w:val="19"/>
          <w:color w:val="auto"/>
        </w:rPr>
        <w:t>EXHIBIT 31.2</w:t>
      </w:r>
    </w:p>
    <w:p>
      <w:pPr>
        <w:jc w:val="center"/>
        <w:ind w:right="376"/>
        <w:spacing w:after="0" w:line="184" w:lineRule="auto"/>
        <w:rPr>
          <w:sz w:val="20"/>
          <w:szCs w:val="20"/>
          <w:color w:val="auto"/>
        </w:rPr>
      </w:pPr>
      <w:r>
        <w:rPr>
          <w:rFonts w:ascii="Arial" w:cs="Arial" w:eastAsia="Arial" w:hAnsi="Arial"/>
          <w:sz w:val="19"/>
          <w:szCs w:val="19"/>
          <w:color w:val="auto"/>
        </w:rPr>
        <w:t>CERTIFICATION OF CHIEF FINANCIAL OFFICER,</w:t>
      </w:r>
    </w:p>
    <w:p>
      <w:pPr>
        <w:spacing w:after="0" w:line="1" w:lineRule="exact"/>
        <w:rPr>
          <w:sz w:val="20"/>
          <w:szCs w:val="20"/>
          <w:color w:val="auto"/>
        </w:rPr>
      </w:pPr>
    </w:p>
    <w:p>
      <w:pPr>
        <w:ind w:left="1203"/>
        <w:spacing w:after="0"/>
        <w:rPr>
          <w:sz w:val="20"/>
          <w:szCs w:val="20"/>
          <w:color w:val="auto"/>
        </w:rPr>
      </w:pPr>
      <w:r>
        <w:rPr>
          <w:rFonts w:ascii="Arial" w:cs="Arial" w:eastAsia="Arial" w:hAnsi="Arial"/>
          <w:sz w:val="19"/>
          <w:szCs w:val="19"/>
          <w:color w:val="auto"/>
        </w:rPr>
        <w:t>AS REQUIRED BY SECTION 302 OF THE SARBANES-OXLEY ACT OF 2002</w:t>
      </w:r>
    </w:p>
    <w:p>
      <w:pPr>
        <w:spacing w:after="0" w:line="56" w:lineRule="exact"/>
        <w:rPr>
          <w:sz w:val="20"/>
          <w:szCs w:val="20"/>
          <w:color w:val="auto"/>
        </w:rPr>
      </w:pPr>
    </w:p>
    <w:p>
      <w:pPr>
        <w:ind w:left="3"/>
        <w:spacing w:after="0"/>
        <w:rPr>
          <w:sz w:val="20"/>
          <w:szCs w:val="20"/>
          <w:color w:val="auto"/>
        </w:rPr>
      </w:pPr>
      <w:r>
        <w:rPr>
          <w:rFonts w:ascii="Arial" w:cs="Arial" w:eastAsia="Arial" w:hAnsi="Arial"/>
          <w:sz w:val="19"/>
          <w:szCs w:val="19"/>
          <w:color w:val="auto"/>
        </w:rPr>
        <w:t>I, Garrett S. Sill, certify that:</w:t>
      </w:r>
    </w:p>
    <w:p>
      <w:pPr>
        <w:spacing w:after="0" w:line="151" w:lineRule="exact"/>
        <w:rPr>
          <w:sz w:val="20"/>
          <w:szCs w:val="20"/>
          <w:color w:val="auto"/>
        </w:rPr>
      </w:pPr>
    </w:p>
    <w:p>
      <w:pPr>
        <w:ind w:left="203" w:hanging="203"/>
        <w:spacing w:after="0"/>
        <w:tabs>
          <w:tab w:leader="none" w:pos="203"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 have reviewed this report on Form 10-Q of Security National Financial Corporation;</w:t>
      </w:r>
    </w:p>
    <w:p>
      <w:pPr>
        <w:spacing w:after="0" w:line="151" w:lineRule="exact"/>
        <w:rPr>
          <w:rFonts w:ascii="Arial" w:cs="Arial" w:eastAsia="Arial" w:hAnsi="Arial"/>
          <w:sz w:val="19"/>
          <w:szCs w:val="19"/>
          <w:color w:val="auto"/>
        </w:rPr>
      </w:pPr>
    </w:p>
    <w:p>
      <w:pPr>
        <w:jc w:val="both"/>
        <w:ind w:left="3" w:right="399" w:hanging="3"/>
        <w:spacing w:after="0" w:line="261" w:lineRule="auto"/>
        <w:tabs>
          <w:tab w:leader="none" w:pos="20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5" w:lineRule="exact"/>
        <w:rPr>
          <w:rFonts w:ascii="Arial" w:cs="Arial" w:eastAsia="Arial" w:hAnsi="Arial"/>
          <w:sz w:val="19"/>
          <w:szCs w:val="19"/>
          <w:color w:val="auto"/>
        </w:rPr>
      </w:pPr>
    </w:p>
    <w:p>
      <w:pPr>
        <w:jc w:val="both"/>
        <w:ind w:left="3" w:right="399" w:hanging="3"/>
        <w:spacing w:after="0" w:line="261" w:lineRule="auto"/>
        <w:tabs>
          <w:tab w:leader="none" w:pos="20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9"/>
          <w:szCs w:val="19"/>
          <w:color w:val="auto"/>
        </w:rPr>
      </w:pPr>
    </w:p>
    <w:p>
      <w:pPr>
        <w:jc w:val="both"/>
        <w:ind w:left="3" w:right="399" w:hanging="3"/>
        <w:spacing w:after="0" w:line="283" w:lineRule="auto"/>
        <w:tabs>
          <w:tab w:leader="none" w:pos="22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3" w:right="379" w:firstLine="420"/>
        <w:spacing w:after="0" w:line="256" w:lineRule="auto"/>
        <w:tabs>
          <w:tab w:leader="none" w:pos="874" w:val="left"/>
        </w:tabs>
        <w:numPr>
          <w:ilvl w:val="2"/>
          <w:numId w:val="101"/>
        </w:numPr>
        <w:rPr>
          <w:rFonts w:ascii="Arial" w:cs="Arial" w:eastAsia="Arial" w:hAnsi="Arial"/>
          <w:sz w:val="19"/>
          <w:szCs w:val="19"/>
          <w:color w:val="auto"/>
        </w:rPr>
      </w:pPr>
      <w:r>
        <w:rPr>
          <w:rFonts w:ascii="Arial" w:cs="Arial" w:eastAsia="Arial" w:hAnsi="Arial"/>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110" w:lineRule="exact"/>
        <w:rPr>
          <w:rFonts w:ascii="Arial" w:cs="Arial" w:eastAsia="Arial" w:hAnsi="Arial"/>
          <w:sz w:val="19"/>
          <w:szCs w:val="19"/>
          <w:color w:val="auto"/>
        </w:rPr>
      </w:pPr>
    </w:p>
    <w:p>
      <w:pPr>
        <w:jc w:val="both"/>
        <w:ind w:left="3" w:right="399" w:firstLine="420"/>
        <w:spacing w:after="0" w:line="256" w:lineRule="auto"/>
        <w:tabs>
          <w:tab w:leader="none" w:pos="874" w:val="left"/>
        </w:tabs>
        <w:numPr>
          <w:ilvl w:val="2"/>
          <w:numId w:val="101"/>
        </w:numPr>
        <w:rPr>
          <w:rFonts w:ascii="Arial" w:cs="Arial" w:eastAsia="Arial" w:hAnsi="Arial"/>
          <w:sz w:val="19"/>
          <w:szCs w:val="19"/>
          <w:color w:val="auto"/>
        </w:rPr>
      </w:pPr>
      <w:r>
        <w:rPr>
          <w:rFonts w:ascii="Arial" w:cs="Arial" w:eastAsia="Arial" w:hAnsi="Arial"/>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9"/>
          <w:szCs w:val="19"/>
          <w:color w:val="auto"/>
        </w:rPr>
      </w:pPr>
    </w:p>
    <w:p>
      <w:pPr>
        <w:jc w:val="both"/>
        <w:ind w:left="3" w:right="399" w:firstLine="420"/>
        <w:spacing w:after="0" w:line="261" w:lineRule="auto"/>
        <w:tabs>
          <w:tab w:leader="none" w:pos="874" w:val="left"/>
        </w:tabs>
        <w:numPr>
          <w:ilvl w:val="2"/>
          <w:numId w:val="101"/>
        </w:numPr>
        <w:rPr>
          <w:rFonts w:ascii="Arial" w:cs="Arial" w:eastAsia="Arial" w:hAnsi="Arial"/>
          <w:sz w:val="19"/>
          <w:szCs w:val="19"/>
          <w:color w:val="auto"/>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9" w:lineRule="exact"/>
        <w:rPr>
          <w:rFonts w:ascii="Arial" w:cs="Arial" w:eastAsia="Arial" w:hAnsi="Arial"/>
          <w:sz w:val="19"/>
          <w:szCs w:val="19"/>
          <w:color w:val="auto"/>
        </w:rPr>
      </w:pPr>
    </w:p>
    <w:p>
      <w:pPr>
        <w:jc w:val="both"/>
        <w:ind w:left="3" w:right="399" w:firstLine="420"/>
        <w:spacing w:after="0" w:line="256" w:lineRule="auto"/>
        <w:tabs>
          <w:tab w:leader="none" w:pos="874" w:val="left"/>
        </w:tabs>
        <w:numPr>
          <w:ilvl w:val="2"/>
          <w:numId w:val="101"/>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9"/>
          <w:szCs w:val="19"/>
          <w:color w:val="auto"/>
        </w:rPr>
      </w:pPr>
    </w:p>
    <w:p>
      <w:pPr>
        <w:jc w:val="both"/>
        <w:ind w:left="3" w:right="399" w:hanging="3"/>
        <w:spacing w:after="0" w:line="261" w:lineRule="auto"/>
        <w:tabs>
          <w:tab w:leader="none" w:pos="202"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9" w:lineRule="exact"/>
        <w:rPr>
          <w:rFonts w:ascii="Arial" w:cs="Arial" w:eastAsia="Arial" w:hAnsi="Arial"/>
          <w:sz w:val="19"/>
          <w:szCs w:val="19"/>
          <w:color w:val="auto"/>
        </w:rPr>
      </w:pPr>
    </w:p>
    <w:p>
      <w:pPr>
        <w:jc w:val="both"/>
        <w:ind w:left="3" w:right="399" w:firstLine="393"/>
        <w:spacing w:after="0" w:line="261" w:lineRule="auto"/>
        <w:tabs>
          <w:tab w:leader="none" w:pos="87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9"/>
          <w:szCs w:val="19"/>
          <w:color w:val="auto"/>
        </w:rPr>
      </w:pPr>
    </w:p>
    <w:p>
      <w:pPr>
        <w:ind w:left="3" w:right="399" w:firstLine="393"/>
        <w:spacing w:after="0" w:line="277" w:lineRule="auto"/>
        <w:tabs>
          <w:tab w:leader="none" w:pos="87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743"/>
        <w:spacing w:after="0"/>
        <w:tabs>
          <w:tab w:leader="none" w:pos="3722" w:val="left"/>
        </w:tabs>
        <w:rPr>
          <w:sz w:val="20"/>
          <w:szCs w:val="20"/>
          <w:color w:val="auto"/>
        </w:rPr>
      </w:pPr>
      <w:r>
        <w:rPr>
          <w:rFonts w:ascii="Arial" w:cs="Arial" w:eastAsia="Arial" w:hAnsi="Arial"/>
          <w:sz w:val="19"/>
          <w:szCs w:val="19"/>
          <w:color w:val="auto"/>
        </w:rPr>
        <w:t>Dated: August 14, 2020</w:t>
      </w:r>
      <w:r>
        <w:rPr>
          <w:sz w:val="20"/>
          <w:szCs w:val="20"/>
          <w:color w:val="auto"/>
        </w:rPr>
        <w:tab/>
      </w:r>
      <w:r>
        <w:rPr>
          <w:rFonts w:ascii="Arial" w:cs="Arial" w:eastAsia="Arial" w:hAnsi="Arial"/>
          <w:sz w:val="17"/>
          <w:szCs w:val="17"/>
          <w:u w:val="single" w:color="auto"/>
          <w:color w:val="auto"/>
        </w:rPr>
        <w:t>/s/ Garrett S. Sill</w:t>
      </w:r>
    </w:p>
    <w:p>
      <w:pPr>
        <w:spacing w:after="0" w:line="46" w:lineRule="exact"/>
        <w:rPr>
          <w:sz w:val="20"/>
          <w:szCs w:val="20"/>
          <w:color w:val="auto"/>
        </w:rPr>
      </w:pPr>
    </w:p>
    <w:p>
      <w:pPr>
        <w:ind w:left="3743"/>
        <w:spacing w:after="0"/>
        <w:rPr>
          <w:sz w:val="20"/>
          <w:szCs w:val="20"/>
          <w:color w:val="auto"/>
        </w:rPr>
      </w:pPr>
      <w:r>
        <w:rPr>
          <w:rFonts w:ascii="Arial" w:cs="Arial" w:eastAsia="Arial" w:hAnsi="Arial"/>
          <w:sz w:val="19"/>
          <w:szCs w:val="19"/>
          <w:color w:val="auto"/>
        </w:rPr>
        <w:t>Garrett S. Sill</w:t>
      </w:r>
    </w:p>
    <w:p>
      <w:pPr>
        <w:spacing w:after="0" w:line="46" w:lineRule="exact"/>
        <w:rPr>
          <w:sz w:val="20"/>
          <w:szCs w:val="20"/>
          <w:color w:val="auto"/>
        </w:rPr>
      </w:pPr>
    </w:p>
    <w:p>
      <w:pPr>
        <w:ind w:left="3743"/>
        <w:spacing w:after="0"/>
        <w:rPr>
          <w:sz w:val="20"/>
          <w:szCs w:val="20"/>
          <w:color w:val="auto"/>
        </w:rPr>
      </w:pPr>
      <w:r>
        <w:rPr>
          <w:rFonts w:ascii="Arial" w:cs="Arial" w:eastAsia="Arial" w:hAnsi="Arial"/>
          <w:sz w:val="19"/>
          <w:szCs w:val="19"/>
          <w:color w:val="auto"/>
        </w:rPr>
        <w:t>Chief Financial Officer and Treasurer</w:t>
      </w:r>
    </w:p>
    <w:p>
      <w:pPr>
        <w:spacing w:after="0" w:line="32" w:lineRule="exact"/>
        <w:rPr>
          <w:sz w:val="20"/>
          <w:szCs w:val="20"/>
          <w:color w:val="auto"/>
        </w:rPr>
      </w:pPr>
    </w:p>
    <w:p>
      <w:pPr>
        <w:ind w:left="3743"/>
        <w:spacing w:after="0"/>
        <w:rPr>
          <w:sz w:val="20"/>
          <w:szCs w:val="20"/>
          <w:color w:val="auto"/>
        </w:rPr>
      </w:pPr>
      <w:r>
        <w:rPr>
          <w:rFonts w:ascii="Arial" w:cs="Arial" w:eastAsia="Arial" w:hAnsi="Arial"/>
          <w:sz w:val="19"/>
          <w:szCs w:val="19"/>
          <w:color w:val="auto"/>
        </w:rPr>
        <w:t>(Principal Financial Officer and Principal Accounting</w:t>
      </w:r>
    </w:p>
    <w:p>
      <w:pPr>
        <w:spacing w:after="0" w:line="22" w:lineRule="exact"/>
        <w:rPr>
          <w:sz w:val="20"/>
          <w:szCs w:val="20"/>
          <w:color w:val="auto"/>
        </w:rPr>
      </w:pPr>
    </w:p>
    <w:p>
      <w:pPr>
        <w:ind w:left="3743"/>
        <w:spacing w:after="0"/>
        <w:rPr>
          <w:sz w:val="20"/>
          <w:szCs w:val="20"/>
          <w:color w:val="auto"/>
        </w:rPr>
      </w:pPr>
      <w:r>
        <w:rPr>
          <w:rFonts w:ascii="Arial" w:cs="Arial" w:eastAsia="Arial" w:hAnsi="Arial"/>
          <w:sz w:val="19"/>
          <w:szCs w:val="19"/>
          <w:color w:val="auto"/>
        </w:rPr>
        <w:t>Officer)</w:t>
      </w:r>
    </w:p>
    <w:p>
      <w:pPr>
        <w:sectPr>
          <w:pgSz w:w="11900" w:h="16838" w:orient="portrait"/>
          <w:cols w:equalWidth="0" w:num="1">
            <w:col w:w="9262"/>
          </w:cols>
          <w:pgMar w:left="1197" w:top="121" w:right="1440" w:bottom="1440" w:gutter="0" w:footer="0" w:header="0"/>
        </w:sectPr>
      </w:pPr>
    </w:p>
    <w:bookmarkStart w:id="78" w:name="page79"/>
    <w:bookmarkEnd w:id="78"/>
    <w:p>
      <w:pPr>
        <w:ind w:left="160"/>
        <w:spacing w:after="0"/>
        <w:rPr>
          <w:sz w:val="20"/>
          <w:szCs w:val="20"/>
          <w:color w:val="auto"/>
        </w:rPr>
      </w:pPr>
      <w:r>
        <w:rPr>
          <w:rFonts w:ascii="Arial" w:cs="Arial" w:eastAsia="Arial" w:hAnsi="Arial"/>
          <w:sz w:val="19"/>
          <w:szCs w:val="19"/>
          <w:color w:val="auto"/>
        </w:rPr>
        <w:t>EXHIBIT 32.1</w:t>
      </w:r>
    </w:p>
    <w:p>
      <w:pPr>
        <w:jc w:val="center"/>
        <w:ind w:right="-160"/>
        <w:spacing w:after="0" w:line="184" w:lineRule="auto"/>
        <w:rPr>
          <w:sz w:val="20"/>
          <w:szCs w:val="20"/>
          <w:color w:val="auto"/>
        </w:rPr>
      </w:pPr>
      <w:r>
        <w:rPr>
          <w:rFonts w:ascii="Arial" w:cs="Arial" w:eastAsia="Arial" w:hAnsi="Arial"/>
          <w:sz w:val="19"/>
          <w:szCs w:val="19"/>
          <w:color w:val="auto"/>
        </w:rPr>
        <w:t>CERTIFICATION OF CHIEF EXECUTIVE OFFICER,</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19"/>
          <w:szCs w:val="19"/>
          <w:color w:val="auto"/>
        </w:rPr>
        <w:t>AS REQUIRED BY SECTION 906 OF THE SARBANES-OXLEY ACT OF 2002</w:t>
      </w:r>
    </w:p>
    <w:p>
      <w:pPr>
        <w:spacing w:after="0" w:line="56" w:lineRule="exact"/>
        <w:rPr>
          <w:sz w:val="20"/>
          <w:szCs w:val="20"/>
          <w:color w:val="auto"/>
        </w:rPr>
      </w:pPr>
    </w:p>
    <w:p>
      <w:pPr>
        <w:jc w:val="both"/>
        <w:ind w:left="160" w:right="639"/>
        <w:spacing w:after="0" w:line="271"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June 30, 2020,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99" w:lineRule="exact"/>
        <w:rPr>
          <w:sz w:val="20"/>
          <w:szCs w:val="20"/>
          <w:color w:val="auto"/>
        </w:rPr>
      </w:pPr>
    </w:p>
    <w:p>
      <w:pPr>
        <w:ind w:left="1480" w:right="619" w:hanging="682"/>
        <w:spacing w:after="0" w:line="277" w:lineRule="auto"/>
        <w:tabs>
          <w:tab w:leader="none" w:pos="14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as amended; and</w:t>
      </w:r>
    </w:p>
    <w:p>
      <w:pPr>
        <w:spacing w:after="0" w:line="89" w:lineRule="exact"/>
        <w:rPr>
          <w:rFonts w:ascii="Arial" w:cs="Arial" w:eastAsia="Arial" w:hAnsi="Arial"/>
          <w:sz w:val="19"/>
          <w:szCs w:val="19"/>
          <w:color w:val="auto"/>
        </w:rPr>
      </w:pPr>
    </w:p>
    <w:p>
      <w:pPr>
        <w:ind w:left="1480" w:right="639" w:hanging="682"/>
        <w:spacing w:after="0" w:line="277" w:lineRule="auto"/>
        <w:tabs>
          <w:tab w:leader="none" w:pos="148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3780" w:right="3879" w:hanging="3274"/>
        <w:spacing w:after="0" w:line="324" w:lineRule="auto"/>
        <w:tabs>
          <w:tab w:leader="none" w:pos="3760" w:val="left"/>
        </w:tabs>
        <w:rPr>
          <w:sz w:val="20"/>
          <w:szCs w:val="20"/>
          <w:color w:val="auto"/>
        </w:rPr>
      </w:pPr>
      <w:r>
        <w:rPr>
          <w:rFonts w:ascii="Arial" w:cs="Arial" w:eastAsia="Arial" w:hAnsi="Arial"/>
          <w:sz w:val="19"/>
          <w:szCs w:val="19"/>
          <w:color w:val="auto"/>
        </w:rPr>
        <w:t>Dated: August 14, 2020</w:t>
      </w:r>
      <w:r>
        <w:rPr>
          <w:sz w:val="20"/>
          <w:szCs w:val="20"/>
          <w:color w:val="auto"/>
        </w:rPr>
        <w:tab/>
      </w:r>
      <w:r>
        <w:rPr>
          <w:rFonts w:ascii="Arial" w:cs="Arial" w:eastAsia="Arial" w:hAnsi="Arial"/>
          <w:sz w:val="17"/>
          <w:szCs w:val="17"/>
          <w:u w:val="single" w:color="auto"/>
          <w:color w:val="auto"/>
        </w:rPr>
        <w:t xml:space="preserve">/s/ Scott M. Quist </w:t>
      </w:r>
      <w:r>
        <w:rPr>
          <w:rFonts w:ascii="Arial" w:cs="Arial" w:eastAsia="Arial" w:hAnsi="Arial"/>
          <w:sz w:val="17"/>
          <w:szCs w:val="17"/>
          <w:color w:val="auto"/>
        </w:rPr>
        <w:t>Scott M. Quist</w:t>
      </w:r>
    </w:p>
    <w:p>
      <w:pPr>
        <w:ind w:left="3780"/>
        <w:spacing w:after="0"/>
        <w:rPr>
          <w:sz w:val="20"/>
          <w:szCs w:val="20"/>
          <w:color w:val="auto"/>
        </w:rPr>
      </w:pPr>
      <w:r>
        <w:rPr>
          <w:rFonts w:ascii="Arial" w:cs="Arial" w:eastAsia="Arial" w:hAnsi="Arial"/>
          <w:sz w:val="19"/>
          <w:szCs w:val="19"/>
          <w:color w:val="auto"/>
        </w:rPr>
        <w:t>Chairman, President and Chief Executive Officer</w:t>
      </w:r>
    </w:p>
    <w:p>
      <w:pPr>
        <w:spacing w:after="0" w:line="46" w:lineRule="exact"/>
        <w:rPr>
          <w:sz w:val="20"/>
          <w:szCs w:val="20"/>
          <w:color w:val="auto"/>
        </w:rPr>
      </w:pPr>
    </w:p>
    <w:p>
      <w:pPr>
        <w:ind w:left="3780"/>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9019"/>
          </w:cols>
          <w:pgMar w:left="1440" w:top="122" w:right="1440" w:bottom="1440" w:gutter="0" w:footer="0" w:header="0"/>
        </w:sectPr>
      </w:pPr>
    </w:p>
    <w:bookmarkStart w:id="79" w:name="page80"/>
    <w:bookmarkEnd w:id="79"/>
    <w:p>
      <w:pPr>
        <w:spacing w:after="0"/>
        <w:rPr>
          <w:sz w:val="20"/>
          <w:szCs w:val="20"/>
          <w:color w:val="auto"/>
        </w:rPr>
      </w:pPr>
      <w:r>
        <w:rPr>
          <w:rFonts w:ascii="Arial" w:cs="Arial" w:eastAsia="Arial" w:hAnsi="Arial"/>
          <w:sz w:val="19"/>
          <w:szCs w:val="19"/>
          <w:color w:val="auto"/>
        </w:rPr>
        <w:t>EXHIBIT 32.2</w:t>
      </w:r>
    </w:p>
    <w:p>
      <w:pPr>
        <w:jc w:val="center"/>
        <w:ind w:right="379"/>
        <w:spacing w:after="0" w:line="185" w:lineRule="auto"/>
        <w:rPr>
          <w:sz w:val="20"/>
          <w:szCs w:val="20"/>
          <w:color w:val="auto"/>
        </w:rPr>
      </w:pPr>
      <w:r>
        <w:rPr>
          <w:rFonts w:ascii="Arial" w:cs="Arial" w:eastAsia="Arial" w:hAnsi="Arial"/>
          <w:sz w:val="19"/>
          <w:szCs w:val="19"/>
          <w:color w:val="auto"/>
        </w:rPr>
        <w:t>CERTIFICATION OF CHIEF FINANCIAL OFFICER,</w:t>
      </w:r>
    </w:p>
    <w:p>
      <w:pPr>
        <w:jc w:val="center"/>
        <w:ind w:right="379"/>
        <w:spacing w:after="0"/>
        <w:rPr>
          <w:sz w:val="20"/>
          <w:szCs w:val="20"/>
          <w:color w:val="auto"/>
        </w:rPr>
      </w:pPr>
      <w:r>
        <w:rPr>
          <w:rFonts w:ascii="Arial" w:cs="Arial" w:eastAsia="Arial" w:hAnsi="Arial"/>
          <w:sz w:val="19"/>
          <w:szCs w:val="19"/>
          <w:color w:val="auto"/>
        </w:rPr>
        <w:t>AS REQUIRED BY SECTION 906 OF THE SARBANES-OXLEY ACT OF 2002</w:t>
      </w:r>
    </w:p>
    <w:p>
      <w:pPr>
        <w:spacing w:after="0" w:line="56" w:lineRule="exact"/>
        <w:rPr>
          <w:sz w:val="20"/>
          <w:szCs w:val="20"/>
          <w:color w:val="auto"/>
        </w:rPr>
      </w:pPr>
    </w:p>
    <w:p>
      <w:pPr>
        <w:jc w:val="both"/>
        <w:ind w:right="379"/>
        <w:spacing w:after="0" w:line="254" w:lineRule="auto"/>
        <w:rPr>
          <w:sz w:val="20"/>
          <w:szCs w:val="20"/>
          <w:color w:val="auto"/>
        </w:rPr>
      </w:pPr>
      <w:r>
        <w:rPr>
          <w:rFonts w:ascii="Arial" w:cs="Arial" w:eastAsia="Arial" w:hAnsi="Arial"/>
          <w:sz w:val="19"/>
          <w:szCs w:val="19"/>
          <w:color w:val="auto"/>
        </w:rPr>
        <w:t>In connection with the Quarterly Report of Security National Financial Corporation (the “Company”) on Form 10-Q for the period ending June 30, 2020,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111" w:lineRule="exact"/>
        <w:rPr>
          <w:sz w:val="20"/>
          <w:szCs w:val="20"/>
          <w:color w:val="auto"/>
        </w:rPr>
      </w:pPr>
    </w:p>
    <w:p>
      <w:pPr>
        <w:ind w:left="1320" w:right="399" w:hanging="678"/>
        <w:spacing w:after="0" w:line="277" w:lineRule="auto"/>
        <w:tabs>
          <w:tab w:leader="none" w:pos="13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of the Securities Exchange Act of 1934, as amended; and</w:t>
      </w:r>
    </w:p>
    <w:p>
      <w:pPr>
        <w:spacing w:after="0" w:line="89" w:lineRule="exact"/>
        <w:rPr>
          <w:rFonts w:ascii="Arial" w:cs="Arial" w:eastAsia="Arial" w:hAnsi="Arial"/>
          <w:sz w:val="19"/>
          <w:szCs w:val="19"/>
          <w:color w:val="auto"/>
        </w:rPr>
      </w:pPr>
    </w:p>
    <w:p>
      <w:pPr>
        <w:ind w:left="1320" w:right="399" w:hanging="678"/>
        <w:spacing w:after="0" w:line="277" w:lineRule="auto"/>
        <w:tabs>
          <w:tab w:leader="none" w:pos="132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3740" w:right="4219" w:hanging="3353"/>
        <w:spacing w:after="0" w:line="324" w:lineRule="auto"/>
        <w:tabs>
          <w:tab w:leader="none" w:pos="3720" w:val="left"/>
        </w:tabs>
        <w:rPr>
          <w:sz w:val="20"/>
          <w:szCs w:val="20"/>
          <w:color w:val="auto"/>
        </w:rPr>
      </w:pPr>
      <w:r>
        <w:rPr>
          <w:rFonts w:ascii="Arial" w:cs="Arial" w:eastAsia="Arial" w:hAnsi="Arial"/>
          <w:sz w:val="19"/>
          <w:szCs w:val="19"/>
          <w:color w:val="auto"/>
        </w:rPr>
        <w:t>Dated: August 14, 2020</w:t>
      </w:r>
      <w:r>
        <w:rPr>
          <w:sz w:val="20"/>
          <w:szCs w:val="20"/>
          <w:color w:val="auto"/>
        </w:rPr>
        <w:tab/>
      </w:r>
      <w:r>
        <w:rPr>
          <w:rFonts w:ascii="Arial" w:cs="Arial" w:eastAsia="Arial" w:hAnsi="Arial"/>
          <w:sz w:val="17"/>
          <w:szCs w:val="17"/>
          <w:u w:val="single" w:color="auto"/>
          <w:color w:val="auto"/>
        </w:rPr>
        <w:t xml:space="preserve">/s/ Garrett S. Sill </w:t>
      </w:r>
      <w:r>
        <w:rPr>
          <w:rFonts w:ascii="Arial" w:cs="Arial" w:eastAsia="Arial" w:hAnsi="Arial"/>
          <w:sz w:val="17"/>
          <w:szCs w:val="17"/>
          <w:color w:val="auto"/>
        </w:rPr>
        <w:t>Garrett S. Sill</w:t>
      </w:r>
    </w:p>
    <w:p>
      <w:pPr>
        <w:ind w:left="3740"/>
        <w:spacing w:after="0"/>
        <w:rPr>
          <w:sz w:val="20"/>
          <w:szCs w:val="20"/>
          <w:color w:val="auto"/>
        </w:rPr>
      </w:pPr>
      <w:r>
        <w:rPr>
          <w:rFonts w:ascii="Arial" w:cs="Arial" w:eastAsia="Arial" w:hAnsi="Arial"/>
          <w:sz w:val="19"/>
          <w:szCs w:val="19"/>
          <w:color w:val="auto"/>
        </w:rPr>
        <w:t>Chief Financial Officer and Treasurer</w:t>
      </w:r>
    </w:p>
    <w:p>
      <w:pPr>
        <w:spacing w:after="0" w:line="32"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(Principal Financial Officer and Principal Accounting</w:t>
      </w:r>
    </w:p>
    <w:p>
      <w:pPr>
        <w:spacing w:after="0" w:line="22" w:lineRule="exact"/>
        <w:rPr>
          <w:sz w:val="20"/>
          <w:szCs w:val="20"/>
          <w:color w:val="auto"/>
        </w:rPr>
      </w:pPr>
    </w:p>
    <w:p>
      <w:pPr>
        <w:ind w:left="3740"/>
        <w:spacing w:after="0"/>
        <w:rPr>
          <w:sz w:val="20"/>
          <w:szCs w:val="20"/>
          <w:color w:val="auto"/>
        </w:rPr>
      </w:pPr>
      <w:r>
        <w:rPr>
          <w:rFonts w:ascii="Arial" w:cs="Arial" w:eastAsia="Arial" w:hAnsi="Arial"/>
          <w:sz w:val="19"/>
          <w:szCs w:val="19"/>
          <w:color w:val="auto"/>
        </w:rPr>
        <w:t>Officer)</w:t>
      </w:r>
    </w:p>
    <w:sectPr>
      <w:pgSz w:w="11900" w:h="16838" w:orient="portrait"/>
      <w:cols w:equalWidth="0" w:num="1">
        <w:col w:w="9259"/>
      </w:cols>
      <w:pgMar w:left="120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upperLetter"/>
      <w:start w:val="24"/>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1)"/>
      <w:numFmt w:val="decimal"/>
      <w:start w:val="1"/>
    </w:lvl>
  </w:abstractNum>
  <w:abstractNum w:abstractNumId="3">
    <w:nsid w:val="520EEDD1"/>
    <w:multiLevelType w:val="hybridMultilevel"/>
    <w:lvl w:ilvl="0">
      <w:lvlJc w:val="left"/>
      <w:lvlText w:val="%1)"/>
      <w:numFmt w:val="decimal"/>
      <w:start w:val="1"/>
    </w:lvl>
  </w:abstractNum>
  <w:abstractNum w:abstractNumId="4">
    <w:nsid w:val="374A3FE6"/>
    <w:multiLevelType w:val="hybridMultilevel"/>
    <w:lvl w:ilvl="0">
      <w:lvlJc w:val="left"/>
      <w:lvlText w:val="%1)"/>
      <w:numFmt w:val="decimal"/>
      <w:start w:val="2"/>
    </w:lvl>
  </w:abstractNum>
  <w:abstractNum w:abstractNumId="5">
    <w:nsid w:val="4F4EF005"/>
    <w:multiLevelType w:val="hybridMultilevel"/>
    <w:lvl w:ilvl="0">
      <w:lvlJc w:val="left"/>
      <w:lvlText w:val="%1)"/>
      <w:numFmt w:val="decimal"/>
      <w:start w:val="2"/>
    </w:lvl>
  </w:abstractNum>
  <w:abstractNum w:abstractNumId="6">
    <w:nsid w:val="23F9C13C"/>
    <w:multiLevelType w:val="hybridMultilevel"/>
    <w:lvl w:ilvl="0">
      <w:lvlJc w:val="left"/>
      <w:lvlText w:val="%1)"/>
      <w:numFmt w:val="decimal"/>
      <w:start w:val="2"/>
    </w:lvl>
  </w:abstractNum>
  <w:abstractNum w:abstractNumId="7">
    <w:nsid w:val="649BB77C"/>
    <w:multiLevelType w:val="hybridMultilevel"/>
    <w:lvl w:ilvl="0">
      <w:lvlJc w:val="left"/>
      <w:lvlText w:val="%1)"/>
      <w:numFmt w:val="decimal"/>
      <w:start w:val="3"/>
    </w:lvl>
  </w:abstractNum>
  <w:abstractNum w:abstractNumId="8">
    <w:nsid w:val="275AC794"/>
    <w:multiLevelType w:val="hybridMultilevel"/>
    <w:lvl w:ilvl="0">
      <w:lvlJc w:val="left"/>
      <w:lvlText w:val="%1)"/>
      <w:numFmt w:val="decimal"/>
      <w:start w:val="3"/>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1)"/>
      <w:numFmt w:val="decimal"/>
      <w:start w:val="3"/>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1)"/>
      <w:numFmt w:val="decimal"/>
      <w:start w:val="3"/>
    </w:lvl>
  </w:abstractNum>
  <w:abstractNum w:abstractNumId="15">
    <w:nsid w:val="15B5AF5C"/>
    <w:multiLevelType w:val="hybridMultilevel"/>
    <w:lvl w:ilvl="0">
      <w:lvlJc w:val="left"/>
      <w:lvlText w:val="%1)"/>
      <w:numFmt w:val="decimal"/>
      <w:start w:val="3"/>
    </w:lvl>
  </w:abstractNum>
  <w:abstractNum w:abstractNumId="16">
    <w:nsid w:val="741226BB"/>
    <w:multiLevelType w:val="hybridMultilevel"/>
    <w:lvl w:ilvl="0">
      <w:lvlJc w:val="left"/>
      <w:lvlText w:val="%1)"/>
      <w:numFmt w:val="decimal"/>
      <w:start w:val="3"/>
    </w:lvl>
  </w:abstractNum>
  <w:abstractNum w:abstractNumId="17">
    <w:nsid w:val="D34B6A8"/>
    <w:multiLevelType w:val="hybridMultilevel"/>
    <w:lvl w:ilvl="0">
      <w:lvlJc w:val="left"/>
      <w:lvlText w:val="(%1)"/>
      <w:numFmt w:val="decimal"/>
      <w:start w:val="1"/>
    </w:lvl>
  </w:abstractNum>
  <w:abstractNum w:abstractNumId="18">
    <w:nsid w:val="10233C99"/>
    <w:multiLevelType w:val="hybridMultilevel"/>
    <w:lvl w:ilvl="0">
      <w:lvlJc w:val="left"/>
      <w:lvlText w:val="%1)"/>
      <w:numFmt w:val="decimal"/>
      <w:start w:val="3"/>
    </w:lvl>
  </w:abstractNum>
  <w:abstractNum w:abstractNumId="19">
    <w:nsid w:val="3F6AB60F"/>
    <w:multiLevelType w:val="hybridMultilevel"/>
    <w:lvl w:ilvl="0">
      <w:lvlJc w:val="left"/>
      <w:lvlText w:val="%1)"/>
      <w:numFmt w:val="decimal"/>
      <w:start w:val="3"/>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decimal"/>
      <w:start w:val="3"/>
    </w:lvl>
  </w:abstractNum>
  <w:abstractNum w:abstractNumId="22">
    <w:nsid w:val="77AE35EB"/>
    <w:multiLevelType w:val="hybridMultilevel"/>
    <w:lvl w:ilvl="0">
      <w:lvlJc w:val="left"/>
      <w:lvlText w:val="%1)"/>
      <w:numFmt w:val="decimal"/>
      <w:start w:val="3"/>
    </w:lvl>
  </w:abstractNum>
  <w:abstractNum w:abstractNumId="23">
    <w:nsid w:val="579BE4F1"/>
    <w:multiLevelType w:val="hybridMultilevel"/>
    <w:lvl w:ilvl="0">
      <w:lvlJc w:val="left"/>
      <w:lvlText w:val="%1)"/>
      <w:numFmt w:val="decimal"/>
      <w:start w:val="3"/>
    </w:lvl>
  </w:abstractNum>
  <w:abstractNum w:abstractNumId="24">
    <w:nsid w:val="310C50B3"/>
    <w:multiLevelType w:val="hybridMultilevel"/>
    <w:lvl w:ilvl="0">
      <w:lvlJc w:val="left"/>
      <w:lvlText w:val="%1)"/>
      <w:numFmt w:val="decimal"/>
      <w:start w:val="3"/>
    </w:lvl>
  </w:abstractNum>
  <w:abstractNum w:abstractNumId="25">
    <w:nsid w:val="5FF87E05"/>
    <w:multiLevelType w:val="hybridMultilevel"/>
    <w:lvl w:ilvl="0">
      <w:lvlJc w:val="left"/>
      <w:lvlText w:val="%1)"/>
      <w:numFmt w:val="decimal"/>
      <w:start w:val="3"/>
    </w:lvl>
  </w:abstractNum>
  <w:abstractNum w:abstractNumId="26">
    <w:nsid w:val="2F305DEF"/>
    <w:multiLevelType w:val="hybridMultilevel"/>
    <w:lvl w:ilvl="0">
      <w:lvlJc w:val="left"/>
      <w:lvlText w:val="%1)"/>
      <w:numFmt w:val="decimal"/>
      <w:start w:val="4"/>
    </w:lvl>
  </w:abstractNum>
  <w:abstractNum w:abstractNumId="27">
    <w:nsid w:val="25A70BF7"/>
    <w:multiLevelType w:val="hybridMultilevel"/>
    <w:lvl w:ilvl="0">
      <w:lvlJc w:val="left"/>
      <w:lvlText w:val="%1)"/>
      <w:numFmt w:val="decimal"/>
      <w:start w:val="4"/>
    </w:lvl>
  </w:abstractNum>
  <w:abstractNum w:abstractNumId="28">
    <w:nsid w:val="1DBABF00"/>
    <w:multiLevelType w:val="hybridMultilevel"/>
    <w:lvl w:ilvl="0">
      <w:lvlJc w:val="left"/>
      <w:lvlText w:val="%1)"/>
      <w:numFmt w:val="decimal"/>
      <w:start w:val="4"/>
    </w:lvl>
  </w:abstractNum>
  <w:abstractNum w:abstractNumId="29">
    <w:nsid w:val="4AD084E9"/>
    <w:multiLevelType w:val="hybridMultilevel"/>
    <w:lvl w:ilvl="0">
      <w:lvlJc w:val="left"/>
      <w:lvlText w:val="%1)"/>
      <w:numFmt w:val="decimal"/>
      <w:start w:val="5"/>
    </w:lvl>
  </w:abstractNum>
  <w:abstractNum w:abstractNumId="30">
    <w:nsid w:val="1F48EAA1"/>
    <w:multiLevelType w:val="hybridMultilevel"/>
    <w:lvl w:ilvl="0">
      <w:lvlJc w:val="left"/>
      <w:lvlText w:val="%1)"/>
      <w:numFmt w:val="decimal"/>
      <w:start w:val="5"/>
    </w:lvl>
  </w:abstractNum>
  <w:abstractNum w:abstractNumId="31">
    <w:nsid w:val="1381823A"/>
    <w:multiLevelType w:val="hybridMultilevel"/>
    <w:lvl w:ilvl="0">
      <w:lvlJc w:val="left"/>
      <w:lvlText w:val="%1)"/>
      <w:numFmt w:val="decimal"/>
      <w:start w:val="6"/>
    </w:lvl>
  </w:abstractNum>
  <w:abstractNum w:abstractNumId="32">
    <w:nsid w:val="5DB70AE5"/>
    <w:multiLevelType w:val="hybridMultilevel"/>
    <w:lvl w:ilvl="0">
      <w:lvlJc w:val="left"/>
      <w:lvlText w:val="%1)"/>
      <w:numFmt w:val="decimal"/>
      <w:start w:val="7"/>
    </w:lvl>
  </w:abstractNum>
  <w:abstractNum w:abstractNumId="33">
    <w:nsid w:val="100F8FCA"/>
    <w:multiLevelType w:val="hybridMultilevel"/>
    <w:lvl w:ilvl="0">
      <w:lvlJc w:val="left"/>
      <w:lvlText w:val="%1)"/>
      <w:numFmt w:val="decimal"/>
      <w:start w:val="7"/>
    </w:lvl>
  </w:abstractNum>
  <w:abstractNum w:abstractNumId="34">
    <w:nsid w:val="6590700B"/>
    <w:multiLevelType w:val="hybridMultilevel"/>
    <w:lvl w:ilvl="0">
      <w:lvlJc w:val="left"/>
      <w:lvlText w:val="%1)"/>
      <w:numFmt w:val="decimal"/>
      <w:start w:val="8"/>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decimal"/>
      <w:start w:val="8"/>
    </w:lvl>
  </w:abstractNum>
  <w:abstractNum w:abstractNumId="37">
    <w:nsid w:val="98A3148"/>
    <w:multiLevelType w:val="hybridMultilevel"/>
    <w:lvl w:ilvl="0">
      <w:lvlJc w:val="left"/>
      <w:lvlText w:val="%1)"/>
      <w:numFmt w:val="decimal"/>
      <w:start w:val="8"/>
    </w:lvl>
  </w:abstractNum>
  <w:abstractNum w:abstractNumId="38">
    <w:nsid w:val="799D0247"/>
    <w:multiLevelType w:val="hybridMultilevel"/>
    <w:lvl w:ilvl="0">
      <w:lvlJc w:val="left"/>
      <w:lvlText w:val="(%1)"/>
      <w:numFmt w:val="decimal"/>
      <w:start w:val="1"/>
    </w:lvl>
  </w:abstractNum>
  <w:abstractNum w:abstractNumId="39">
    <w:nsid w:val="6B94764"/>
    <w:multiLevelType w:val="hybridMultilevel"/>
    <w:lvl w:ilvl="0">
      <w:lvlJc w:val="left"/>
      <w:lvlText w:val="%1)"/>
      <w:numFmt w:val="decimal"/>
      <w:start w:val="8"/>
    </w:lvl>
  </w:abstractNum>
  <w:abstractNum w:abstractNumId="40">
    <w:nsid w:val="42C296BD"/>
    <w:multiLevelType w:val="hybridMultilevel"/>
    <w:lvl w:ilvl="0">
      <w:lvlJc w:val="left"/>
      <w:lvlText w:val="(%1)"/>
      <w:numFmt w:val="decimal"/>
      <w:start w:val="1"/>
    </w:lvl>
  </w:abstractNum>
  <w:abstractNum w:abstractNumId="41">
    <w:nsid w:val="168E121F"/>
    <w:multiLevelType w:val="hybridMultilevel"/>
    <w:lvl w:ilvl="0">
      <w:lvlJc w:val="left"/>
      <w:lvlText w:val="%1)"/>
      <w:numFmt w:val="decimal"/>
      <w:start w:val="8"/>
    </w:lvl>
  </w:abstractNum>
  <w:abstractNum w:abstractNumId="42">
    <w:nsid w:val="1EBA5D23"/>
    <w:multiLevelType w:val="hybridMultilevel"/>
    <w:lvl w:ilvl="0">
      <w:lvlJc w:val="left"/>
      <w:lvlText w:val="%1)"/>
      <w:numFmt w:val="decimal"/>
      <w:start w:val="8"/>
    </w:lvl>
  </w:abstractNum>
  <w:abstractNum w:abstractNumId="43">
    <w:nsid w:val="661E3F1E"/>
    <w:multiLevelType w:val="hybridMultilevel"/>
    <w:lvl w:ilvl="0">
      <w:lvlJc w:val="left"/>
      <w:lvlText w:val="(%1)"/>
      <w:numFmt w:val="decimal"/>
      <w:start w:val="1"/>
    </w:lvl>
  </w:abstractNum>
  <w:abstractNum w:abstractNumId="44">
    <w:nsid w:val="5DC79EA8"/>
    <w:multiLevelType w:val="hybridMultilevel"/>
    <w:lvl w:ilvl="0">
      <w:lvlJc w:val="left"/>
      <w:lvlText w:val="%1)"/>
      <w:numFmt w:val="decimal"/>
      <w:start w:val="8"/>
    </w:lvl>
  </w:abstractNum>
  <w:abstractNum w:abstractNumId="45">
    <w:nsid w:val="540A471C"/>
    <w:multiLevelType w:val="hybridMultilevel"/>
    <w:lvl w:ilvl="0">
      <w:lvlJc w:val="left"/>
      <w:lvlText w:val="%1)"/>
      <w:numFmt w:val="decimal"/>
      <w:start w:val="8"/>
    </w:lvl>
  </w:abstractNum>
  <w:abstractNum w:abstractNumId="46">
    <w:nsid w:val="7BD3EE7B"/>
    <w:multiLevelType w:val="hybridMultilevel"/>
    <w:lvl w:ilvl="0">
      <w:lvlJc w:val="left"/>
      <w:lvlText w:val="(%1)"/>
      <w:numFmt w:val="decimal"/>
      <w:start w:val="1"/>
    </w:lvl>
  </w:abstractNum>
  <w:abstractNum w:abstractNumId="47">
    <w:nsid w:val="51D9C564"/>
    <w:multiLevelType w:val="hybridMultilevel"/>
    <w:lvl w:ilvl="0">
      <w:lvlJc w:val="left"/>
      <w:lvlText w:val="%1)"/>
      <w:numFmt w:val="decimal"/>
      <w:start w:val="8"/>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8"/>
    </w:lvl>
  </w:abstractNum>
  <w:abstractNum w:abstractNumId="50">
    <w:nsid w:val="11447B73"/>
    <w:multiLevelType w:val="hybridMultilevel"/>
    <w:lvl w:ilvl="0">
      <w:lvlJc w:val="left"/>
      <w:lvlText w:val="%1)"/>
      <w:numFmt w:val="decimal"/>
      <w:start w:val="9"/>
    </w:lvl>
  </w:abstractNum>
  <w:abstractNum w:abstractNumId="51">
    <w:nsid w:val="42963E5A"/>
    <w:multiLevelType w:val="hybridMultilevel"/>
    <w:lvl w:ilvl="0">
      <w:lvlJc w:val="left"/>
      <w:lvlText w:val="%1)"/>
      <w:numFmt w:val="decimal"/>
      <w:start w:val="10"/>
    </w:lvl>
  </w:abstractNum>
  <w:abstractNum w:abstractNumId="52">
    <w:nsid w:val="A0382C5"/>
    <w:multiLevelType w:val="hybridMultilevel"/>
    <w:lvl w:ilvl="0">
      <w:lvlJc w:val="left"/>
      <w:lvlText w:val="%1)"/>
      <w:numFmt w:val="decimal"/>
      <w:start w:val="10"/>
    </w:lvl>
  </w:abstractNum>
  <w:abstractNum w:abstractNumId="53">
    <w:nsid w:val="8F2B15E"/>
    <w:multiLevelType w:val="hybridMultilevel"/>
    <w:lvl w:ilvl="0">
      <w:lvlJc w:val="left"/>
      <w:lvlText w:val="%1)"/>
      <w:numFmt w:val="decimal"/>
      <w:start w:val="10"/>
    </w:lvl>
  </w:abstractNum>
  <w:abstractNum w:abstractNumId="54">
    <w:nsid w:val="1A32234B"/>
    <w:multiLevelType w:val="hybridMultilevel"/>
    <w:lvl w:ilvl="0">
      <w:lvlJc w:val="left"/>
      <w:lvlText w:val="%1)"/>
      <w:numFmt w:val="decimal"/>
      <w:start w:val="11"/>
    </w:lvl>
  </w:abstractNum>
  <w:abstractNum w:abstractNumId="55">
    <w:nsid w:val="3B0FD379"/>
    <w:multiLevelType w:val="hybridMultilevel"/>
    <w:lvl w:ilvl="0">
      <w:lvlJc w:val="left"/>
      <w:lvlText w:val="%1)"/>
      <w:numFmt w:val="decimal"/>
      <w:start w:val="11"/>
    </w:lvl>
  </w:abstractNum>
  <w:abstractNum w:abstractNumId="56">
    <w:nsid w:val="68EB2F63"/>
    <w:multiLevelType w:val="hybridMultilevel"/>
    <w:lvl w:ilvl="0">
      <w:lvlJc w:val="left"/>
      <w:lvlText w:val="%1)"/>
      <w:numFmt w:val="decimal"/>
      <w:start w:val="11"/>
    </w:lvl>
  </w:abstractNum>
  <w:abstractNum w:abstractNumId="57">
    <w:nsid w:val="4962813B"/>
    <w:multiLevelType w:val="hybridMultilevel"/>
    <w:lvl w:ilvl="0">
      <w:lvlJc w:val="left"/>
      <w:lvlText w:val="%1)"/>
      <w:numFmt w:val="decimal"/>
      <w:start w:val="11"/>
    </w:lvl>
  </w:abstractNum>
  <w:abstractNum w:abstractNumId="58">
    <w:nsid w:val="60B6DF70"/>
    <w:multiLevelType w:val="hybridMultilevel"/>
    <w:lvl w:ilvl="0">
      <w:lvlJc w:val="left"/>
      <w:lvlText w:val="%1)"/>
      <w:numFmt w:val="decimal"/>
      <w:start w:val="11"/>
    </w:lvl>
  </w:abstractNum>
  <w:abstractNum w:abstractNumId="59">
    <w:nsid w:val="6A5EE64"/>
    <w:multiLevelType w:val="hybridMultilevel"/>
    <w:lvl w:ilvl="0">
      <w:lvlJc w:val="left"/>
      <w:lvlText w:val="%1)"/>
      <w:numFmt w:val="decimal"/>
      <w:start w:val="12"/>
    </w:lvl>
  </w:abstractNum>
  <w:abstractNum w:abstractNumId="60">
    <w:nsid w:val="14330624"/>
    <w:multiLevelType w:val="hybridMultilevel"/>
    <w:lvl w:ilvl="0">
      <w:lvlJc w:val="left"/>
      <w:lvlText w:val="%1)"/>
      <w:numFmt w:val="decimal"/>
      <w:start w:val="12"/>
    </w:lvl>
  </w:abstractNum>
  <w:abstractNum w:abstractNumId="61">
    <w:nsid w:val="7FFFCA11"/>
    <w:multiLevelType w:val="hybridMultilevel"/>
    <w:lvl w:ilvl="0">
      <w:lvlJc w:val="left"/>
      <w:lvlText w:val="%1)"/>
      <w:numFmt w:val="decimal"/>
      <w:start w:val="13"/>
    </w:lvl>
  </w:abstractNum>
  <w:abstractNum w:abstractNumId="62">
    <w:nsid w:val="1A27709E"/>
    <w:multiLevelType w:val="hybridMultilevel"/>
    <w:lvl w:ilvl="0">
      <w:lvlJc w:val="left"/>
      <w:lvlText w:val="%1)"/>
      <w:numFmt w:val="decimal"/>
      <w:start w:val="14"/>
    </w:lvl>
  </w:abstractNum>
  <w:abstractNum w:abstractNumId="63">
    <w:nsid w:val="71EA1109"/>
    <w:multiLevelType w:val="hybridMultilevel"/>
    <w:lvl w:ilvl="0">
      <w:lvlJc w:val="left"/>
      <w:lvlText w:val="%1)"/>
      <w:numFmt w:val="decimal"/>
      <w:start w:val="14"/>
    </w:lvl>
  </w:abstractNum>
  <w:abstractNum w:abstractNumId="64">
    <w:nsid w:val="100F59DC"/>
    <w:multiLevelType w:val="hybridMultilevel"/>
    <w:lvl w:ilvl="0">
      <w:lvlJc w:val="left"/>
      <w:lvlText w:val="%1)"/>
      <w:numFmt w:val="decimal"/>
      <w:start w:val="15"/>
    </w:lvl>
  </w:abstractNum>
  <w:abstractNum w:abstractNumId="65">
    <w:nsid w:val="7FB7E0AA"/>
    <w:multiLevelType w:val="hybridMultilevel"/>
    <w:lvl w:ilvl="0">
      <w:lvlJc w:val="left"/>
      <w:lvlText w:val="%1)"/>
      <w:numFmt w:val="decimal"/>
      <w:start w:val="15"/>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1)"/>
      <w:numFmt w:val="decimal"/>
      <w:start w:val="15"/>
    </w:lvl>
  </w:abstractNum>
  <w:abstractNum w:abstractNumId="68">
    <w:nsid w:val="94211F2"/>
    <w:multiLevelType w:val="hybridMultilevel"/>
    <w:lvl w:ilvl="0">
      <w:lvlJc w:val="left"/>
      <w:lvlText w:val="(%1)"/>
      <w:numFmt w:val="decimal"/>
      <w:start w:val="1"/>
    </w:lvl>
  </w:abstractNum>
  <w:abstractNum w:abstractNumId="69">
    <w:nsid w:val="885E1B"/>
    <w:multiLevelType w:val="hybridMultilevel"/>
    <w:lvl w:ilvl="0">
      <w:lvlJc w:val="left"/>
      <w:lvlText w:val="(%1)"/>
      <w:numFmt w:val="lowerRoman"/>
      <w:start w:val="3"/>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1"/>
      <w:numFmt w:val="decimal"/>
      <w:start w:val="14"/>
    </w:lvl>
  </w:abstractNum>
  <w:abstractNum w:abstractNumId="72">
    <w:nsid w:val="1716703B"/>
    <w:multiLevelType w:val="hybridMultilevel"/>
    <w:lvl w:ilvl="0">
      <w:lvlJc w:val="left"/>
      <w:lvlText w:val="%1"/>
      <w:numFmt w:val="decimal"/>
      <w:start w:val="21"/>
    </w:lvl>
  </w:abstractNum>
  <w:abstractNum w:abstractNumId="73">
    <w:nsid w:val="14E17E33"/>
    <w:multiLevelType w:val="hybridMultilevel"/>
    <w:lvl w:ilvl="0">
      <w:lvlJc w:val="left"/>
      <w:lvlText w:val="(%1)"/>
      <w:numFmt w:val="decimal"/>
      <w:start w:val="1"/>
    </w:lvl>
  </w:abstractNum>
  <w:abstractNum w:abstractNumId="74">
    <w:nsid w:val="3222E7CD"/>
    <w:multiLevelType w:val="hybridMultilevel"/>
    <w:lvl w:ilvl="0">
      <w:lvlJc w:val="left"/>
      <w:lvlText w:val="%1."/>
      <w:numFmt w:val="decimal"/>
      <w:start w:val="1"/>
    </w:lvl>
  </w:abstractNum>
  <w:abstractNum w:abstractNumId="75">
    <w:nsid w:val="74DE0EE3"/>
    <w:multiLevelType w:val="hybridMultilevel"/>
    <w:lvl w:ilvl="0">
      <w:lvlJc w:val="left"/>
      <w:lvlText w:val="%1."/>
      <w:numFmt w:val="decimal"/>
      <w:start w:val="2"/>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1"/>
      <w:numFmt w:val="lowerLetter"/>
      <w:start w:val="1"/>
    </w:lvl>
    <w:lvl w:ilvl="1">
      <w:lvlJc w:val="left"/>
      <w:lvlText w:val="(%2)"/>
      <w:numFmt w:val="lowerRoman"/>
      <w:start w:val="1"/>
    </w:lvl>
  </w:abstractNum>
  <w:abstractNum w:abstractNumId="78">
    <w:nsid w:val="46B7D447"/>
    <w:multiLevelType w:val="hybridMultilevel"/>
    <w:lvl w:ilvl="0">
      <w:lvlJc w:val="left"/>
      <w:lvlText w:val="(%1)"/>
      <w:numFmt w:val="lowerLetter"/>
      <w:start w:val="11"/>
    </w:lvl>
    <w:lvl w:ilvl="1">
      <w:lvlJc w:val="left"/>
      <w:lvlText w:val="%2"/>
      <w:numFmt w:val="lowerRoman"/>
      <w:start w:val="1"/>
    </w:lvl>
  </w:abstractNum>
  <w:abstractNum w:abstractNumId="79">
    <w:nsid w:val="4A2AC315"/>
    <w:multiLevelType w:val="hybridMultilevel"/>
    <w:lvl w:ilvl="0">
      <w:lvlJc w:val="left"/>
      <w:lvlText w:val="%1."/>
      <w:numFmt w:val="decimal"/>
      <w:start w:val="3"/>
    </w:lvl>
  </w:abstractNum>
  <w:abstractNum w:abstractNumId="80">
    <w:nsid w:val="39EE015C"/>
    <w:multiLevelType w:val="hybridMultilevel"/>
    <w:lvl w:ilvl="0">
      <w:lvlJc w:val="left"/>
      <w:lvlText w:val="%1."/>
      <w:numFmt w:val="decimal"/>
      <w:start w:val="4"/>
    </w:lvl>
  </w:abstractNum>
  <w:abstractNum w:abstractNumId="81">
    <w:nsid w:val="57FC4FB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2">
    <w:nsid w:val="CC1016F"/>
    <w:multiLevelType w:val="hybridMultilevel"/>
    <w:lvl w:ilvl="0">
      <w:lvlJc w:val="left"/>
      <w:lvlText w:val="%1"/>
      <w:numFmt w:val="lowerLetter"/>
      <w:start w:val="1"/>
    </w:lvl>
    <w:lvl w:ilvl="1">
      <w:lvlJc w:val="left"/>
      <w:lvlText w:val="(%2)"/>
      <w:numFmt w:val="lowerRoman"/>
      <w:start w:val="4"/>
    </w:lvl>
  </w:abstractNum>
  <w:abstractNum w:abstractNumId="83">
    <w:nsid w:val="43F18422"/>
    <w:multiLevelType w:val="hybridMultilevel"/>
    <w:lvl w:ilvl="0">
      <w:lvlJc w:val="left"/>
      <w:lvlText w:val="(%1)"/>
      <w:numFmt w:val="lowerLetter"/>
      <w:start w:val="3"/>
    </w:lvl>
    <w:lvl w:ilvl="1">
      <w:lvlJc w:val="left"/>
      <w:lvlText w:val="%2"/>
      <w:numFmt w:val="lowerRoman"/>
      <w:start w:val="1"/>
    </w:lvl>
  </w:abstractNum>
  <w:abstractNum w:abstractNumId="84">
    <w:nsid w:val="60EF0119"/>
    <w:multiLevelType w:val="hybridMultilevel"/>
    <w:lvl w:ilvl="0">
      <w:lvlJc w:val="left"/>
      <w:lvlText w:val="%1."/>
      <w:numFmt w:val="decimal"/>
      <w:start w:val="5"/>
    </w:lvl>
  </w:abstractNum>
  <w:abstractNum w:abstractNumId="85">
    <w:nsid w:val="26F324BA"/>
    <w:multiLevelType w:val="hybridMultilevel"/>
    <w:lvl w:ilvl="0">
      <w:lvlJc w:val="left"/>
      <w:lvlText w:val="%1."/>
      <w:numFmt w:val="decimal"/>
      <w:start w:val="6"/>
    </w:lvl>
  </w:abstractNum>
  <w:abstractNum w:abstractNumId="86">
    <w:nsid w:val="7F01579B"/>
    <w:multiLevelType w:val="hybridMultilevel"/>
    <w:lvl w:ilvl="0">
      <w:lvlJc w:val="left"/>
      <w:lvlText w:val="%1"/>
      <w:numFmt w:val="decimal"/>
      <w:start w:val="12"/>
    </w:lvl>
  </w:abstractNum>
  <w:abstractNum w:abstractNumId="87">
    <w:nsid w:val="49DA307D"/>
    <w:multiLevelType w:val="hybridMultilevel"/>
    <w:lvl w:ilvl="0">
      <w:lvlJc w:val="left"/>
      <w:lvlText w:val="%1."/>
      <w:numFmt w:val="decimal"/>
      <w:start w:val="7"/>
    </w:lvl>
  </w:abstractNum>
  <w:abstractNum w:abstractNumId="88">
    <w:nsid w:val="7055A5F5"/>
    <w:multiLevelType w:val="hybridMultilevel"/>
    <w:lvl w:ilvl="0">
      <w:lvlJc w:val="left"/>
      <w:lvlText w:val="(%1)"/>
      <w:numFmt w:val="lowerLetter"/>
      <w:start w:val="1"/>
    </w:lvl>
  </w:abstractNum>
  <w:abstractNum w:abstractNumId="89">
    <w:nsid w:val="5FB8370B"/>
    <w:multiLevelType w:val="hybridMultilevel"/>
    <w:lvl w:ilvl="0">
      <w:lvlJc w:val="left"/>
      <w:lvlText w:val="%1"/>
      <w:numFmt w:val="decimal"/>
      <w:start w:val="1"/>
    </w:lvl>
    <w:lvl w:ilvl="1">
      <w:lvlJc w:val="left"/>
      <w:lvlText w:val="(%2)"/>
      <w:numFmt w:val="lowerLetter"/>
      <w:start w:val="2"/>
    </w:lvl>
  </w:abstractNum>
  <w:abstractNum w:abstractNumId="90">
    <w:nsid w:val="50801EE1"/>
    <w:multiLevelType w:val="hybridMultilevel"/>
    <w:lvl w:ilvl="0">
      <w:lvlJc w:val="left"/>
      <w:lvlText w:val="%1."/>
      <w:numFmt w:val="decimal"/>
      <w:start w:val="9"/>
    </w:lvl>
    <w:lvl w:ilvl="1">
      <w:lvlJc w:val="left"/>
      <w:lvlText w:val="%2"/>
      <w:numFmt w:val="lowerLetter"/>
      <w:start w:val="1"/>
    </w:lvl>
  </w:abstractNum>
  <w:abstractNum w:abstractNumId="91">
    <w:nsid w:val="488AC1A"/>
    <w:multiLevelType w:val="hybridMultilevel"/>
    <w:lvl w:ilvl="0">
      <w:lvlJc w:val="left"/>
      <w:lvlText w:val="(%1)"/>
      <w:numFmt w:val="lowerLetter"/>
      <w:start w:val="1"/>
    </w:lvl>
  </w:abstractNum>
  <w:abstractNum w:abstractNumId="92">
    <w:nsid w:val="5FB8011C"/>
    <w:multiLevelType w:val="hybridMultilevel"/>
    <w:lvl w:ilvl="0">
      <w:lvlJc w:val="left"/>
      <w:lvlText w:val="(%1)"/>
      <w:numFmt w:val="lowerLetter"/>
      <w:start w:val="2"/>
    </w:lvl>
  </w:abstractNum>
  <w:abstractNum w:abstractNumId="93">
    <w:nsid w:val="6AA78F7F"/>
    <w:multiLevelType w:val="hybridMultilevel"/>
    <w:lvl w:ilvl="0">
      <w:lvlJc w:val="left"/>
      <w:lvlText w:val="%1."/>
      <w:numFmt w:val="decimal"/>
      <w:start w:val="11"/>
    </w:lvl>
  </w:abstractNum>
  <w:abstractNum w:abstractNumId="94">
    <w:nsid w:val="7672BD23"/>
    <w:multiLevelType w:val="hybridMultilevel"/>
    <w:lvl w:ilvl="0">
      <w:lvlJc w:val="left"/>
      <w:lvlText w:val="%1."/>
      <w:numFmt w:val="decimal"/>
      <w:start w:val="12"/>
    </w:lvl>
  </w:abstractNum>
  <w:abstractNum w:abstractNumId="95">
    <w:nsid w:val="6FC75AF8"/>
    <w:multiLevelType w:val="hybridMultilevel"/>
    <w:lvl w:ilvl="0">
      <w:lvlJc w:val="left"/>
      <w:lvlText w:val="(%1)"/>
      <w:numFmt w:val="lowerLetter"/>
      <w:start w:val="1"/>
    </w:lvl>
  </w:abstractNum>
  <w:abstractNum w:abstractNumId="96">
    <w:nsid w:val="6A5F7029"/>
    <w:multiLevelType w:val="hybridMultilevel"/>
    <w:lvl w:ilvl="0">
      <w:lvlJc w:val="left"/>
      <w:lvlText w:val="%1."/>
      <w:numFmt w:val="decimal"/>
      <w:start w:val="13"/>
    </w:lvl>
  </w:abstractNum>
  <w:abstractNum w:abstractNumId="97">
    <w:nsid w:val="7D5E18F8"/>
    <w:multiLevelType w:val="hybridMultilevel"/>
    <w:lvl w:ilvl="0">
      <w:lvlJc w:val="left"/>
      <w:lvlText w:val="%1."/>
      <w:numFmt w:val="decimal"/>
      <w:start w:val="15"/>
    </w:lvl>
  </w:abstractNum>
  <w:abstractNum w:abstractNumId="98">
    <w:nsid w:val="5F3534A4"/>
    <w:multiLevelType w:val="hybridMultilevel"/>
    <w:lvl w:ilvl="0">
      <w:lvlJc w:val="left"/>
      <w:lvlText w:val="%1."/>
      <w:numFmt w:val="decimal"/>
      <w:start w:val="16"/>
    </w:lvl>
  </w:abstractNum>
  <w:abstractNum w:abstractNumId="99">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36"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28" Type="http://schemas.openxmlformats.org/officeDocument/2006/relationships/hyperlink" Target="http://www.sec.gov/Archives/edgar/data/318673/000109690617000214/exh3_1.pdf" TargetMode="External"/><Relationship Id="rId129" Type="http://schemas.openxmlformats.org/officeDocument/2006/relationships/hyperlink" Target="http://www.sec.gov/Archives/edgar/data/318673/000109690619000199/exh3_2.pdf" TargetMode="External"/><Relationship Id="rId130" Type="http://schemas.openxmlformats.org/officeDocument/2006/relationships/hyperlink" Target="http://www.sec.gov/Archives/edgar/data/318673/000109690616001835/exh10_4.htm" TargetMode="External"/><Relationship Id="rId131" Type="http://schemas.openxmlformats.org/officeDocument/2006/relationships/hyperlink" Target="file:///data/convert/snfca_ex10z3.htm" TargetMode="External"/><Relationship Id="rId132" Type="http://schemas.openxmlformats.org/officeDocument/2006/relationships/hyperlink" Target="http://www.sec.gov/Archives/edgar/data/318673/000109690615001153/exh108.htm" TargetMode="External"/><Relationship Id="rId133" Type="http://schemas.openxmlformats.org/officeDocument/2006/relationships/hyperlink" Target="http://www.sec.gov/Archives/edgar/data/318673/000109690618000285/exh10_1.htm" TargetMode="External"/><Relationship Id="rId134" Type="http://schemas.openxmlformats.org/officeDocument/2006/relationships/hyperlink" Target="http://www.sec.gov/Archives/edgar/data/318673/000109690618000639/exh10_9.htm" TargetMode="External"/><Relationship Id="rId135" Type="http://schemas.openxmlformats.org/officeDocument/2006/relationships/hyperlink" Target="http://www.sec.gov/Archives/edgar/data/318673/000109690619000084/exh10_1.htm" TargetMode="External"/><Relationship Id="rId137" Type="http://schemas.openxmlformats.org/officeDocument/2006/relationships/hyperlink" Target="http://www.sec.gov/Archives/edgar/data/318673/000109690619000367/exh10_2.htm" TargetMode="External"/><Relationship Id="rId138" Type="http://schemas.openxmlformats.org/officeDocument/2006/relationships/hyperlink" Target="http://www.sec.gov/Archives/edgar/data/318673/000109690619000367/exh10_1.htm" TargetMode="External"/><Relationship Id="rId139" Type="http://schemas.openxmlformats.org/officeDocument/2006/relationships/hyperlink" Target="http://www.sec.gov/Archives/edgar/data/318673/000109690620000092/exh99_1.htm" TargetMode="External"/><Relationship Id="rId140" Type="http://schemas.openxmlformats.org/officeDocument/2006/relationships/hyperlink" Target="http://www.sec.gov/Archives/edgar/data/318673/000109690619000199/exh14.htm" TargetMode="External"/><Relationship Id="rId141" Type="http://schemas.openxmlformats.org/officeDocument/2006/relationships/hyperlink" Target="file:///data/convert/snfca_ex21.htm" TargetMode="External"/><Relationship Id="rId142" Type="http://schemas.openxmlformats.org/officeDocument/2006/relationships/hyperlink" Target="http://www.sec.gov/Archives/edgar/data/318673/000109690616001895/exh23_1.htm" TargetMode="External"/><Relationship Id="rId143" Type="http://schemas.openxmlformats.org/officeDocument/2006/relationships/hyperlink" Target="http://www.sec.gov/Archives/edgar/data/318673/000109690616001895/exh5_1.htm" TargetMode="External"/><Relationship Id="rId144" Type="http://schemas.openxmlformats.org/officeDocument/2006/relationships/hyperlink" Target="file:///data/convert/snfca_ex31z1.htm" TargetMode="External"/><Relationship Id="rId145" Type="http://schemas.openxmlformats.org/officeDocument/2006/relationships/hyperlink" Target="file:///data/convert/snfca_ex31z2.htm" TargetMode="External"/><Relationship Id="rId146" Type="http://schemas.openxmlformats.org/officeDocument/2006/relationships/hyperlink" Target="file:///data/convert/snfca_ex32z1.htm" TargetMode="External"/><Relationship Id="rId147" Type="http://schemas.openxmlformats.org/officeDocument/2006/relationships/hyperlink" Target="file:///data/convert/snfca_ex32z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2020-08-14T13:53:40Z</dcterms:created>
  <dcterms:modified xsi:type="dcterms:W3CDTF">2020-08-14T13:53:40Z</dcterms:modified>
</cp:coreProperties>
</file>