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275590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78" w:lineRule="exact"/>
        <w:rPr>
          <w:sz w:val="24"/>
          <w:szCs w:val="24"/>
          <w:color w:val="auto"/>
        </w:rPr>
      </w:pPr>
    </w:p>
    <w:p>
      <w:pPr>
        <w:ind w:left="3880" w:right="3080" w:hanging="793"/>
        <w:spacing w:after="0" w:line="275" w:lineRule="auto"/>
        <w:tabs>
          <w:tab w:leader="none" w:pos="338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 or</w:t>
      </w:r>
    </w:p>
    <w:p>
      <w:pPr>
        <w:spacing w:after="0" w:line="274" w:lineRule="exact"/>
        <w:rPr>
          <w:sz w:val="24"/>
          <w:szCs w:val="24"/>
          <w:color w:val="auto"/>
        </w:rPr>
      </w:pPr>
    </w:p>
    <w:p>
      <w:pPr>
        <w:ind w:left="3200" w:hanging="108"/>
        <w:spacing w:after="0"/>
        <w:tabs>
          <w:tab w:leader="none" w:pos="32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w:t>
      </w:r>
    </w:p>
    <w:p>
      <w:pPr>
        <w:spacing w:after="0" w:line="23" w:lineRule="exact"/>
        <w:rPr>
          <w:rFonts w:ascii="Arial" w:cs="Arial" w:eastAsia="Arial" w:hAnsi="Arial"/>
          <w:sz w:val="18"/>
          <w:szCs w:val="18"/>
          <w:b w:val="1"/>
          <w:bCs w:val="1"/>
          <w:color w:val="auto"/>
        </w:rPr>
      </w:pPr>
    </w:p>
    <w:p>
      <w:pPr>
        <w:ind w:left="3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For the Transition Period from _____ to _____</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000-09341</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SECURITY NATIONAL FINANCIAL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26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w w:val="99"/>
              </w:rPr>
              <w:t>UTAH</w:t>
            </w:r>
          </w:p>
        </w:tc>
        <w:tc>
          <w:tcPr>
            <w:tcW w:w="2980" w:type="dxa"/>
            <w:vAlign w:val="bottom"/>
            <w:gridSpan w:val="6"/>
          </w:tcPr>
          <w:p>
            <w:pPr>
              <w:jc w:val="center"/>
              <w:ind w:left="1791"/>
              <w:spacing w:after="0"/>
              <w:rPr>
                <w:sz w:val="20"/>
                <w:szCs w:val="20"/>
                <w:color w:val="auto"/>
              </w:rPr>
            </w:pPr>
            <w:r>
              <w:rPr>
                <w:rFonts w:ascii="Arial" w:cs="Arial" w:eastAsia="Arial" w:hAnsi="Arial"/>
                <w:sz w:val="18"/>
                <w:szCs w:val="18"/>
                <w:b w:val="1"/>
                <w:bCs w:val="1"/>
                <w:color w:val="auto"/>
                <w:w w:val="89"/>
              </w:rPr>
              <w:t>87-0345941</w:t>
            </w:r>
          </w:p>
        </w:tc>
        <w:tc>
          <w:tcPr>
            <w:tcW w:w="7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2"/>
        </w:trPr>
        <w:tc>
          <w:tcPr>
            <w:tcW w:w="5400" w:type="dxa"/>
            <w:vAlign w:val="bottom"/>
            <w:gridSpan w:val="5"/>
          </w:tcPr>
          <w:p>
            <w:pPr>
              <w:jc w:val="center"/>
              <w:ind w:right="116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3720" w:type="dxa"/>
            <w:vAlign w:val="bottom"/>
            <w:gridSpan w:val="7"/>
          </w:tcPr>
          <w:p>
            <w:pPr>
              <w:jc w:val="center"/>
              <w:ind w:left="1051"/>
              <w:spacing w:after="0"/>
              <w:rPr>
                <w:sz w:val="20"/>
                <w:szCs w:val="20"/>
                <w:color w:val="auto"/>
              </w:rPr>
            </w:pPr>
            <w:r>
              <w:rPr>
                <w:rFonts w:ascii="Arial" w:cs="Arial" w:eastAsia="Arial" w:hAnsi="Arial"/>
                <w:sz w:val="18"/>
                <w:szCs w:val="18"/>
                <w:color w:val="auto"/>
                <w:w w:val="93"/>
              </w:rPr>
              <w:t>(I.R.S. Employer Identification No.)</w:t>
            </w:r>
          </w:p>
        </w:tc>
      </w:tr>
      <w:tr>
        <w:trPr>
          <w:trHeight w:val="442"/>
        </w:trPr>
        <w:tc>
          <w:tcPr>
            <w:tcW w:w="140" w:type="dxa"/>
            <w:vAlign w:val="bottom"/>
          </w:tcPr>
          <w:p>
            <w:pPr>
              <w:spacing w:after="0"/>
              <w:rPr>
                <w:sz w:val="24"/>
                <w:szCs w:val="24"/>
                <w:color w:val="auto"/>
              </w:rPr>
            </w:pPr>
          </w:p>
        </w:tc>
        <w:tc>
          <w:tcPr>
            <w:tcW w:w="526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9"/>
              </w:rPr>
              <w:t>5300 South 360 West, Suite 250 Salt Lake City, Utah</w:t>
            </w:r>
          </w:p>
        </w:tc>
        <w:tc>
          <w:tcPr>
            <w:tcW w:w="2860" w:type="dxa"/>
            <w:vAlign w:val="bottom"/>
            <w:gridSpan w:val="5"/>
          </w:tcPr>
          <w:p>
            <w:pPr>
              <w:jc w:val="center"/>
              <w:ind w:left="1911"/>
              <w:spacing w:after="0"/>
              <w:rPr>
                <w:sz w:val="20"/>
                <w:szCs w:val="20"/>
                <w:color w:val="auto"/>
              </w:rPr>
            </w:pPr>
            <w:r>
              <w:rPr>
                <w:rFonts w:ascii="Arial" w:cs="Arial" w:eastAsia="Arial" w:hAnsi="Arial"/>
                <w:sz w:val="18"/>
                <w:szCs w:val="18"/>
                <w:b w:val="1"/>
                <w:bCs w:val="1"/>
                <w:color w:val="auto"/>
                <w:w w:val="91"/>
              </w:rPr>
              <w:t>84123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3960" w:type="dxa"/>
            <w:vAlign w:val="bottom"/>
            <w:gridSpan w:val="3"/>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2"/>
        </w:trPr>
        <w:tc>
          <w:tcPr>
            <w:tcW w:w="140" w:type="dxa"/>
            <w:vAlign w:val="bottom"/>
          </w:tcPr>
          <w:p>
            <w:pPr>
              <w:spacing w:after="0"/>
              <w:rPr>
                <w:sz w:val="20"/>
                <w:szCs w:val="20"/>
                <w:color w:val="auto"/>
              </w:rPr>
            </w:pPr>
          </w:p>
        </w:tc>
        <w:tc>
          <w:tcPr>
            <w:tcW w:w="3960" w:type="dxa"/>
            <w:vAlign w:val="bottom"/>
            <w:gridSpan w:val="3"/>
          </w:tcPr>
          <w:p>
            <w:pPr>
              <w:jc w:val="center"/>
              <w:spacing w:after="0"/>
              <w:rPr>
                <w:sz w:val="20"/>
                <w:szCs w:val="20"/>
                <w:color w:val="auto"/>
              </w:rPr>
            </w:pPr>
            <w:r>
              <w:rPr>
                <w:rFonts w:ascii="Arial" w:cs="Arial" w:eastAsia="Arial" w:hAnsi="Arial"/>
                <w:sz w:val="18"/>
                <w:szCs w:val="18"/>
                <w:color w:val="auto"/>
                <w:w w:val="91"/>
              </w:rPr>
              <w:t>(Address of principal executive offices)</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(Zip Code)</w:t>
            </w:r>
          </w:p>
        </w:tc>
      </w:tr>
      <w:tr>
        <w:trPr>
          <w:trHeight w:val="389"/>
        </w:trPr>
        <w:tc>
          <w:tcPr>
            <w:tcW w:w="140" w:type="dxa"/>
            <w:vAlign w:val="bottom"/>
          </w:tcPr>
          <w:p>
            <w:pPr>
              <w:spacing w:after="0"/>
              <w:rPr>
                <w:sz w:val="24"/>
                <w:szCs w:val="24"/>
                <w:color w:val="auto"/>
              </w:rPr>
            </w:pPr>
          </w:p>
        </w:tc>
        <w:tc>
          <w:tcPr>
            <w:tcW w:w="5260" w:type="dxa"/>
            <w:vAlign w:val="bottom"/>
            <w:gridSpan w:val="4"/>
          </w:tcPr>
          <w:p>
            <w:pPr>
              <w:jc w:val="center"/>
              <w:ind w:right="1280"/>
              <w:spacing w:after="0"/>
              <w:rPr>
                <w:sz w:val="20"/>
                <w:szCs w:val="20"/>
                <w:color w:val="auto"/>
              </w:rPr>
            </w:pPr>
            <w:r>
              <w:rPr>
                <w:rFonts w:ascii="Arial" w:cs="Arial" w:eastAsia="Arial" w:hAnsi="Arial"/>
                <w:sz w:val="18"/>
                <w:szCs w:val="18"/>
                <w:color w:val="auto"/>
                <w:w w:val="88"/>
              </w:rPr>
              <w:t>Registrant’s telephone number, including area code:</w:t>
            </w:r>
          </w:p>
        </w:tc>
        <w:tc>
          <w:tcPr>
            <w:tcW w:w="2980" w:type="dxa"/>
            <w:vAlign w:val="bottom"/>
            <w:gridSpan w:val="6"/>
          </w:tcPr>
          <w:p>
            <w:pPr>
              <w:jc w:val="center"/>
              <w:ind w:left="1791"/>
              <w:spacing w:after="0"/>
              <w:rPr>
                <w:sz w:val="20"/>
                <w:szCs w:val="20"/>
                <w:color w:val="auto"/>
              </w:rPr>
            </w:pPr>
            <w:r>
              <w:rPr>
                <w:rFonts w:ascii="Arial" w:cs="Arial" w:eastAsia="Arial" w:hAnsi="Arial"/>
                <w:sz w:val="18"/>
                <w:szCs w:val="18"/>
                <w:b w:val="1"/>
                <w:bCs w:val="1"/>
                <w:color w:val="auto"/>
                <w:w w:val="89"/>
              </w:rPr>
              <w:t>(801) 264-1060</w:t>
            </w:r>
          </w:p>
        </w:tc>
        <w:tc>
          <w:tcPr>
            <w:tcW w:w="7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Securities Exchange Act of 1934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None</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Securities Exchange Act of 1934:</w:t>
      </w:r>
    </w:p>
    <w:p>
      <w:pPr>
        <w:spacing w:after="0" w:line="255"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Title of each class which registered</w:t>
            </w:r>
          </w:p>
        </w:tc>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w:t>
            </w:r>
          </w:p>
        </w:tc>
      </w:tr>
      <w:tr>
        <w:trPr>
          <w:trHeight w:val="215"/>
        </w:trPr>
        <w:tc>
          <w:tcPr>
            <w:tcW w:w="462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8"/>
              </w:rPr>
              <w:t>Class A common stock, $2.00 Par Value</w:t>
            </w:r>
          </w:p>
        </w:tc>
        <w:tc>
          <w:tcPr>
            <w:tcW w:w="16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Stock Market</w:t>
            </w:r>
          </w:p>
        </w:tc>
      </w:tr>
      <w:tr>
        <w:trPr>
          <w:trHeight w:val="231"/>
        </w:trPr>
        <w:tc>
          <w:tcPr>
            <w:tcW w:w="462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8"/>
              </w:rPr>
              <w:t>Class C common stock, $2.00 Par Value</w:t>
            </w:r>
          </w:p>
        </w:tc>
        <w:tc>
          <w:tcPr>
            <w:tcW w:w="16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4"/>
              </w:rPr>
              <w:t>None</w:t>
            </w:r>
          </w:p>
        </w:tc>
      </w:tr>
    </w:tbl>
    <w:p>
      <w:pPr>
        <w:spacing w:after="0" w:line="20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74" w:lineRule="exact"/>
        <w:rPr>
          <w:sz w:val="24"/>
          <w:szCs w:val="24"/>
          <w:color w:val="auto"/>
        </w:rPr>
      </w:pPr>
    </w:p>
    <w:p>
      <w:pPr>
        <w:ind w:left="32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 No [X]</w:t>
      </w:r>
    </w:p>
    <w:p>
      <w:pPr>
        <w:spacing w:after="0" w:line="285" w:lineRule="exact"/>
        <w:rPr>
          <w:sz w:val="24"/>
          <w:szCs w:val="24"/>
          <w:color w:val="auto"/>
        </w:rPr>
      </w:pPr>
    </w:p>
    <w:p>
      <w:pPr>
        <w:jc w:val="both"/>
        <w:ind w:firstLine="3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 ]</w:t>
      </w:r>
    </w:p>
    <w:p>
      <w:pPr>
        <w:spacing w:after="0" w:line="238" w:lineRule="exact"/>
        <w:rPr>
          <w:sz w:val="24"/>
          <w:szCs w:val="24"/>
          <w:color w:val="auto"/>
        </w:rPr>
      </w:pPr>
    </w:p>
    <w:p>
      <w:pPr>
        <w:jc w:val="both"/>
        <w:ind w:firstLine="3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pacing w:after="0" w:line="238" w:lineRule="exact"/>
        <w:rPr>
          <w:sz w:val="24"/>
          <w:szCs w:val="24"/>
          <w:color w:val="auto"/>
        </w:rPr>
      </w:pPr>
    </w:p>
    <w:p>
      <w:pPr>
        <w:jc w:val="both"/>
        <w:ind w:firstLine="3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84" w:lineRule="exact"/>
        <w:rPr>
          <w:sz w:val="24"/>
          <w:szCs w:val="24"/>
          <w:color w:val="auto"/>
        </w:rPr>
      </w:pPr>
    </w:p>
    <w:p>
      <w:pPr>
        <w:jc w:val="both"/>
        <w:ind w:firstLine="320"/>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811" w:right="239" w:bottom="0" w:gutter="0" w:footer="0" w:header="0"/>
        </w:sectPr>
      </w:pPr>
    </w:p>
    <w:p>
      <w:pPr>
        <w:spacing w:after="0" w:line="206" w:lineRule="exact"/>
        <w:rPr>
          <w:sz w:val="24"/>
          <w:szCs w:val="24"/>
          <w:color w:val="auto"/>
        </w:rPr>
      </w:pPr>
    </w:p>
    <w:p>
      <w:pPr>
        <w:ind w:left="320"/>
        <w:spacing w:after="0"/>
        <w:rPr>
          <w:sz w:val="20"/>
          <w:szCs w:val="20"/>
          <w:color w:val="auto"/>
        </w:rPr>
      </w:pPr>
      <w:r>
        <w:rPr>
          <w:rFonts w:ascii="Arial" w:cs="Arial" w:eastAsia="Arial" w:hAnsi="Arial"/>
          <w:sz w:val="16"/>
          <w:szCs w:val="16"/>
          <w:color w:val="auto"/>
        </w:rPr>
        <w:t>Large accelerated filer [ ]</w:t>
      </w:r>
    </w:p>
    <w:p>
      <w:pPr>
        <w:spacing w:after="0" w:line="4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22" w:lineRule="exact"/>
        <w:rPr>
          <w:sz w:val="24"/>
          <w:szCs w:val="24"/>
          <w:color w:val="auto"/>
        </w:rPr>
      </w:pPr>
    </w:p>
    <w:p>
      <w:pPr>
        <w:sectPr>
          <w:pgSz w:w="11900" w:h="16838" w:orient="portrait"/>
          <w:cols w:equalWidth="0" w:num="2">
            <w:col w:w="5000" w:space="720"/>
            <w:col w:w="5700"/>
          </w:cols>
          <w:pgMar w:left="240" w:top="811" w:right="239" w:bottom="0" w:gutter="0" w:footer="0" w:header="0"/>
          <w:type w:val="continuous"/>
        </w:sectPr>
      </w:pPr>
    </w:p>
    <w:p>
      <w:pPr>
        <w:spacing w:after="0" w:line="6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74" w:lineRule="exact"/>
        <w:rPr>
          <w:sz w:val="24"/>
          <w:szCs w:val="24"/>
          <w:color w:val="auto"/>
        </w:rPr>
      </w:pPr>
    </w:p>
    <w:p>
      <w:pPr>
        <w:ind w:firstLine="320"/>
        <w:spacing w:after="0" w:line="270" w:lineRule="auto"/>
        <w:rPr>
          <w:sz w:val="20"/>
          <w:szCs w:val="20"/>
          <w:color w:val="auto"/>
        </w:rPr>
      </w:pPr>
      <w:r>
        <w:rPr>
          <w:rFonts w:ascii="Arial" w:cs="Arial" w:eastAsia="Arial" w:hAnsi="Arial"/>
          <w:sz w:val="18"/>
          <w:szCs w:val="18"/>
          <w:color w:val="auto"/>
        </w:rPr>
        <w:t>As of June 30, 2018, the aggregate market value of the registrant’s Class A common stock held by non-affiliates of the registrant was approximately $31,000,000 based on the $5.20 closing sale price of the Class A common stock as reported on The Nasdaq Stock Market.</w:t>
      </w:r>
    </w:p>
    <w:p>
      <w:pPr>
        <w:spacing w:after="0" w:line="228" w:lineRule="exact"/>
        <w:rPr>
          <w:sz w:val="24"/>
          <w:szCs w:val="24"/>
          <w:color w:val="auto"/>
        </w:rPr>
      </w:pPr>
    </w:p>
    <w:p>
      <w:pPr>
        <w:ind w:firstLine="320"/>
        <w:spacing w:after="0" w:line="270" w:lineRule="auto"/>
        <w:rPr>
          <w:sz w:val="20"/>
          <w:szCs w:val="20"/>
          <w:color w:val="auto"/>
        </w:rPr>
      </w:pPr>
      <w:r>
        <w:rPr>
          <w:rFonts w:ascii="Arial" w:cs="Arial" w:eastAsia="Arial" w:hAnsi="Arial"/>
          <w:sz w:val="18"/>
          <w:szCs w:val="18"/>
          <w:color w:val="auto"/>
        </w:rPr>
        <w:t>As of March 27, 2019, there were outstanding 15,312,687 shares of Class A common stock, $2.00 par value per share, and 2,190,361 shares of Class C common stock, $2.00 par value per share.</w:t>
      </w:r>
    </w:p>
    <w:p>
      <w:pPr>
        <w:sectPr>
          <w:pgSz w:w="11900" w:h="16838" w:orient="portrait"/>
          <w:cols w:equalWidth="0" w:num="1">
            <w:col w:w="11420"/>
          </w:cols>
          <w:pgMar w:left="240" w:top="811" w:right="239" w:bottom="0" w:gutter="0" w:footer="0" w:header="0"/>
          <w:type w:val="continuous"/>
        </w:sectPr>
      </w:pPr>
    </w:p>
    <w:bookmarkStart w:id="1" w:name="page2"/>
    <w:bookmarkEnd w:id="1"/>
    <w:p>
      <w:pPr>
        <w:jc w:val="right"/>
        <w:ind w:right="30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123825</wp:posOffset>
            </wp:positionV>
            <wp:extent cx="7247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9899"/>
          </w:cols>
          <w:pgMar w:left="560" w:top="121"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1"/>
          <w:szCs w:val="21"/>
          <w:b w:val="1"/>
          <w:bCs w:val="1"/>
          <w:color w:val="auto"/>
        </w:rPr>
        <w:t>Security National Financial Corporation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380" w:type="dxa"/>
            <w:vAlign w:val="bottom"/>
          </w:tcPr>
          <w:p>
            <w:pPr>
              <w:jc w:val="center"/>
              <w:ind w:left="172"/>
              <w:spacing w:after="0"/>
              <w:rPr>
                <w:sz w:val="20"/>
                <w:szCs w:val="20"/>
                <w:color w:val="auto"/>
              </w:rPr>
            </w:pPr>
            <w:r>
              <w:rPr>
                <w:rFonts w:ascii="Arial" w:cs="Arial" w:eastAsia="Arial" w:hAnsi="Arial"/>
                <w:sz w:val="18"/>
                <w:szCs w:val="18"/>
                <w:b w:val="1"/>
                <w:bCs w:val="1"/>
                <w:color w:val="auto"/>
                <w:w w:val="94"/>
              </w:rPr>
              <w:t>Form 10-K</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For the Fiscal Year Ended December 31, 2018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jc w:val="center"/>
              <w:ind w:left="152"/>
              <w:spacing w:after="0"/>
              <w:rPr>
                <w:sz w:val="20"/>
                <w:szCs w:val="20"/>
                <w:color w:val="auto"/>
              </w:rPr>
            </w:pPr>
            <w:r>
              <w:rPr>
                <w:rFonts w:ascii="Arial" w:cs="Arial" w:eastAsia="Arial" w:hAnsi="Arial"/>
                <w:sz w:val="18"/>
                <w:szCs w:val="18"/>
                <w:b w:val="1"/>
                <w:bCs w:val="1"/>
                <w:color w:val="auto"/>
                <w:w w:val="97"/>
              </w:rPr>
              <w:t>TABLE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jc w:val="center"/>
              <w:ind w:right="792"/>
              <w:spacing w:after="0"/>
              <w:rPr>
                <w:sz w:val="20"/>
                <w:szCs w:val="20"/>
                <w:color w:val="auto"/>
              </w:rPr>
            </w:pPr>
            <w:r>
              <w:rPr>
                <w:rFonts w:ascii="Arial" w:cs="Arial" w:eastAsia="Arial" w:hAnsi="Arial"/>
                <w:sz w:val="18"/>
                <w:szCs w:val="18"/>
                <w:color w:val="auto"/>
                <w:w w:val="88"/>
              </w:rPr>
              <w:t>Part I</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Business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80" w:type="dxa"/>
            <w:vAlign w:val="bottom"/>
            <w:shd w:val="clear" w:color="auto" w:fill="CCEEFF"/>
          </w:tcPr>
          <w:p>
            <w:pPr>
              <w:jc w:val="center"/>
              <w:ind w:right="792"/>
              <w:spacing w:after="0"/>
              <w:rPr>
                <w:sz w:val="20"/>
                <w:szCs w:val="20"/>
                <w:color w:val="auto"/>
              </w:rPr>
            </w:pPr>
            <w:r>
              <w:rPr>
                <w:rFonts w:ascii="Arial" w:cs="Arial" w:eastAsia="Arial" w:hAnsi="Arial"/>
                <w:sz w:val="18"/>
                <w:szCs w:val="18"/>
                <w:color w:val="auto"/>
                <w:w w:val="95"/>
              </w:rPr>
              <w:t>Part II</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Selected Financial Data</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80" w:type="dxa"/>
            <w:vAlign w:val="bottom"/>
            <w:shd w:val="clear" w:color="auto" w:fill="CCEEFF"/>
          </w:tcPr>
          <w:p>
            <w:pPr>
              <w:jc w:val="center"/>
              <w:ind w:right="792"/>
              <w:spacing w:after="0"/>
              <w:rPr>
                <w:sz w:val="20"/>
                <w:szCs w:val="20"/>
                <w:color w:val="auto"/>
              </w:rPr>
            </w:pPr>
            <w:r>
              <w:rPr>
                <w:rFonts w:ascii="Arial" w:cs="Arial" w:eastAsia="Arial" w:hAnsi="Arial"/>
                <w:sz w:val="18"/>
                <w:szCs w:val="18"/>
                <w:color w:val="auto"/>
                <w:w w:val="94"/>
              </w:rPr>
              <w:t>Part III</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Accounting Fees and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80" w:type="dxa"/>
            <w:vAlign w:val="bottom"/>
            <w:shd w:val="clear" w:color="auto" w:fill="CCEEFF"/>
          </w:tcPr>
          <w:p>
            <w:pPr>
              <w:jc w:val="center"/>
              <w:ind w:right="812"/>
              <w:spacing w:after="0"/>
              <w:rPr>
                <w:sz w:val="20"/>
                <w:szCs w:val="20"/>
                <w:color w:val="auto"/>
              </w:rPr>
            </w:pPr>
            <w:r>
              <w:rPr>
                <w:rFonts w:ascii="Arial" w:cs="Arial" w:eastAsia="Arial" w:hAnsi="Arial"/>
                <w:sz w:val="18"/>
                <w:szCs w:val="18"/>
                <w:color w:val="auto"/>
                <w:w w:val="94"/>
              </w:rPr>
              <w:t>Part IV</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 Financial Statement Schedules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80" w:type="dxa"/>
            <w:vAlign w:val="bottom"/>
          </w:tcPr>
          <w:p>
            <w:pPr>
              <w:jc w:val="center"/>
              <w:ind w:left="152"/>
              <w:spacing w:after="0"/>
              <w:rPr>
                <w:sz w:val="20"/>
                <w:szCs w:val="20"/>
                <w:color w:val="auto"/>
              </w:rPr>
            </w:pPr>
            <w:r>
              <w:rPr>
                <w:rFonts w:ascii="Arial" w:cs="Arial" w:eastAsia="Arial" w:hAnsi="Arial"/>
                <w:sz w:val="14"/>
                <w:szCs w:val="14"/>
                <w:color w:val="auto"/>
                <w:w w:val="76"/>
              </w:rPr>
              <w:t>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Security National Financial Corporation (the “Company”) operates in three main business segments: life insurance, cemetery and mortuary, and mortgages. The life insurance segment is engaged in the business of selling and servicing selected lines of life insurance, annuity products, and accident and health insurance. These products are marketed in 38 states through a commissioned sales force of independent licensed insurance agents who may also sell insurance products of other companies. The cemetery and mortuary segment consists of eight mortuaries and six cemeteries in the state of Utah and one cemetery in the state of California. The Company also engages in pre-need selling of funeral, cemetery, mortuary, and cremation services through its Utah and California operations. Many of the insurance agents also sell pre-need funeral, cemetery, and cremation services. The mortgage segment originates and underwrites or otherwise purchases residential and commercial loans for new construction, existing homes, and other real estate projects. The mortgage segment operates through 97 retail offices and one wholesale office in 20 states, and is an approved mortgage lender in several other states.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their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and First Guaranty Insurance Company (2016).</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and Heber Valley Funeral Home, Inc. (2019).</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1993, the Company formed SecurityNational Mortgage Company (“SecurityNational Mortgage”) to originate and refinance residential mortgage loans. In 2012, the Company formed Green Street Mortgage Services, Inc. (now known as EverLEND Mortgage Company) (“EverLEND Mortgage”) also to originate and refinance residential mortgage loans.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Note 15 of the Notes to Consolidated Financial Statements for additional information regarding business segments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Products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through Security National Life, issues and distributes selected lines of life insurance and annuities. The Company’s life insurance business includes funeral plans and interest-sensitive life insurance, as well as other traditional life, accident, and health insurance products. The Company places specific marketing emphasis on funeral plans through pre-need planning. The Company’s other insurance subsidiaries, First Guaranty Insurance Company (“First Guaranty”), Memorial Insurance Company of America (“Memorial Insurance”), Southern Security Life Insurance Company, Inc. (“Southern Security”) and Trans-Western Life Insurance Company (“Trans-Western”), service and maintain policies that were purchased prior to their acquisition by Security National Life.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has lower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and Distribution</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is licensed to sell insurance in 38 states. The Company, in marketing its life insurance products, seeks to locate, develop and service specific niche markets. The Company’s funeral plan policies are sold primarily to persons who range in age from 45 to 85 and have low to moderate income. A majority of the Company’s funeral plan premiums come from the states of Arkansas, California, Florida, Georgia, Louisiana, Mississippi, Texas, and Utah.</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sells its life insurance products through direct agents, brokers, and independent licensed agents who may also sell insurance products of other companies. The commissions on life insurance products range from approximately 50% to 120% of first year premiums. In those cases, where the Company utilizes its direct agents in selling such policies, those agents customarily receive advances against future commissions.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2018:</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2"/>
        </w:trPr>
        <w:tc>
          <w:tcPr>
            <w:tcW w:w="2820" w:type="dxa"/>
            <w:vAlign w:val="bottom"/>
            <w:gridSpan w:val="2"/>
          </w:tcPr>
          <w:p>
            <w:pPr>
              <w:spacing w:after="0"/>
              <w:rPr>
                <w:sz w:val="20"/>
                <w:szCs w:val="20"/>
                <w:color w:val="auto"/>
              </w:rPr>
            </w:pPr>
            <w:r>
              <w:rPr>
                <w:rFonts w:ascii="Arial" w:cs="Arial" w:eastAsia="Arial" w:hAnsi="Arial"/>
                <w:sz w:val="18"/>
                <w:szCs w:val="18"/>
                <w:color w:val="auto"/>
              </w:rPr>
              <w:t>Life Insurance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3"/>
              </w:rPr>
              <w:t>Policy/Cert Count as of December 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531,775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497,933</w:t>
            </w:r>
          </w:p>
        </w:tc>
        <w:tc>
          <w:tcPr>
            <w:tcW w:w="100" w:type="dxa"/>
            <w:vAlign w:val="bottom"/>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800" w:type="dxa"/>
            <w:vAlign w:val="bottom"/>
          </w:tcPr>
          <w:p>
            <w:pPr>
              <w:spacing w:after="0" w:line="200" w:lineRule="exact"/>
              <w:rPr>
                <w:sz w:val="20"/>
                <w:szCs w:val="20"/>
                <w:color w:val="auto"/>
              </w:rPr>
            </w:pPr>
            <w:r>
              <w:rPr>
                <w:rFonts w:ascii="Arial" w:cs="Arial" w:eastAsia="Arial" w:hAnsi="Arial"/>
                <w:sz w:val="18"/>
                <w:szCs w:val="18"/>
                <w:color w:val="auto"/>
                <w:w w:val="92"/>
              </w:rPr>
              <w:t>Insurance in force as of December 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8"/>
                <w:szCs w:val="18"/>
                <w:color w:val="auto"/>
              </w:rPr>
              <w:t>(omitted 000)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1,838,488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1,759,148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1,672,081</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2,862,803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2,763,496</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Premiums Collected (omitted 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52,418</w:t>
            </w: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2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Includes the acquisition of First Guaranty and the termination of the reinsurance assumed from Servicemembers’ Group Life Insurance (“SGLI”).</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Underwriting</w:t>
      </w:r>
    </w:p>
    <w:p>
      <w:pPr>
        <w:spacing w:after="0" w:line="27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factors considered in evaluating an application for ordinary life insurance coverage can include the applicant’s age, occupation, general health, and medical history. Upon receipt of a satisfactory (non-funeral plan insurance) application, which contains pertinent medical questions, the Company issues insurance based upon its medical limits and requirements subject to the following general non</w:t>
      </w:r>
      <w:r>
        <w:rPr>
          <w:rFonts w:ascii="MS PGothic" w:cs="MS PGothic" w:eastAsia="MS PGothic" w:hAnsi="MS PGothic"/>
          <w:sz w:val="18"/>
          <w:szCs w:val="18"/>
          <w:color w:val="auto"/>
        </w:rPr>
        <w:t>‑</w:t>
      </w:r>
      <w:r>
        <w:rPr>
          <w:rFonts w:ascii="Arial" w:cs="Arial" w:eastAsia="Arial" w:hAnsi="Arial"/>
          <w:sz w:val="18"/>
          <w:szCs w:val="18"/>
          <w:color w:val="auto"/>
        </w:rPr>
        <w:t>medical limits: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740" w:type="dxa"/>
            <w:vAlign w:val="bottom"/>
            <w:gridSpan w:val="2"/>
          </w:tcPr>
          <w:p>
            <w:pPr>
              <w:spacing w:after="0"/>
              <w:rPr>
                <w:sz w:val="20"/>
                <w:szCs w:val="20"/>
                <w:color w:val="auto"/>
              </w:rPr>
            </w:pPr>
            <w:r>
              <w:rPr>
                <w:rFonts w:ascii="Arial" w:cs="Arial" w:eastAsia="Arial" w:hAnsi="Arial"/>
                <w:sz w:val="18"/>
                <w:szCs w:val="18"/>
                <w:color w:val="auto"/>
              </w:rPr>
              <w:t>Age Nearest</w:t>
            </w:r>
          </w:p>
        </w:tc>
        <w:tc>
          <w:tcPr>
            <w:tcW w:w="6400" w:type="dxa"/>
            <w:vAlign w:val="bottom"/>
          </w:tcPr>
          <w:p>
            <w:pPr>
              <w:ind w:left="184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Medical</w:t>
            </w:r>
          </w:p>
        </w:tc>
      </w:tr>
      <w:tr>
        <w:trPr>
          <w:trHeight w:val="235"/>
        </w:trPr>
        <w:tc>
          <w:tcPr>
            <w:tcW w:w="2740" w:type="dxa"/>
            <w:vAlign w:val="bottom"/>
            <w:gridSpan w:val="2"/>
          </w:tcPr>
          <w:p>
            <w:pPr>
              <w:spacing w:after="0"/>
              <w:rPr>
                <w:sz w:val="20"/>
                <w:szCs w:val="20"/>
                <w:color w:val="auto"/>
              </w:rPr>
            </w:pPr>
            <w:r>
              <w:rPr>
                <w:rFonts w:ascii="Arial" w:cs="Arial" w:eastAsia="Arial" w:hAnsi="Arial"/>
                <w:sz w:val="18"/>
                <w:szCs w:val="18"/>
                <w:color w:val="auto"/>
              </w:rPr>
              <w:t>Birthday</w:t>
            </w:r>
          </w:p>
        </w:tc>
        <w:tc>
          <w:tcPr>
            <w:tcW w:w="6400" w:type="dxa"/>
            <w:vAlign w:val="bottom"/>
          </w:tcPr>
          <w:p>
            <w:pPr>
              <w:ind w:left="1840"/>
              <w:spacing w:after="0"/>
              <w:rPr>
                <w:sz w:val="20"/>
                <w:szCs w:val="20"/>
                <w:color w:val="auto"/>
              </w:rPr>
            </w:pPr>
            <w:r>
              <w:rPr>
                <w:rFonts w:ascii="Arial" w:cs="Arial" w:eastAsia="Arial" w:hAnsi="Arial"/>
                <w:sz w:val="18"/>
                <w:szCs w:val="18"/>
                <w:color w:val="auto"/>
              </w:rPr>
              <w:t>Limits</w:t>
            </w:r>
          </w:p>
        </w:tc>
      </w:tr>
      <w:tr>
        <w:trPr>
          <w:trHeight w:val="214"/>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ind w:left="40"/>
              <w:spacing w:after="0" w:line="207" w:lineRule="exact"/>
              <w:rPr>
                <w:sz w:val="20"/>
                <w:szCs w:val="20"/>
                <w:color w:val="auto"/>
              </w:rPr>
            </w:pPr>
            <w:r>
              <w:rPr>
                <w:rFonts w:ascii="Arial" w:cs="Arial" w:eastAsia="Arial" w:hAnsi="Arial"/>
                <w:sz w:val="18"/>
                <w:szCs w:val="18"/>
                <w:color w:val="auto"/>
              </w:rPr>
              <w:t>0</w:t>
            </w:r>
            <w:r>
              <w:rPr>
                <w:rFonts w:ascii="MS PGothic" w:cs="MS PGothic" w:eastAsia="MS PGothic" w:hAnsi="MS PGothic"/>
                <w:sz w:val="18"/>
                <w:szCs w:val="18"/>
                <w:color w:val="auto"/>
              </w:rPr>
              <w:t>‑</w:t>
            </w:r>
            <w:r>
              <w:rPr>
                <w:rFonts w:ascii="Arial" w:cs="Arial" w:eastAsia="Arial" w:hAnsi="Arial"/>
                <w:sz w:val="18"/>
                <w:szCs w:val="18"/>
                <w:color w:val="auto"/>
              </w:rPr>
              <w:t>50</w:t>
            </w:r>
          </w:p>
        </w:tc>
        <w:tc>
          <w:tcPr>
            <w:tcW w:w="6400" w:type="dxa"/>
            <w:vAlign w:val="bottom"/>
            <w:tcBorders>
              <w:top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$ 100,000</w:t>
            </w:r>
          </w:p>
        </w:tc>
      </w:tr>
      <w:tr>
        <w:trPr>
          <w:trHeight w:val="227"/>
        </w:trPr>
        <w:tc>
          <w:tcPr>
            <w:tcW w:w="20" w:type="dxa"/>
            <w:vAlign w:val="bottom"/>
          </w:tcPr>
          <w:p>
            <w:pPr>
              <w:spacing w:after="0"/>
              <w:rPr>
                <w:sz w:val="19"/>
                <w:szCs w:val="19"/>
                <w:color w:val="auto"/>
              </w:rPr>
            </w:pPr>
          </w:p>
        </w:tc>
        <w:tc>
          <w:tcPr>
            <w:tcW w:w="2720" w:type="dxa"/>
            <w:vAlign w:val="bottom"/>
          </w:tcPr>
          <w:p>
            <w:pPr>
              <w:spacing w:after="0" w:line="207" w:lineRule="exact"/>
              <w:rPr>
                <w:sz w:val="20"/>
                <w:szCs w:val="20"/>
                <w:color w:val="auto"/>
              </w:rPr>
            </w:pPr>
            <w:r>
              <w:rPr>
                <w:rFonts w:ascii="Arial" w:cs="Arial" w:eastAsia="Arial" w:hAnsi="Arial"/>
                <w:sz w:val="18"/>
                <w:szCs w:val="18"/>
                <w:color w:val="auto"/>
              </w:rPr>
              <w:t>51</w:t>
            </w:r>
            <w:r>
              <w:rPr>
                <w:rFonts w:ascii="MS PGothic" w:cs="MS PGothic" w:eastAsia="MS PGothic" w:hAnsi="MS PGothic"/>
                <w:sz w:val="18"/>
                <w:szCs w:val="18"/>
                <w:color w:val="auto"/>
              </w:rPr>
              <w:t>‑</w:t>
            </w:r>
            <w:r>
              <w:rPr>
                <w:rFonts w:ascii="Arial" w:cs="Arial" w:eastAsia="Arial" w:hAnsi="Arial"/>
                <w:sz w:val="18"/>
                <w:szCs w:val="18"/>
                <w:color w:val="auto"/>
              </w:rPr>
              <w:t>up</w:t>
            </w:r>
          </w:p>
        </w:tc>
        <w:tc>
          <w:tcPr>
            <w:tcW w:w="6400" w:type="dxa"/>
            <w:vAlign w:val="bottom"/>
          </w:tcPr>
          <w:p>
            <w:pPr>
              <w:ind w:left="1840"/>
              <w:spacing w:after="0"/>
              <w:rPr>
                <w:sz w:val="20"/>
                <w:szCs w:val="20"/>
                <w:color w:val="auto"/>
              </w:rPr>
            </w:pPr>
            <w:r>
              <w:rPr>
                <w:rFonts w:ascii="Arial" w:cs="Arial" w:eastAsia="Arial" w:hAnsi="Arial"/>
                <w:sz w:val="18"/>
                <w:szCs w:val="18"/>
                <w:color w:val="auto"/>
              </w:rPr>
              <w:t>Medical information required (APS or exam)</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When underwriting life insurance, the Company will sometimes issue policies with higher premium rates for substandard risks.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334" w:lineRule="auto"/>
        <w:rPr>
          <w:sz w:val="20"/>
          <w:szCs w:val="20"/>
          <w:color w:val="auto"/>
        </w:rPr>
      </w:pPr>
      <w:r>
        <w:rPr>
          <w:rFonts w:ascii="Arial" w:cs="Arial" w:eastAsia="Arial" w:hAnsi="Arial"/>
          <w:sz w:val="16"/>
          <w:szCs w:val="16"/>
          <w:color w:val="auto"/>
        </w:rPr>
        <w:t>The Company’s funeral plan insurance is written on a simplified medical application with underwriting requirements being a completed application, a phone inspection on the applicant, and an intelliscript prescription history inquiry. There are several underwriting classes in which an applicant can be placed.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Annuities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Products</w:t>
      </w:r>
    </w:p>
    <w:p>
      <w:pPr>
        <w:spacing w:after="0" w:line="2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of time, such as an individual’s life, or for such other period as may be designated.</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Annuities have guaranteed interest rates that range from 1% to 6.5% per annum. Rates above the guaranteed interest rate credited are periodically modified by the Board of Directors at its discretion. In order for the Company to realize a profit on an annuity product, the Company must maintain an interest rate spread between its investment income and the interest rate credited to the annuities. Commissions, issuance expenses, and general and administrative expenses are deducted from this interest rate spread.</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and Distribution</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general market for the Company’s annuities is middle to older age individuals. A major source of annuity sales come from direct agents and are sold in conjunction with other insurance sales. If an individual does not qualify for a funeral plan, the agent will often sell that individual an annuity to fund final expenses.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annuity business for the five years ended December 31, 2018:</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26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Annuities Policy/Cert Count as of</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Deposits Collected (omitted 000)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9,644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10,353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11,019</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8,069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the acquisition of First Guaranty.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Accident and Health</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Products</w:t>
      </w:r>
    </w:p>
    <w:p>
      <w:pPr>
        <w:spacing w:after="0" w:line="274"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With the acquisition of Capital Investors in 1994, the Company acquired a small block of accident and health policies. Since 1999, the Company has offered a low-cost comprehensive diver’s accident policy that provides worldwide coverage for medical expense reimbursement in the event of a diving accident.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Markets and Distribution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markets its diver’s accident policies through the internet.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accident and health insurance business for the five years ended December 31, 2018:</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9"/>
        </w:trPr>
        <w:tc>
          <w:tcPr>
            <w:tcW w:w="1160" w:type="dxa"/>
            <w:vAlign w:val="bottom"/>
          </w:tcPr>
          <w:p>
            <w:pPr>
              <w:spacing w:after="0"/>
              <w:rPr>
                <w:sz w:val="17"/>
                <w:szCs w:val="17"/>
                <w:color w:val="auto"/>
              </w:rPr>
            </w:pPr>
          </w:p>
        </w:tc>
        <w:tc>
          <w:tcPr>
            <w:tcW w:w="3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Accident and Health Policy/Cert Count as of</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Premiums Collected (omitted 000)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90"/>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Reinsurance</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the Company’s policy to retain no more than $100,000 of ordinary insurance per insured life, with the excess risk being reinsured. The total amount of life insurance reinsured by other companies as of December 31, 2018, was $56,706,000, which represents approximately 3.1% of the Company’s life insurance in force on that date.</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See “Management’s Discussion and Analysis of Results of Operations and Financial Condition” and “Notes to Consolidated Financial Statements” for additional disclosure and discussion regarding reinsurance.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investments that support the Company’s life insurance and annuity obligations are determined by the investment committees of the Company’s subsidiaries and ratified by the full Board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See “Management’s Discussion and Analysis of Results of Operations and Financial Condition” and “Notes to Consolidated Financial Statements” for additional disclosure and discussion regarding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and Mortuary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four separate stand-alone mortuary facilities.</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Markets and Distribution</w:t>
      </w:r>
    </w:p>
    <w:p>
      <w:pPr>
        <w:spacing w:after="0" w:line="27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Company’s pre</w:t>
      </w:r>
      <w:r>
        <w:rPr>
          <w:rFonts w:ascii="MS PGothic" w:cs="MS PGothic" w:eastAsia="MS PGothic" w:hAnsi="MS PGothic"/>
          <w:sz w:val="18"/>
          <w:szCs w:val="18"/>
          <w:color w:val="auto"/>
        </w:rPr>
        <w:t>‑</w:t>
      </w:r>
      <w:r>
        <w:rPr>
          <w:rFonts w:ascii="Arial" w:cs="Arial" w:eastAsia="Arial" w:hAnsi="Arial"/>
          <w:sz w:val="18"/>
          <w:szCs w:val="18"/>
          <w:color w:val="auto"/>
        </w:rPr>
        <w:t>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geographic area.</w:t>
      </w:r>
    </w:p>
    <w:p>
      <w:pPr>
        <w:spacing w:after="0" w:line="25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Company actively seeks to sell its cemetery and funeral products to customers on a pre</w:t>
      </w:r>
      <w:r>
        <w:rPr>
          <w:rFonts w:ascii="MS PGothic" w:cs="MS PGothic" w:eastAsia="MS PGothic" w:hAnsi="MS PGothic"/>
          <w:sz w:val="16"/>
          <w:szCs w:val="16"/>
          <w:color w:val="auto"/>
        </w:rPr>
        <w:t>‑</w:t>
      </w:r>
      <w:r>
        <w:rPr>
          <w:rFonts w:ascii="Arial" w:cs="Arial" w:eastAsia="Arial" w:hAnsi="Arial"/>
          <w:sz w:val="16"/>
          <w:szCs w:val="16"/>
          <w:color w:val="auto"/>
        </w:rPr>
        <w:t>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25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Potential customers are located via telephone sales prospecting, responses to letters mailed by the pre-planning consultants, newspaper inserts, referrals, and door-to-door canvassing. The Company trains its sales representatives and helps generate leads for them.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Mortgage Loans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through its wholly owned subsidiaries, SecurityNational Mortgage and EverLEND Mortgage, are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EverLEND Mortgage is approved by the U.S. Department of Housing and Urban Development (HUD), and other secondary market investors, to originate a variety of residential mortgage loan products, which are subsequently sold to investors. The Company uses internal and external funding sources to fund mortgage loans.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Security National Life originates and funds commercial real estate loans, residential construction loans, and land development loans for internal investment.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Markets and Distribution</w:t>
      </w:r>
    </w:p>
    <w:p>
      <w:pPr>
        <w:spacing w:after="0" w:line="2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residential mortgage lending services are marketed primarily to real estate brokers and some independent mortgage loan originators. The Company has a strong retail origination presence in the Utah, Florida, Nevada, and Texas markets in addition to one wholesale branch office located in Utah, with sales representatives in these and other states. See “Management’s Discussion and Analysis of Results of Operations and Financial Condition” and “Notes to Consolidated Financial Statements” for additional disclosure and discussion regarding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Other Business Activities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Acquisitions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Acquisition of Beta Capital Corp.</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 For the year ended December 31, 2017, Beta Capital had revenues of $1,208,000 with a net pre-tax income of $204,000. As of December 31, 2017, the total assets of Beta Capital were $3,270,000 and total equity was $1,832,000.</w:t>
      </w:r>
    </w:p>
    <w:p>
      <w:pPr>
        <w:spacing w:after="0" w:line="24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Acquisition of Probst Family Funerals and Cremations and Heber Valley Funeral Home</w:t>
      </w:r>
    </w:p>
    <w:p>
      <w:pPr>
        <w:spacing w:after="0" w:line="2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terms of the transaction, as set forth in the Asset Purchase Agreement, dated February 15, 2019, by and among SN Probst LLC, a wholly owned subsidiary of Memorial Mortuary (“SN Probst”), and Probst Family Funerals, Heber Valley Funeral Home, Joe T. Probst, Clinton Wayne Probst, Calle J. Probst, and Marsha L. Probst, Memorial Mortuary, through its wholly owned subsidiary SN Probst, paid the purchase price of $3,300,000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i w:val="1"/>
          <w:iCs w:val="1"/>
          <w:color w:val="auto"/>
        </w:rPr>
        <w:t>Real Estate Development</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capitalizing on the opportunity to develop commercial assets on its existing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The Company plans to continue its development endeavors as the market demands.</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Center53 Development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2015, the Company broke ground and commenced development on the first phase of its new corporate campus. The anticipated project, comprising nearly 20 acres of land that is currently owned by the Company in the central valley of Salt Lake City, is envisioned to be a multi-year, phased development. At full development, the project will include nearly one million square-feet in six buildings, ranging from four to ten stories, and will be serviced by three parking structures with about 4,000 stalls. The first phase of the project includes a building and a parking garage consisting of nearly 200,000 square feet of office and retail space with 748 parking stalls. This phase of the campus was completed in July 2017 and is currently 65% leased. The Company continues to market the property to potential tenants.</w:t>
      </w: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Sale of Dry Creek at East Village Apartments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29, 2018, the Company through its wholly owned subsidiary,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$34,250,000, and the Company recognized a gain of approximately $22,252,000 from the sale in the first quarter of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insurance subsidiaries are subject to comprehensive regulation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are licensed to do business. Such regulation could involve additional costs, restrict operations, or delay implementation of the Company’s business plans.</w:t>
      </w:r>
    </w:p>
    <w:p>
      <w:pPr>
        <w:spacing w:after="0" w:line="23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life insurance subsidiaries are currently subject to regulation in Utah, Arkansas, Louisiana, Mississippi and Texas under insurance holding company legislation, and other states where applicable. Generally, intercompany transfers of assets and dividend payments from insurance subsidiaries are subject to prior notice of approval from the state insurance department, if they are deemed “extraordinary” under these statutes. The insurance subsidiaries are required, under state insurance laws, to file detailed annual reports with the supervisory agencies in each of the states in which they do business. Their business and accounts are also subject to examination by these agencies. The Company completed an examination by Louisiana for the three year period ending December 31, 2016 and has also completed examinations by Arkansas, Mississippi, Texas and Utah for the four year period ending December 31, 2017. The Texas Department of Banking also audits pre-need insurance policies that are issued in the state of Texas. Pre-need policies are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also indicates the number of new policies issued for that year, all death claims paid that year, and all premiums received.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52" w:lineRule="auto"/>
        <w:rPr>
          <w:sz w:val="20"/>
          <w:szCs w:val="20"/>
          <w:color w:val="auto"/>
        </w:rPr>
      </w:pPr>
      <w:r>
        <w:rPr>
          <w:rFonts w:ascii="Arial" w:cs="Arial" w:eastAsia="Arial" w:hAnsi="Arial"/>
          <w:sz w:val="18"/>
          <w:szCs w:val="18"/>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and California. Reports are required to be kept on file on a yearly basis which include financial information concerning the number of spaces sold and, where applicable, funds provided to the Endowment Care Trust Fund. Licenses are issued annually on the basis of such reports. The cemeteries maintain city or county licenses where they conduct business.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procedures for loan origination and underwriting, licensing of brokers and loan officers, quality review audits and the fees that can be charged to borrowers. Each year, the Company is required to have an audit completed for each mortgage subsidiary by an independent registered public accounting firm to verify compliance under some of these regulations. In addition to the government regulations, the Company must meet loan requirements, and underwriting guidelines of various investors who purchase the loans.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insurance subsidiaries, Security National Life and First Guaranty,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The Company may be subject to the corporate Alternative Minimum Tax (AMT) for tax years ending prior to January 1, 2018. The Tax Cuts and Jobs Act (the “Tax Act”) repealed the corporate AMT for tax years beginning after December 31, 2017. Also, under the Tax Act, December 31, 2017 policyholder surplus account balances result in taxable income over a period of eight years.</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Security National Life and First Guaranty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24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Company’s non</w:t>
      </w:r>
      <w:r>
        <w:rPr>
          <w:rFonts w:ascii="MS PGothic" w:cs="MS PGothic" w:eastAsia="MS PGothic" w:hAnsi="MS PGothic"/>
          <w:sz w:val="18"/>
          <w:szCs w:val="18"/>
          <w:color w:val="auto"/>
        </w:rPr>
        <w:t>‑</w:t>
      </w:r>
      <w:r>
        <w:rPr>
          <w:rFonts w:ascii="Arial" w:cs="Arial" w:eastAsia="Arial" w:hAnsi="Arial"/>
          <w:sz w:val="18"/>
          <w:szCs w:val="18"/>
          <w:color w:val="auto"/>
        </w:rPr>
        <w:t>life insurance company subsidiaries are taxed in general under the regular corporate tax provisions. The following subsidiaries are regulated as life insurance companies but do not meet the Internal Revenue Code definition of a life insurance company, so they are taxed as insurance companies other than life insurance companies: Memorial Insurance, Southern Security, and Trans-Western.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life insurance industry is highly competitive. There are approximately 1,000 legal reserve life insurance companies in business in the United States. These insurance companies differentiate themselves through marketing techniques, product features, price, and customer service. The Company’s insurance subsidiaries compete with a large number of insurance companies, many of which have greater financial resources, a longer business history, and more diversified line of insurance products than the Company. In addition, such companies generally have a larger sales force.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234"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cemetery and mortuary industry is also highly competitive. In the Utah and California markets where the Company competes, there are a number of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w:t>
      </w:r>
      <w:r>
        <w:rPr>
          <w:rFonts w:ascii="MS PGothic" w:cs="MS PGothic" w:eastAsia="MS PGothic" w:hAnsi="MS PGothic"/>
          <w:sz w:val="17"/>
          <w:szCs w:val="17"/>
          <w:color w:val="auto"/>
        </w:rPr>
        <w:t>‑</w:t>
      </w:r>
      <w:r>
        <w:rPr>
          <w:rFonts w:ascii="Arial" w:cs="Arial" w:eastAsia="Arial" w:hAnsi="Arial"/>
          <w:sz w:val="17"/>
          <w:szCs w:val="17"/>
          <w:color w:val="auto"/>
        </w:rPr>
        <w:t>need sales program that is not incurred by those competitors which do not have a pre</w:t>
      </w:r>
      <w:r>
        <w:rPr>
          <w:rFonts w:ascii="MS PGothic" w:cs="MS PGothic" w:eastAsia="MS PGothic" w:hAnsi="MS PGothic"/>
          <w:sz w:val="17"/>
          <w:szCs w:val="17"/>
          <w:color w:val="auto"/>
        </w:rPr>
        <w:t>‑</w:t>
      </w:r>
      <w:r>
        <w:rPr>
          <w:rFonts w:ascii="Arial" w:cs="Arial" w:eastAsia="Arial" w:hAnsi="Arial"/>
          <w:sz w:val="17"/>
          <w:szCs w:val="17"/>
          <w:color w:val="auto"/>
        </w:rPr>
        <w:t>need sales force. The Company believes that its products and prices are generally competitive with those in the industry.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The mortgage industry is highly competitive with a large number of mortgage companies and banks in the same geographic area in which the Company is operating. The mortgage industry in general is sensitive to changes in interest rates and the refinancing market is particularly vulnerable to changes in interest rates.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had 1,237 full-time and 196 part-time employees.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Item 2. Properties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1"/>
        </w:trPr>
        <w:tc>
          <w:tcPr>
            <w:tcW w:w="9700" w:type="dxa"/>
            <w:vAlign w:val="bottom"/>
            <w:gridSpan w:val="15"/>
          </w:tcPr>
          <w:p>
            <w:pPr>
              <w:spacing w:after="0"/>
              <w:rPr>
                <w:sz w:val="20"/>
                <w:szCs w:val="20"/>
                <w:color w:val="auto"/>
              </w:rPr>
            </w:pPr>
            <w:r>
              <w:rPr>
                <w:rFonts w:ascii="Arial" w:cs="Arial" w:eastAsia="Arial" w:hAnsi="Arial"/>
                <w:sz w:val="18"/>
                <w:szCs w:val="18"/>
                <w:color w:val="auto"/>
                <w:w w:val="92"/>
              </w:rPr>
              <w:t>The following table sets forth the location of the Company’s office facilities and certain other information relating to these properties.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7"/>
              </w:rPr>
              <w:t>Owned</w:t>
            </w:r>
          </w:p>
        </w:tc>
        <w:tc>
          <w:tcPr>
            <w:tcW w:w="10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Approximate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Square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Lease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4480" w:type="dxa"/>
            <w:vAlign w:val="bottom"/>
            <w:gridSpan w:val="3"/>
          </w:tcPr>
          <w:p>
            <w:pPr>
              <w:spacing w:after="0" w:line="188" w:lineRule="exact"/>
              <w:rPr>
                <w:sz w:val="20"/>
                <w:szCs w:val="20"/>
                <w:color w:val="auto"/>
              </w:rPr>
            </w:pPr>
            <w:r>
              <w:rPr>
                <w:rFonts w:ascii="Arial" w:cs="Arial" w:eastAsia="Arial" w:hAnsi="Arial"/>
                <w:sz w:val="18"/>
                <w:szCs w:val="18"/>
                <w:color w:val="auto"/>
              </w:rPr>
              <w:t>Street</w:t>
            </w:r>
          </w:p>
        </w:tc>
        <w:tc>
          <w:tcPr>
            <w:tcW w:w="920" w:type="dxa"/>
            <w:vAlign w:val="bottom"/>
          </w:tcPr>
          <w:p>
            <w:pPr>
              <w:spacing w:after="0" w:line="188" w:lineRule="exact"/>
              <w:rPr>
                <w:sz w:val="20"/>
                <w:szCs w:val="20"/>
                <w:color w:val="auto"/>
              </w:rPr>
            </w:pPr>
            <w:r>
              <w:rPr>
                <w:rFonts w:ascii="Arial" w:cs="Arial" w:eastAsia="Arial" w:hAnsi="Arial"/>
                <w:sz w:val="18"/>
                <w:szCs w:val="18"/>
                <w:color w:val="auto"/>
              </w:rPr>
              <w:t>City</w:t>
            </w:r>
          </w:p>
        </w:tc>
        <w:tc>
          <w:tcPr>
            <w:tcW w:w="420" w:type="dxa"/>
            <w:vAlign w:val="bottom"/>
          </w:tcPr>
          <w:p>
            <w:pPr>
              <w:ind w:left="60"/>
              <w:spacing w:after="0" w:line="188" w:lineRule="exact"/>
              <w:rPr>
                <w:sz w:val="20"/>
                <w:szCs w:val="20"/>
                <w:color w:val="auto"/>
              </w:rPr>
            </w:pPr>
            <w:r>
              <w:rPr>
                <w:rFonts w:ascii="Arial" w:cs="Arial" w:eastAsia="Arial" w:hAnsi="Arial"/>
                <w:sz w:val="18"/>
                <w:szCs w:val="18"/>
                <w:color w:val="auto"/>
                <w:w w:val="80"/>
              </w:rPr>
              <w:t>State</w:t>
            </w:r>
          </w:p>
        </w:tc>
        <w:tc>
          <w:tcPr>
            <w:tcW w:w="120" w:type="dxa"/>
            <w:vAlign w:val="bottom"/>
          </w:tcPr>
          <w:p>
            <w:pPr>
              <w:spacing w:after="0"/>
              <w:rPr>
                <w:sz w:val="16"/>
                <w:szCs w:val="16"/>
                <w:color w:val="auto"/>
              </w:rPr>
            </w:pPr>
          </w:p>
        </w:tc>
        <w:tc>
          <w:tcPr>
            <w:tcW w:w="960" w:type="dxa"/>
            <w:vAlign w:val="bottom"/>
          </w:tcPr>
          <w:p>
            <w:pPr>
              <w:ind w:left="160"/>
              <w:spacing w:after="0" w:line="188" w:lineRule="exact"/>
              <w:rPr>
                <w:sz w:val="20"/>
                <w:szCs w:val="20"/>
                <w:color w:val="auto"/>
              </w:rPr>
            </w:pPr>
            <w:r>
              <w:rPr>
                <w:rFonts w:ascii="Arial" w:cs="Arial" w:eastAsia="Arial" w:hAnsi="Arial"/>
                <w:sz w:val="18"/>
                <w:szCs w:val="18"/>
                <w:color w:val="auto"/>
              </w:rPr>
              <w:t>Function</w:t>
            </w:r>
          </w:p>
        </w:tc>
        <w:tc>
          <w:tcPr>
            <w:tcW w:w="620" w:type="dxa"/>
            <w:vAlign w:val="bottom"/>
            <w:gridSpan w:val="2"/>
          </w:tcPr>
          <w:p>
            <w:pPr>
              <w:ind w:left="100"/>
              <w:spacing w:after="0" w:line="188" w:lineRule="exact"/>
              <w:rPr>
                <w:sz w:val="20"/>
                <w:szCs w:val="20"/>
                <w:color w:val="auto"/>
              </w:rPr>
            </w:pPr>
            <w:r>
              <w:rPr>
                <w:rFonts w:ascii="Arial" w:cs="Arial" w:eastAsia="Arial" w:hAnsi="Arial"/>
                <w:sz w:val="18"/>
                <w:szCs w:val="18"/>
                <w:color w:val="auto"/>
                <w:w w:val="84"/>
              </w:rPr>
              <w:t>Leased</w:t>
            </w:r>
          </w:p>
        </w:tc>
        <w:tc>
          <w:tcPr>
            <w:tcW w:w="100" w:type="dxa"/>
            <w:vAlign w:val="bottom"/>
          </w:tcPr>
          <w:p>
            <w:pPr>
              <w:spacing w:after="0"/>
              <w:rPr>
                <w:sz w:val="16"/>
                <w:szCs w:val="16"/>
                <w:color w:val="auto"/>
              </w:rPr>
            </w:pPr>
          </w:p>
        </w:tc>
        <w:tc>
          <w:tcPr>
            <w:tcW w:w="1180" w:type="dxa"/>
            <w:vAlign w:val="bottom"/>
            <w:gridSpan w:val="2"/>
          </w:tcPr>
          <w:p>
            <w:pPr>
              <w:jc w:val="center"/>
              <w:ind w:right="100"/>
              <w:spacing w:after="0" w:line="188" w:lineRule="exact"/>
              <w:rPr>
                <w:sz w:val="20"/>
                <w:szCs w:val="20"/>
                <w:color w:val="auto"/>
              </w:rPr>
            </w:pPr>
            <w:r>
              <w:rPr>
                <w:rFonts w:ascii="Arial" w:cs="Arial" w:eastAsia="Arial" w:hAnsi="Arial"/>
                <w:sz w:val="18"/>
                <w:szCs w:val="18"/>
                <w:color w:val="auto"/>
                <w:w w:val="84"/>
              </w:rPr>
              <w:t>Footage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180"/>
              <w:spacing w:after="0" w:line="188" w:lineRule="exact"/>
              <w:rPr>
                <w:sz w:val="20"/>
                <w:szCs w:val="20"/>
                <w:color w:val="auto"/>
              </w:rPr>
            </w:pPr>
            <w:r>
              <w:rPr>
                <w:rFonts w:ascii="Arial" w:cs="Arial" w:eastAsia="Arial" w:hAnsi="Arial"/>
                <w:sz w:val="18"/>
                <w:szCs w:val="18"/>
                <w:color w:val="auto"/>
              </w:rPr>
              <w:t>Expiration</w:t>
            </w:r>
          </w:p>
        </w:tc>
      </w:tr>
      <w:tr>
        <w:trPr>
          <w:trHeight w:val="27"/>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Salt Lake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5300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360 W.</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City</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UT</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Headquarters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Owned</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line="200" w:lineRule="exact"/>
              <w:rPr>
                <w:sz w:val="20"/>
                <w:szCs w:val="20"/>
                <w:color w:val="auto"/>
              </w:rPr>
            </w:pPr>
            <w:r>
              <w:rPr>
                <w:rFonts w:ascii="Arial" w:cs="Arial" w:eastAsia="Arial" w:hAnsi="Arial"/>
                <w:sz w:val="18"/>
                <w:szCs w:val="18"/>
                <w:color w:val="auto"/>
              </w:rPr>
              <w:t>Salt Lake</w:t>
            </w: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5201</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S. Green St.</w:t>
            </w:r>
          </w:p>
        </w:tc>
        <w:tc>
          <w:tcPr>
            <w:tcW w:w="920" w:type="dxa"/>
            <w:vAlign w:val="bottom"/>
          </w:tcPr>
          <w:p>
            <w:pPr>
              <w:spacing w:after="0"/>
              <w:rPr>
                <w:sz w:val="20"/>
                <w:szCs w:val="20"/>
                <w:color w:val="auto"/>
              </w:rPr>
            </w:pPr>
            <w:r>
              <w:rPr>
                <w:rFonts w:ascii="Arial" w:cs="Arial" w:eastAsia="Arial" w:hAnsi="Arial"/>
                <w:sz w:val="18"/>
                <w:szCs w:val="18"/>
                <w:color w:val="auto"/>
              </w:rPr>
              <w:t>City</w:t>
            </w:r>
          </w:p>
        </w:tc>
        <w:tc>
          <w:tcPr>
            <w:tcW w:w="420" w:type="dxa"/>
            <w:vAlign w:val="bottom"/>
          </w:tcPr>
          <w:p>
            <w:pPr>
              <w:ind w:left="60"/>
              <w:spacing w:after="0"/>
              <w:rPr>
                <w:sz w:val="20"/>
                <w:szCs w:val="20"/>
                <w:color w:val="auto"/>
              </w:rPr>
            </w:pPr>
            <w:r>
              <w:rPr>
                <w:rFonts w:ascii="Arial" w:cs="Arial" w:eastAsia="Arial" w:hAnsi="Arial"/>
                <w:sz w:val="18"/>
                <w:szCs w:val="18"/>
                <w:color w:val="auto"/>
              </w:rPr>
              <w:t>UT</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Operations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7"/>
              </w:rPr>
              <w:t>Owned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1044</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 Oaks Dr.</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Flowood</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MS</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Owned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Funeral</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5239</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Greenpine Dr.</w:t>
            </w:r>
          </w:p>
        </w:tc>
        <w:tc>
          <w:tcPr>
            <w:tcW w:w="920" w:type="dxa"/>
            <w:vAlign w:val="bottom"/>
          </w:tcPr>
          <w:p>
            <w:pPr>
              <w:spacing w:after="0"/>
              <w:rPr>
                <w:sz w:val="20"/>
                <w:szCs w:val="20"/>
                <w:color w:val="auto"/>
              </w:rPr>
            </w:pPr>
            <w:r>
              <w:rPr>
                <w:rFonts w:ascii="Arial" w:cs="Arial" w:eastAsia="Arial" w:hAnsi="Arial"/>
                <w:sz w:val="18"/>
                <w:szCs w:val="18"/>
                <w:color w:val="auto"/>
              </w:rPr>
              <w:t>Murray</w:t>
            </w:r>
          </w:p>
        </w:tc>
        <w:tc>
          <w:tcPr>
            <w:tcW w:w="420" w:type="dxa"/>
            <w:vAlign w:val="bottom"/>
          </w:tcPr>
          <w:p>
            <w:pPr>
              <w:ind w:left="60"/>
              <w:spacing w:after="0"/>
              <w:rPr>
                <w:sz w:val="20"/>
                <w:szCs w:val="20"/>
                <w:color w:val="auto"/>
              </w:rPr>
            </w:pPr>
            <w:r>
              <w:rPr>
                <w:rFonts w:ascii="Arial" w:cs="Arial" w:eastAsia="Arial" w:hAnsi="Arial"/>
                <w:sz w:val="18"/>
                <w:szCs w:val="18"/>
                <w:color w:val="auto"/>
              </w:rPr>
              <w:t>UT</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Operations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7"/>
              </w:rPr>
              <w:t>Owned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 W. Election Rd., Suite 100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Draper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UT</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Owned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line="200" w:lineRule="exact"/>
              <w:rPr>
                <w:sz w:val="20"/>
                <w:szCs w:val="20"/>
                <w:color w:val="auto"/>
              </w:rPr>
            </w:pPr>
            <w:r>
              <w:rPr>
                <w:rFonts w:ascii="Arial" w:cs="Arial" w:eastAsia="Arial" w:hAnsi="Arial"/>
                <w:sz w:val="18"/>
                <w:szCs w:val="18"/>
                <w:color w:val="auto"/>
              </w:rPr>
              <w:t>Rainbow</w:t>
            </w: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w w:val="89"/>
              </w:rPr>
              <w:t>Fast Funding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4480" w:type="dxa"/>
            <w:vAlign w:val="bottom"/>
            <w:gridSpan w:val="3"/>
          </w:tcPr>
          <w:p>
            <w:pPr>
              <w:spacing w:after="0"/>
              <w:rPr>
                <w:sz w:val="20"/>
                <w:szCs w:val="20"/>
                <w:color w:val="auto"/>
              </w:rPr>
            </w:pPr>
            <w:r>
              <w:rPr>
                <w:rFonts w:ascii="Arial" w:cs="Arial" w:eastAsia="Arial" w:hAnsi="Arial"/>
                <w:sz w:val="18"/>
                <w:szCs w:val="18"/>
                <w:color w:val="auto"/>
              </w:rPr>
              <w:t>497 Sutton Bridge Rd.</w:t>
            </w:r>
          </w:p>
        </w:tc>
        <w:tc>
          <w:tcPr>
            <w:tcW w:w="920" w:type="dxa"/>
            <w:vAlign w:val="bottom"/>
          </w:tcPr>
          <w:p>
            <w:pPr>
              <w:spacing w:after="0"/>
              <w:rPr>
                <w:sz w:val="20"/>
                <w:szCs w:val="20"/>
                <w:color w:val="auto"/>
              </w:rPr>
            </w:pPr>
            <w:r>
              <w:rPr>
                <w:rFonts w:ascii="Arial" w:cs="Arial" w:eastAsia="Arial" w:hAnsi="Arial"/>
                <w:sz w:val="18"/>
                <w:szCs w:val="18"/>
                <w:color w:val="auto"/>
              </w:rPr>
              <w:t>City</w:t>
            </w:r>
          </w:p>
        </w:tc>
        <w:tc>
          <w:tcPr>
            <w:tcW w:w="420" w:type="dxa"/>
            <w:vAlign w:val="bottom"/>
          </w:tcPr>
          <w:p>
            <w:pPr>
              <w:ind w:left="60"/>
              <w:spacing w:after="0"/>
              <w:rPr>
                <w:sz w:val="20"/>
                <w:szCs w:val="20"/>
                <w:color w:val="auto"/>
              </w:rPr>
            </w:pPr>
            <w:r>
              <w:rPr>
                <w:rFonts w:ascii="Arial" w:cs="Arial" w:eastAsia="Arial" w:hAnsi="Arial"/>
                <w:sz w:val="18"/>
                <w:szCs w:val="18"/>
                <w:color w:val="auto"/>
              </w:rPr>
              <w:t>AL</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Operations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12,850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8,000</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12/31/2019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w w:val="89"/>
              </w:rPr>
              <w:t>Fast Funding</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3515</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Pelham Rd., Suite 200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Greenville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SC</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w w:val="89"/>
              </w:rPr>
              <w:t>Fast Funding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4007</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Seaboard Court, Suite 1</w:t>
            </w:r>
          </w:p>
        </w:tc>
        <w:tc>
          <w:tcPr>
            <w:tcW w:w="920" w:type="dxa"/>
            <w:vAlign w:val="bottom"/>
          </w:tcPr>
          <w:p>
            <w:pPr>
              <w:spacing w:after="0"/>
              <w:rPr>
                <w:sz w:val="20"/>
                <w:szCs w:val="20"/>
                <w:color w:val="auto"/>
              </w:rPr>
            </w:pPr>
            <w:r>
              <w:rPr>
                <w:rFonts w:ascii="Arial" w:cs="Arial" w:eastAsia="Arial" w:hAnsi="Arial"/>
                <w:sz w:val="18"/>
                <w:szCs w:val="18"/>
                <w:color w:val="auto"/>
                <w:w w:val="97"/>
              </w:rPr>
              <w:t>Portsmouth</w:t>
            </w:r>
          </w:p>
        </w:tc>
        <w:tc>
          <w:tcPr>
            <w:tcW w:w="420" w:type="dxa"/>
            <w:vAlign w:val="bottom"/>
          </w:tcPr>
          <w:p>
            <w:pPr>
              <w:ind w:left="60"/>
              <w:spacing w:after="0"/>
              <w:rPr>
                <w:sz w:val="20"/>
                <w:szCs w:val="20"/>
                <w:color w:val="auto"/>
              </w:rPr>
            </w:pPr>
            <w:r>
              <w:rPr>
                <w:rFonts w:ascii="Arial" w:cs="Arial" w:eastAsia="Arial" w:hAnsi="Arial"/>
                <w:sz w:val="18"/>
                <w:szCs w:val="18"/>
                <w:color w:val="auto"/>
              </w:rPr>
              <w:t>VA</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Operations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3,000</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5/31/2020</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16427 North Scottsdale Rd.</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Scottsdale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0"/>
              </w:rPr>
              <w:t>10,742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4480" w:type="dxa"/>
            <w:vAlign w:val="bottom"/>
            <w:gridSpan w:val="3"/>
          </w:tcPr>
          <w:p>
            <w:pPr>
              <w:spacing w:after="0"/>
              <w:rPr>
                <w:sz w:val="20"/>
                <w:szCs w:val="20"/>
                <w:color w:val="auto"/>
              </w:rPr>
            </w:pPr>
            <w:r>
              <w:rPr>
                <w:rFonts w:ascii="Arial" w:cs="Arial" w:eastAsia="Arial" w:hAnsi="Arial"/>
                <w:sz w:val="18"/>
                <w:szCs w:val="18"/>
                <w:color w:val="auto"/>
              </w:rPr>
              <w:t>17015 N. Scottsdale Rd., Suite 125</w:t>
            </w:r>
          </w:p>
        </w:tc>
        <w:tc>
          <w:tcPr>
            <w:tcW w:w="920" w:type="dxa"/>
            <w:vAlign w:val="bottom"/>
          </w:tcPr>
          <w:p>
            <w:pPr>
              <w:spacing w:after="0"/>
              <w:rPr>
                <w:sz w:val="20"/>
                <w:szCs w:val="20"/>
                <w:color w:val="auto"/>
              </w:rPr>
            </w:pPr>
            <w:r>
              <w:rPr>
                <w:rFonts w:ascii="Arial" w:cs="Arial" w:eastAsia="Arial" w:hAnsi="Arial"/>
                <w:sz w:val="18"/>
                <w:szCs w:val="18"/>
                <w:color w:val="auto"/>
              </w:rPr>
              <w:t>Scottsdale</w:t>
            </w:r>
          </w:p>
        </w:tc>
        <w:tc>
          <w:tcPr>
            <w:tcW w:w="420" w:type="dxa"/>
            <w:vAlign w:val="bottom"/>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90"/>
              </w:rPr>
              <w:t>13,415</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4/30/2020</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8600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 Anderson Dr., Suite 240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Scottsdale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1819</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S. Dobson Rd., Suite 202/203</w:t>
            </w:r>
          </w:p>
        </w:tc>
        <w:tc>
          <w:tcPr>
            <w:tcW w:w="920" w:type="dxa"/>
            <w:vAlign w:val="bottom"/>
          </w:tcPr>
          <w:p>
            <w:pPr>
              <w:spacing w:after="0"/>
              <w:rPr>
                <w:sz w:val="20"/>
                <w:szCs w:val="20"/>
                <w:color w:val="auto"/>
              </w:rPr>
            </w:pPr>
            <w:r>
              <w:rPr>
                <w:rFonts w:ascii="Arial" w:cs="Arial" w:eastAsia="Arial" w:hAnsi="Arial"/>
                <w:sz w:val="18"/>
                <w:szCs w:val="18"/>
                <w:color w:val="auto"/>
              </w:rPr>
              <w:t>Mesa</w:t>
            </w:r>
          </w:p>
        </w:tc>
        <w:tc>
          <w:tcPr>
            <w:tcW w:w="420" w:type="dxa"/>
            <w:vAlign w:val="bottom"/>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2,447</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7/31/2019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17505 N 79th Ave., Suite 213-E</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Glendale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5100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 99th Ave., Suite 100</w:t>
            </w:r>
          </w:p>
        </w:tc>
        <w:tc>
          <w:tcPr>
            <w:tcW w:w="920" w:type="dxa"/>
            <w:vAlign w:val="bottom"/>
          </w:tcPr>
          <w:p>
            <w:pPr>
              <w:spacing w:after="0"/>
              <w:rPr>
                <w:sz w:val="20"/>
                <w:szCs w:val="20"/>
                <w:color w:val="auto"/>
              </w:rPr>
            </w:pPr>
            <w:r>
              <w:rPr>
                <w:rFonts w:ascii="Arial" w:cs="Arial" w:eastAsia="Arial" w:hAnsi="Arial"/>
                <w:sz w:val="18"/>
                <w:szCs w:val="18"/>
                <w:color w:val="auto"/>
              </w:rPr>
              <w:t>Phoenix</w:t>
            </w:r>
          </w:p>
        </w:tc>
        <w:tc>
          <w:tcPr>
            <w:tcW w:w="420" w:type="dxa"/>
            <w:vAlign w:val="bottom"/>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3,175</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10/22/2021</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1930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Alma School Rd.</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Mesa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AZ</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9/14/2019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2999</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Douglas Blvd.</w:t>
            </w:r>
          </w:p>
        </w:tc>
        <w:tc>
          <w:tcPr>
            <w:tcW w:w="920" w:type="dxa"/>
            <w:vAlign w:val="bottom"/>
          </w:tcPr>
          <w:p>
            <w:pPr>
              <w:spacing w:after="0"/>
              <w:rPr>
                <w:sz w:val="20"/>
                <w:szCs w:val="20"/>
                <w:color w:val="auto"/>
              </w:rPr>
            </w:pPr>
            <w:r>
              <w:rPr>
                <w:rFonts w:ascii="Arial" w:cs="Arial" w:eastAsia="Arial" w:hAnsi="Arial"/>
                <w:sz w:val="18"/>
                <w:szCs w:val="18"/>
                <w:color w:val="auto"/>
              </w:rPr>
              <w:t>Roseville</w:t>
            </w:r>
          </w:p>
        </w:tc>
        <w:tc>
          <w:tcPr>
            <w:tcW w:w="420" w:type="dxa"/>
            <w:vAlign w:val="bottom"/>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3,485</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6/30/2020</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Newport</w:t>
            </w: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62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auto"/>
              </w:rPr>
              <w:t>Sub-</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 Upper Newport Plaza, Suite. 103</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Beach</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8525</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Madison Ave., Suite 142</w:t>
            </w:r>
          </w:p>
        </w:tc>
        <w:tc>
          <w:tcPr>
            <w:tcW w:w="920" w:type="dxa"/>
            <w:vAlign w:val="bottom"/>
          </w:tcPr>
          <w:p>
            <w:pPr>
              <w:spacing w:after="0"/>
              <w:rPr>
                <w:sz w:val="20"/>
                <w:szCs w:val="20"/>
                <w:color w:val="auto"/>
              </w:rPr>
            </w:pPr>
            <w:r>
              <w:rPr>
                <w:rFonts w:ascii="Arial" w:cs="Arial" w:eastAsia="Arial" w:hAnsi="Arial"/>
                <w:sz w:val="18"/>
                <w:szCs w:val="18"/>
                <w:color w:val="auto"/>
              </w:rPr>
              <w:t>Fair Oaks</w:t>
            </w:r>
          </w:p>
        </w:tc>
        <w:tc>
          <w:tcPr>
            <w:tcW w:w="420" w:type="dxa"/>
            <w:vAlign w:val="bottom"/>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4,132</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6/30/2019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3435</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 Demaree</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Visalia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2333</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San Ramon Vallue Blvd.</w:t>
            </w:r>
          </w:p>
        </w:tc>
        <w:tc>
          <w:tcPr>
            <w:tcW w:w="920" w:type="dxa"/>
            <w:vAlign w:val="bottom"/>
          </w:tcPr>
          <w:p>
            <w:pPr>
              <w:spacing w:after="0"/>
              <w:rPr>
                <w:sz w:val="20"/>
                <w:szCs w:val="20"/>
                <w:color w:val="auto"/>
              </w:rPr>
            </w:pPr>
            <w:r>
              <w:rPr>
                <w:rFonts w:ascii="Arial" w:cs="Arial" w:eastAsia="Arial" w:hAnsi="Arial"/>
                <w:sz w:val="18"/>
                <w:szCs w:val="18"/>
                <w:color w:val="auto"/>
                <w:w w:val="94"/>
              </w:rPr>
              <w:t>San Ramon</w:t>
            </w:r>
          </w:p>
        </w:tc>
        <w:tc>
          <w:tcPr>
            <w:tcW w:w="420" w:type="dxa"/>
            <w:vAlign w:val="bottom"/>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4,064</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5/14/2019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140 Gregory Ln.</w:t>
            </w: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Pleasant Hill CA</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1/31/2019</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3908</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Hathaway Ave.</w:t>
            </w:r>
          </w:p>
        </w:tc>
        <w:tc>
          <w:tcPr>
            <w:tcW w:w="920" w:type="dxa"/>
            <w:vAlign w:val="bottom"/>
          </w:tcPr>
          <w:p>
            <w:pPr>
              <w:spacing w:after="0"/>
              <w:rPr>
                <w:sz w:val="20"/>
                <w:szCs w:val="20"/>
                <w:color w:val="auto"/>
              </w:rPr>
            </w:pPr>
            <w:r>
              <w:rPr>
                <w:rFonts w:ascii="Arial" w:cs="Arial" w:eastAsia="Arial" w:hAnsi="Arial"/>
                <w:sz w:val="18"/>
                <w:szCs w:val="18"/>
                <w:color w:val="auto"/>
                <w:w w:val="93"/>
              </w:rPr>
              <w:t>Long Beach</w:t>
            </w:r>
          </w:p>
        </w:tc>
        <w:tc>
          <w:tcPr>
            <w:tcW w:w="420" w:type="dxa"/>
            <w:vAlign w:val="bottom"/>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City of</w:t>
            </w: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620" w:type="dxa"/>
            <w:vAlign w:val="bottom"/>
            <w:gridSpan w:val="2"/>
            <w:shd w:val="clear" w:color="auto" w:fill="CCEEFF"/>
          </w:tcPr>
          <w:p>
            <w:pPr>
              <w:ind w:left="100"/>
              <w:spacing w:after="0" w:line="200" w:lineRule="exact"/>
              <w:rPr>
                <w:sz w:val="20"/>
                <w:szCs w:val="20"/>
                <w:color w:val="auto"/>
              </w:rPr>
            </w:pPr>
            <w:r>
              <w:rPr>
                <w:rFonts w:ascii="Arial" w:cs="Arial" w:eastAsia="Arial" w:hAnsi="Arial"/>
                <w:sz w:val="18"/>
                <w:szCs w:val="18"/>
                <w:color w:val="auto"/>
              </w:rPr>
              <w:t>Sub-</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13191 Crossroads Parkway</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Industry</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7/31/2020</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line="200" w:lineRule="exact"/>
              <w:rPr>
                <w:sz w:val="20"/>
                <w:szCs w:val="20"/>
                <w:color w:val="auto"/>
              </w:rPr>
            </w:pPr>
            <w:r>
              <w:rPr>
                <w:rFonts w:ascii="Arial" w:cs="Arial" w:eastAsia="Arial" w:hAnsi="Arial"/>
                <w:sz w:val="18"/>
                <w:szCs w:val="18"/>
                <w:color w:val="auto"/>
                <w:w w:val="96"/>
              </w:rPr>
              <w:t>Greenwood</w:t>
            </w: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8480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E. Orchard Rd., Suite 4200</w:t>
            </w:r>
          </w:p>
        </w:tc>
        <w:tc>
          <w:tcPr>
            <w:tcW w:w="920" w:type="dxa"/>
            <w:vAlign w:val="bottom"/>
          </w:tcPr>
          <w:p>
            <w:pPr>
              <w:spacing w:after="0"/>
              <w:rPr>
                <w:sz w:val="20"/>
                <w:szCs w:val="20"/>
                <w:color w:val="auto"/>
              </w:rPr>
            </w:pPr>
            <w:r>
              <w:rPr>
                <w:rFonts w:ascii="Arial" w:cs="Arial" w:eastAsia="Arial" w:hAnsi="Arial"/>
                <w:sz w:val="18"/>
                <w:szCs w:val="18"/>
                <w:color w:val="auto"/>
              </w:rPr>
              <w:t>Village</w:t>
            </w:r>
          </w:p>
        </w:tc>
        <w:tc>
          <w:tcPr>
            <w:tcW w:w="420" w:type="dxa"/>
            <w:vAlign w:val="bottom"/>
          </w:tcPr>
          <w:p>
            <w:pPr>
              <w:ind w:left="60"/>
              <w:spacing w:after="0"/>
              <w:rPr>
                <w:sz w:val="20"/>
                <w:szCs w:val="20"/>
                <w:color w:val="auto"/>
              </w:rPr>
            </w:pPr>
            <w:r>
              <w:rPr>
                <w:rFonts w:ascii="Arial" w:cs="Arial" w:eastAsia="Arial" w:hAnsi="Arial"/>
                <w:sz w:val="18"/>
                <w:szCs w:val="18"/>
                <w:color w:val="auto"/>
              </w:rPr>
              <w:t>CO</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9,841</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5/31/2021</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1120 W. 122nd Ave., Suite 104</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Denver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10/31/2021</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7100</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E. Belleview Ave.</w:t>
            </w:r>
          </w:p>
        </w:tc>
        <w:tc>
          <w:tcPr>
            <w:tcW w:w="920" w:type="dxa"/>
            <w:vAlign w:val="bottom"/>
          </w:tcPr>
          <w:p>
            <w:pPr>
              <w:spacing w:after="0"/>
              <w:rPr>
                <w:sz w:val="20"/>
                <w:szCs w:val="20"/>
                <w:color w:val="auto"/>
              </w:rPr>
            </w:pPr>
            <w:r>
              <w:rPr>
                <w:rFonts w:ascii="Arial" w:cs="Arial" w:eastAsia="Arial" w:hAnsi="Arial"/>
                <w:sz w:val="18"/>
                <w:szCs w:val="18"/>
                <w:color w:val="auto"/>
                <w:w w:val="96"/>
              </w:rPr>
              <w:t>Greenwood</w:t>
            </w:r>
          </w:p>
        </w:tc>
        <w:tc>
          <w:tcPr>
            <w:tcW w:w="420" w:type="dxa"/>
            <w:vAlign w:val="bottom"/>
          </w:tcPr>
          <w:p>
            <w:pPr>
              <w:ind w:left="60"/>
              <w:spacing w:after="0"/>
              <w:rPr>
                <w:sz w:val="20"/>
                <w:szCs w:val="20"/>
                <w:color w:val="auto"/>
              </w:rPr>
            </w:pPr>
            <w:r>
              <w:rPr>
                <w:rFonts w:ascii="Arial" w:cs="Arial" w:eastAsia="Arial" w:hAnsi="Arial"/>
                <w:sz w:val="18"/>
                <w:szCs w:val="18"/>
                <w:color w:val="auto"/>
              </w:rPr>
              <w:t>CO</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5,310</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11/30/2019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Colorado</w:t>
            </w: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5475</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 Center Dr., Suite 100</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Springs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7/31/2020</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8191</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College Parkway, Suite 201</w:t>
            </w:r>
          </w:p>
        </w:tc>
        <w:tc>
          <w:tcPr>
            <w:tcW w:w="920" w:type="dxa"/>
            <w:vAlign w:val="bottom"/>
          </w:tcPr>
          <w:p>
            <w:pPr>
              <w:spacing w:after="0"/>
              <w:rPr>
                <w:sz w:val="20"/>
                <w:szCs w:val="20"/>
                <w:color w:val="auto"/>
              </w:rPr>
            </w:pPr>
            <w:r>
              <w:rPr>
                <w:rFonts w:ascii="Arial" w:cs="Arial" w:eastAsia="Arial" w:hAnsi="Arial"/>
                <w:sz w:val="18"/>
                <w:szCs w:val="18"/>
                <w:color w:val="auto"/>
              </w:rPr>
              <w:t>Ft Myers</w:t>
            </w:r>
          </w:p>
        </w:tc>
        <w:tc>
          <w:tcPr>
            <w:tcW w:w="420" w:type="dxa"/>
            <w:vAlign w:val="bottom"/>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3,917</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8/21/2021</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7830</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Lake Wilson Road</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Davenport</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1545</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S. Belcher Rd., Suite B</w:t>
            </w:r>
          </w:p>
        </w:tc>
        <w:tc>
          <w:tcPr>
            <w:tcW w:w="920" w:type="dxa"/>
            <w:vAlign w:val="bottom"/>
          </w:tcPr>
          <w:p>
            <w:pPr>
              <w:spacing w:after="0"/>
              <w:rPr>
                <w:sz w:val="20"/>
                <w:szCs w:val="20"/>
                <w:color w:val="auto"/>
              </w:rPr>
            </w:pPr>
            <w:r>
              <w:rPr>
                <w:rFonts w:ascii="Arial" w:cs="Arial" w:eastAsia="Arial" w:hAnsi="Arial"/>
                <w:sz w:val="18"/>
                <w:szCs w:val="18"/>
                <w:color w:val="auto"/>
              </w:rPr>
              <w:t>Clearwater</w:t>
            </w:r>
          </w:p>
        </w:tc>
        <w:tc>
          <w:tcPr>
            <w:tcW w:w="420" w:type="dxa"/>
            <w:vAlign w:val="bottom"/>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Desk Rental</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3,073</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4/30/2019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5331</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Way, Suite 203</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Springhill</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3/31/2020</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4480" w:type="dxa"/>
            <w:vAlign w:val="bottom"/>
            <w:gridSpan w:val="3"/>
          </w:tcPr>
          <w:p>
            <w:pPr>
              <w:spacing w:after="0"/>
              <w:rPr>
                <w:sz w:val="20"/>
                <w:szCs w:val="20"/>
                <w:color w:val="auto"/>
              </w:rPr>
            </w:pPr>
            <w:r>
              <w:rPr>
                <w:rFonts w:ascii="Arial" w:cs="Arial" w:eastAsia="Arial" w:hAnsi="Arial"/>
                <w:sz w:val="18"/>
                <w:szCs w:val="18"/>
                <w:color w:val="auto"/>
              </w:rPr>
              <w:t>203 NE 1st Ave.</w:t>
            </w:r>
          </w:p>
        </w:tc>
        <w:tc>
          <w:tcPr>
            <w:tcW w:w="1340" w:type="dxa"/>
            <w:vAlign w:val="bottom"/>
            <w:gridSpan w:val="2"/>
          </w:tcPr>
          <w:p>
            <w:pPr>
              <w:spacing w:after="0"/>
              <w:rPr>
                <w:sz w:val="20"/>
                <w:szCs w:val="20"/>
                <w:color w:val="auto"/>
              </w:rPr>
            </w:pPr>
            <w:r>
              <w:rPr>
                <w:rFonts w:ascii="Arial" w:cs="Arial" w:eastAsia="Arial" w:hAnsi="Arial"/>
                <w:sz w:val="18"/>
                <w:szCs w:val="18"/>
                <w:color w:val="auto"/>
              </w:rPr>
              <w:t>Delray BeachFL</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4,013</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6/30/2019</w:t>
            </w:r>
          </w:p>
        </w:tc>
      </w:tr>
      <w:tr>
        <w:trPr>
          <w:trHeight w:val="200"/>
        </w:trPr>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3689</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Tampa Rd., Suite 324</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Oldsmar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2/28/2020</w:t>
            </w:r>
          </w:p>
        </w:tc>
      </w:tr>
      <w:tr>
        <w:trPr>
          <w:trHeight w:val="199"/>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3689</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Tampa Rd., Suite 330</w:t>
            </w:r>
          </w:p>
        </w:tc>
        <w:tc>
          <w:tcPr>
            <w:tcW w:w="920" w:type="dxa"/>
            <w:vAlign w:val="bottom"/>
          </w:tcPr>
          <w:p>
            <w:pPr>
              <w:spacing w:after="0"/>
              <w:rPr>
                <w:sz w:val="20"/>
                <w:szCs w:val="20"/>
                <w:color w:val="auto"/>
              </w:rPr>
            </w:pPr>
            <w:r>
              <w:rPr>
                <w:rFonts w:ascii="Arial" w:cs="Arial" w:eastAsia="Arial" w:hAnsi="Arial"/>
                <w:sz w:val="18"/>
                <w:szCs w:val="18"/>
                <w:color w:val="auto"/>
              </w:rPr>
              <w:t>Oldsmar</w:t>
            </w:r>
          </w:p>
        </w:tc>
        <w:tc>
          <w:tcPr>
            <w:tcW w:w="420" w:type="dxa"/>
            <w:vAlign w:val="bottom"/>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4,553</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mo</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2/28/2019</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4732</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Highway 98 N.</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Lakeland</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Mortgage</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Leased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mo</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month to</w:t>
            </w:r>
          </w:p>
        </w:tc>
      </w:tr>
      <w:tr>
        <w:trPr>
          <w:trHeight w:val="33"/>
        </w:trPr>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121"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1145 TownPark Ave., Suites 2215/2255</w:t>
            </w:r>
          </w:p>
        </w:tc>
        <w:tc>
          <w:tcPr>
            <w:tcW w:w="1600" w:type="dxa"/>
            <w:vAlign w:val="bottom"/>
          </w:tcPr>
          <w:p>
            <w:pPr>
              <w:ind w:left="660"/>
              <w:spacing w:after="0"/>
              <w:rPr>
                <w:sz w:val="20"/>
                <w:szCs w:val="20"/>
                <w:color w:val="auto"/>
              </w:rPr>
            </w:pPr>
            <w:r>
              <w:rPr>
                <w:rFonts w:ascii="Arial" w:cs="Arial" w:eastAsia="Arial" w:hAnsi="Arial"/>
                <w:sz w:val="18"/>
                <w:szCs w:val="18"/>
                <w:color w:val="auto"/>
              </w:rPr>
              <w:t>Lake Mary</w:t>
            </w:r>
          </w:p>
        </w:tc>
        <w:tc>
          <w:tcPr>
            <w:tcW w:w="420" w:type="dxa"/>
            <w:vAlign w:val="bottom"/>
          </w:tcPr>
          <w:p>
            <w:pPr>
              <w:ind w:left="40"/>
              <w:spacing w:after="0"/>
              <w:rPr>
                <w:sz w:val="20"/>
                <w:szCs w:val="20"/>
                <w:color w:val="auto"/>
              </w:rPr>
            </w:pPr>
            <w:r>
              <w:rPr>
                <w:rFonts w:ascii="Arial" w:cs="Arial" w:eastAsia="Arial" w:hAnsi="Arial"/>
                <w:sz w:val="18"/>
                <w:szCs w:val="18"/>
                <w:color w:val="auto"/>
              </w:rPr>
              <w:t>FL</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9,390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19,829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2/29/2020</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1525</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Parkway</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Lake Mary</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10/31/2019</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ind w:left="660"/>
              <w:spacing w:after="0" w:line="200" w:lineRule="exact"/>
              <w:rPr>
                <w:sz w:val="20"/>
                <w:szCs w:val="20"/>
                <w:color w:val="auto"/>
              </w:rPr>
            </w:pPr>
            <w:r>
              <w:rPr>
                <w:rFonts w:ascii="Arial" w:cs="Arial" w:eastAsia="Arial" w:hAnsi="Arial"/>
                <w:sz w:val="18"/>
                <w:szCs w:val="18"/>
                <w:color w:val="auto"/>
              </w:rPr>
              <w:t>Pinnellas</w:t>
            </w: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3970</w:t>
            </w:r>
          </w:p>
        </w:tc>
        <w:tc>
          <w:tcPr>
            <w:tcW w:w="3440" w:type="dxa"/>
            <w:vAlign w:val="bottom"/>
          </w:tcPr>
          <w:p>
            <w:pPr>
              <w:ind w:left="20"/>
              <w:spacing w:after="0"/>
              <w:rPr>
                <w:sz w:val="20"/>
                <w:szCs w:val="20"/>
                <w:color w:val="auto"/>
              </w:rPr>
            </w:pPr>
            <w:r>
              <w:rPr>
                <w:rFonts w:ascii="Arial" w:cs="Arial" w:eastAsia="Arial" w:hAnsi="Arial"/>
                <w:sz w:val="18"/>
                <w:szCs w:val="18"/>
                <w:color w:val="auto"/>
              </w:rPr>
              <w:t>Tampa Rd. Oldsmar, Suite L</w:t>
            </w:r>
          </w:p>
        </w:tc>
        <w:tc>
          <w:tcPr>
            <w:tcW w:w="1600" w:type="dxa"/>
            <w:vAlign w:val="bottom"/>
          </w:tcPr>
          <w:p>
            <w:pPr>
              <w:ind w:left="660"/>
              <w:spacing w:after="0"/>
              <w:rPr>
                <w:sz w:val="20"/>
                <w:szCs w:val="20"/>
                <w:color w:val="auto"/>
              </w:rPr>
            </w:pPr>
            <w:r>
              <w:rPr>
                <w:rFonts w:ascii="Arial" w:cs="Arial" w:eastAsia="Arial" w:hAnsi="Arial"/>
                <w:sz w:val="18"/>
                <w:szCs w:val="18"/>
                <w:color w:val="auto"/>
              </w:rPr>
              <w:t>County</w:t>
            </w:r>
          </w:p>
        </w:tc>
        <w:tc>
          <w:tcPr>
            <w:tcW w:w="420" w:type="dxa"/>
            <w:vAlign w:val="bottom"/>
          </w:tcPr>
          <w:p>
            <w:pPr>
              <w:ind w:left="40"/>
              <w:spacing w:after="0"/>
              <w:rPr>
                <w:sz w:val="20"/>
                <w:szCs w:val="20"/>
                <w:color w:val="auto"/>
              </w:rPr>
            </w:pPr>
            <w:r>
              <w:rPr>
                <w:rFonts w:ascii="Arial" w:cs="Arial" w:eastAsia="Arial" w:hAnsi="Arial"/>
                <w:sz w:val="18"/>
                <w:szCs w:val="18"/>
                <w:color w:val="auto"/>
              </w:rPr>
              <w:t>FL</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8/31/2020</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113th Str. N. and 82nd Ave. N.</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Seminole</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3030</w:t>
            </w:r>
          </w:p>
        </w:tc>
        <w:tc>
          <w:tcPr>
            <w:tcW w:w="3440" w:type="dxa"/>
            <w:vAlign w:val="bottom"/>
          </w:tcPr>
          <w:p>
            <w:pPr>
              <w:ind w:left="20"/>
              <w:spacing w:after="0"/>
              <w:rPr>
                <w:sz w:val="20"/>
                <w:szCs w:val="20"/>
                <w:color w:val="auto"/>
              </w:rPr>
            </w:pPr>
            <w:r>
              <w:rPr>
                <w:rFonts w:ascii="Arial" w:cs="Arial" w:eastAsia="Arial" w:hAnsi="Arial"/>
                <w:sz w:val="18"/>
                <w:szCs w:val="18"/>
                <w:color w:val="auto"/>
              </w:rPr>
              <w:t>McEver Rd., Suite 220</w:t>
            </w:r>
          </w:p>
        </w:tc>
        <w:tc>
          <w:tcPr>
            <w:tcW w:w="1600" w:type="dxa"/>
            <w:vAlign w:val="bottom"/>
          </w:tcPr>
          <w:p>
            <w:pPr>
              <w:ind w:left="660"/>
              <w:spacing w:after="0"/>
              <w:rPr>
                <w:sz w:val="20"/>
                <w:szCs w:val="20"/>
                <w:color w:val="auto"/>
              </w:rPr>
            </w:pPr>
            <w:r>
              <w:rPr>
                <w:rFonts w:ascii="Arial" w:cs="Arial" w:eastAsia="Arial" w:hAnsi="Arial"/>
                <w:sz w:val="18"/>
                <w:szCs w:val="18"/>
                <w:color w:val="auto"/>
              </w:rPr>
              <w:t>Gainsville</w:t>
            </w:r>
          </w:p>
        </w:tc>
        <w:tc>
          <w:tcPr>
            <w:tcW w:w="420" w:type="dxa"/>
            <w:vAlign w:val="bottom"/>
          </w:tcPr>
          <w:p>
            <w:pPr>
              <w:ind w:left="40"/>
              <w:spacing w:after="0"/>
              <w:rPr>
                <w:sz w:val="20"/>
                <w:szCs w:val="20"/>
                <w:color w:val="auto"/>
              </w:rPr>
            </w:pPr>
            <w:r>
              <w:rPr>
                <w:rFonts w:ascii="Arial" w:cs="Arial" w:eastAsia="Arial" w:hAnsi="Arial"/>
                <w:sz w:val="18"/>
                <w:szCs w:val="18"/>
                <w:color w:val="auto"/>
              </w:rPr>
              <w:t>GA</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788 Walnut St., Suite 8</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Macon</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2886 Smokey Road</w:t>
            </w:r>
          </w:p>
        </w:tc>
        <w:tc>
          <w:tcPr>
            <w:tcW w:w="1600" w:type="dxa"/>
            <w:vAlign w:val="bottom"/>
          </w:tcPr>
          <w:p>
            <w:pPr>
              <w:ind w:left="660"/>
              <w:spacing w:after="0"/>
              <w:rPr>
                <w:sz w:val="20"/>
                <w:szCs w:val="20"/>
                <w:color w:val="auto"/>
              </w:rPr>
            </w:pPr>
            <w:r>
              <w:rPr>
                <w:rFonts w:ascii="Arial" w:cs="Arial" w:eastAsia="Arial" w:hAnsi="Arial"/>
                <w:sz w:val="18"/>
                <w:szCs w:val="18"/>
                <w:color w:val="auto"/>
              </w:rPr>
              <w:t>Newman</w:t>
            </w:r>
          </w:p>
        </w:tc>
        <w:tc>
          <w:tcPr>
            <w:tcW w:w="420" w:type="dxa"/>
            <w:vAlign w:val="bottom"/>
          </w:tcPr>
          <w:p>
            <w:pPr>
              <w:ind w:left="40"/>
              <w:spacing w:after="0"/>
              <w:rPr>
                <w:sz w:val="20"/>
                <w:szCs w:val="20"/>
                <w:color w:val="auto"/>
              </w:rPr>
            </w:pPr>
            <w:r>
              <w:rPr>
                <w:rFonts w:ascii="Arial" w:cs="Arial" w:eastAsia="Arial" w:hAnsi="Arial"/>
                <w:sz w:val="18"/>
                <w:szCs w:val="18"/>
                <w:color w:val="auto"/>
              </w:rPr>
              <w:t>GA</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1001</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Kamokila Blvd., Suite 142</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Kapolei</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12/31/2019</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4370</w:t>
            </w:r>
          </w:p>
        </w:tc>
        <w:tc>
          <w:tcPr>
            <w:tcW w:w="3440" w:type="dxa"/>
            <w:vAlign w:val="bottom"/>
          </w:tcPr>
          <w:p>
            <w:pPr>
              <w:ind w:left="20"/>
              <w:spacing w:after="0"/>
              <w:rPr>
                <w:sz w:val="20"/>
                <w:szCs w:val="20"/>
                <w:color w:val="auto"/>
              </w:rPr>
            </w:pPr>
            <w:r>
              <w:rPr>
                <w:rFonts w:ascii="Arial" w:cs="Arial" w:eastAsia="Arial" w:hAnsi="Arial"/>
                <w:sz w:val="18"/>
                <w:szCs w:val="18"/>
                <w:color w:val="auto"/>
              </w:rPr>
              <w:t>Kukui Grove St., Suite 201</w:t>
            </w:r>
          </w:p>
        </w:tc>
        <w:tc>
          <w:tcPr>
            <w:tcW w:w="1600" w:type="dxa"/>
            <w:vAlign w:val="bottom"/>
          </w:tcPr>
          <w:p>
            <w:pPr>
              <w:ind w:left="660"/>
              <w:spacing w:after="0"/>
              <w:rPr>
                <w:sz w:val="20"/>
                <w:szCs w:val="20"/>
                <w:color w:val="auto"/>
              </w:rPr>
            </w:pPr>
            <w:r>
              <w:rPr>
                <w:rFonts w:ascii="Arial" w:cs="Arial" w:eastAsia="Arial" w:hAnsi="Arial"/>
                <w:sz w:val="18"/>
                <w:szCs w:val="18"/>
                <w:color w:val="auto"/>
              </w:rPr>
              <w:t>Lihue</w:t>
            </w:r>
          </w:p>
        </w:tc>
        <w:tc>
          <w:tcPr>
            <w:tcW w:w="420" w:type="dxa"/>
            <w:vAlign w:val="bottom"/>
          </w:tcPr>
          <w:p>
            <w:pPr>
              <w:ind w:left="40"/>
              <w:spacing w:after="0"/>
              <w:rPr>
                <w:sz w:val="20"/>
                <w:szCs w:val="20"/>
                <w:color w:val="auto"/>
              </w:rPr>
            </w:pPr>
            <w:r>
              <w:rPr>
                <w:rFonts w:ascii="Arial" w:cs="Arial" w:eastAsia="Arial" w:hAnsi="Arial"/>
                <w:sz w:val="18"/>
                <w:szCs w:val="18"/>
                <w:color w:val="auto"/>
              </w:rPr>
              <w:t>HI</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2/28/2019</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9042</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 Barnes Dr.</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Boise</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10/31/2019</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116 N. 3rd St., Suite 12</w:t>
            </w:r>
          </w:p>
        </w:tc>
        <w:tc>
          <w:tcPr>
            <w:tcW w:w="1600" w:type="dxa"/>
            <w:vAlign w:val="bottom"/>
          </w:tcPr>
          <w:p>
            <w:pPr>
              <w:ind w:left="660"/>
              <w:spacing w:after="0"/>
              <w:rPr>
                <w:sz w:val="20"/>
                <w:szCs w:val="20"/>
                <w:color w:val="auto"/>
              </w:rPr>
            </w:pPr>
            <w:r>
              <w:rPr>
                <w:rFonts w:ascii="Arial" w:cs="Arial" w:eastAsia="Arial" w:hAnsi="Arial"/>
                <w:sz w:val="18"/>
                <w:szCs w:val="18"/>
                <w:color w:val="auto"/>
              </w:rPr>
              <w:t>Mccall</w:t>
            </w:r>
          </w:p>
        </w:tc>
        <w:tc>
          <w:tcPr>
            <w:tcW w:w="420" w:type="dxa"/>
            <w:vAlign w:val="bottom"/>
          </w:tcPr>
          <w:p>
            <w:pPr>
              <w:ind w:left="40"/>
              <w:spacing w:after="0"/>
              <w:rPr>
                <w:sz w:val="20"/>
                <w:szCs w:val="20"/>
                <w:color w:val="auto"/>
              </w:rPr>
            </w:pPr>
            <w:r>
              <w:rPr>
                <w:rFonts w:ascii="Arial" w:cs="Arial" w:eastAsia="Arial" w:hAnsi="Arial"/>
                <w:sz w:val="18"/>
                <w:szCs w:val="18"/>
                <w:color w:val="auto"/>
              </w:rPr>
              <w:t>ID</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W. Main St. Suite 3</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Rexburg</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3040</w:t>
            </w:r>
          </w:p>
        </w:tc>
        <w:tc>
          <w:tcPr>
            <w:tcW w:w="3440" w:type="dxa"/>
            <w:vAlign w:val="bottom"/>
          </w:tcPr>
          <w:p>
            <w:pPr>
              <w:ind w:left="20"/>
              <w:spacing w:after="0"/>
              <w:rPr>
                <w:sz w:val="20"/>
                <w:szCs w:val="20"/>
                <w:color w:val="auto"/>
              </w:rPr>
            </w:pPr>
            <w:r>
              <w:rPr>
                <w:rFonts w:ascii="Arial" w:cs="Arial" w:eastAsia="Arial" w:hAnsi="Arial"/>
                <w:sz w:val="18"/>
                <w:szCs w:val="18"/>
                <w:color w:val="auto"/>
              </w:rPr>
              <w:t>E 17th, Suite A</w:t>
            </w:r>
          </w:p>
        </w:tc>
        <w:tc>
          <w:tcPr>
            <w:tcW w:w="1600" w:type="dxa"/>
            <w:vAlign w:val="bottom"/>
          </w:tcPr>
          <w:p>
            <w:pPr>
              <w:ind w:left="660"/>
              <w:spacing w:after="0"/>
              <w:rPr>
                <w:sz w:val="20"/>
                <w:szCs w:val="20"/>
                <w:color w:val="auto"/>
              </w:rPr>
            </w:pPr>
            <w:r>
              <w:rPr>
                <w:rFonts w:ascii="Arial" w:cs="Arial" w:eastAsia="Arial" w:hAnsi="Arial"/>
                <w:sz w:val="18"/>
                <w:szCs w:val="18"/>
                <w:color w:val="auto"/>
              </w:rPr>
              <w:t>Idaho Falls</w:t>
            </w:r>
          </w:p>
        </w:tc>
        <w:tc>
          <w:tcPr>
            <w:tcW w:w="420" w:type="dxa"/>
            <w:vAlign w:val="bottom"/>
          </w:tcPr>
          <w:p>
            <w:pPr>
              <w:ind w:left="40"/>
              <w:spacing w:after="0"/>
              <w:rPr>
                <w:sz w:val="20"/>
                <w:szCs w:val="20"/>
                <w:color w:val="auto"/>
              </w:rPr>
            </w:pPr>
            <w:r>
              <w:rPr>
                <w:rFonts w:ascii="Arial" w:cs="Arial" w:eastAsia="Arial" w:hAnsi="Arial"/>
                <w:sz w:val="18"/>
                <w:szCs w:val="18"/>
                <w:color w:val="auto"/>
              </w:rPr>
              <w:t>ID</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5/31/2019</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7225-27 West Madison St.</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Forest Park</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9963</w:t>
            </w:r>
          </w:p>
        </w:tc>
        <w:tc>
          <w:tcPr>
            <w:tcW w:w="3440" w:type="dxa"/>
            <w:vAlign w:val="bottom"/>
          </w:tcPr>
          <w:p>
            <w:pPr>
              <w:ind w:left="20"/>
              <w:spacing w:after="0"/>
              <w:rPr>
                <w:sz w:val="20"/>
                <w:szCs w:val="20"/>
                <w:color w:val="auto"/>
              </w:rPr>
            </w:pPr>
            <w:r>
              <w:rPr>
                <w:rFonts w:ascii="Arial" w:cs="Arial" w:eastAsia="Arial" w:hAnsi="Arial"/>
                <w:sz w:val="18"/>
                <w:szCs w:val="18"/>
                <w:color w:val="auto"/>
              </w:rPr>
              <w:t>Crosspoint Blvd Suites 101/102</w:t>
            </w:r>
          </w:p>
        </w:tc>
        <w:tc>
          <w:tcPr>
            <w:tcW w:w="1600" w:type="dxa"/>
            <w:vAlign w:val="bottom"/>
          </w:tcPr>
          <w:p>
            <w:pPr>
              <w:ind w:left="660"/>
              <w:spacing w:after="0"/>
              <w:rPr>
                <w:sz w:val="20"/>
                <w:szCs w:val="20"/>
                <w:color w:val="auto"/>
              </w:rPr>
            </w:pPr>
            <w:r>
              <w:rPr>
                <w:rFonts w:ascii="Arial" w:cs="Arial" w:eastAsia="Arial" w:hAnsi="Arial"/>
                <w:sz w:val="18"/>
                <w:szCs w:val="18"/>
                <w:color w:val="auto"/>
                <w:w w:val="95"/>
              </w:rPr>
              <w:t>Indianapolis</w:t>
            </w:r>
          </w:p>
        </w:tc>
        <w:tc>
          <w:tcPr>
            <w:tcW w:w="420" w:type="dxa"/>
            <w:vAlign w:val="bottom"/>
          </w:tcPr>
          <w:p>
            <w:pPr>
              <w:ind w:left="40"/>
              <w:spacing w:after="0"/>
              <w:rPr>
                <w:sz w:val="20"/>
                <w:szCs w:val="20"/>
                <w:color w:val="auto"/>
              </w:rPr>
            </w:pPr>
            <w:r>
              <w:rPr>
                <w:rFonts w:ascii="Arial" w:cs="Arial" w:eastAsia="Arial" w:hAnsi="Arial"/>
                <w:sz w:val="18"/>
                <w:szCs w:val="18"/>
                <w:color w:val="auto"/>
              </w:rPr>
              <w:t>IN</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7/31/2019</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568 Greenluster Dr.</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Covington</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Insurance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1 Sanctuary Blvd. Suite 302A</w:t>
            </w:r>
          </w:p>
        </w:tc>
        <w:tc>
          <w:tcPr>
            <w:tcW w:w="1600" w:type="dxa"/>
            <w:vAlign w:val="bottom"/>
          </w:tcPr>
          <w:p>
            <w:pPr>
              <w:ind w:left="660"/>
              <w:spacing w:after="0"/>
              <w:rPr>
                <w:sz w:val="20"/>
                <w:szCs w:val="20"/>
                <w:color w:val="auto"/>
              </w:rPr>
            </w:pPr>
            <w:r>
              <w:rPr>
                <w:rFonts w:ascii="Arial" w:cs="Arial" w:eastAsia="Arial" w:hAnsi="Arial"/>
                <w:sz w:val="18"/>
                <w:szCs w:val="18"/>
                <w:color w:val="auto"/>
              </w:rPr>
              <w:t>Mandeville</w:t>
            </w:r>
          </w:p>
        </w:tc>
        <w:tc>
          <w:tcPr>
            <w:tcW w:w="420" w:type="dxa"/>
            <w:vAlign w:val="bottom"/>
          </w:tcPr>
          <w:p>
            <w:pPr>
              <w:ind w:left="40"/>
              <w:spacing w:after="0"/>
              <w:rPr>
                <w:sz w:val="20"/>
                <w:szCs w:val="20"/>
                <w:color w:val="auto"/>
              </w:rPr>
            </w:pPr>
            <w:r>
              <w:rPr>
                <w:rFonts w:ascii="Arial" w:cs="Arial" w:eastAsia="Arial" w:hAnsi="Arial"/>
                <w:sz w:val="18"/>
                <w:szCs w:val="18"/>
                <w:color w:val="auto"/>
              </w:rPr>
              <w:t>LA</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6/30/2020</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4987</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Fall Creek Rd. Suite 1</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Branson</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3/31/2019</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801 Cascade Pointe Lane, Suite 101</w:t>
            </w:r>
          </w:p>
        </w:tc>
        <w:tc>
          <w:tcPr>
            <w:tcW w:w="1600" w:type="dxa"/>
            <w:vAlign w:val="bottom"/>
          </w:tcPr>
          <w:p>
            <w:pPr>
              <w:ind w:left="660"/>
              <w:spacing w:after="0"/>
              <w:rPr>
                <w:sz w:val="20"/>
                <w:szCs w:val="20"/>
                <w:color w:val="auto"/>
              </w:rPr>
            </w:pPr>
            <w:r>
              <w:rPr>
                <w:rFonts w:ascii="Arial" w:cs="Arial" w:eastAsia="Arial" w:hAnsi="Arial"/>
                <w:sz w:val="18"/>
                <w:szCs w:val="18"/>
                <w:color w:val="auto"/>
              </w:rPr>
              <w:t>Raleigh</w:t>
            </w:r>
          </w:p>
        </w:tc>
        <w:tc>
          <w:tcPr>
            <w:tcW w:w="420" w:type="dxa"/>
            <w:vAlign w:val="bottom"/>
          </w:tcPr>
          <w:p>
            <w:pPr>
              <w:ind w:left="40"/>
              <w:spacing w:after="0"/>
              <w:rPr>
                <w:sz w:val="20"/>
                <w:szCs w:val="20"/>
                <w:color w:val="auto"/>
              </w:rPr>
            </w:pPr>
            <w:r>
              <w:rPr>
                <w:rFonts w:ascii="Arial" w:cs="Arial" w:eastAsia="Arial" w:hAnsi="Arial"/>
                <w:sz w:val="18"/>
                <w:szCs w:val="18"/>
                <w:color w:val="auto"/>
              </w:rPr>
              <w:t>NC</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4/30/2020</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7930</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Kenton Circle</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Huntersville</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NC</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2370</w:t>
            </w:r>
          </w:p>
        </w:tc>
        <w:tc>
          <w:tcPr>
            <w:tcW w:w="3440" w:type="dxa"/>
            <w:vAlign w:val="bottom"/>
          </w:tcPr>
          <w:p>
            <w:pPr>
              <w:ind w:left="20"/>
              <w:spacing w:after="0"/>
              <w:rPr>
                <w:sz w:val="20"/>
                <w:szCs w:val="20"/>
                <w:color w:val="auto"/>
              </w:rPr>
            </w:pPr>
            <w:r>
              <w:rPr>
                <w:rFonts w:ascii="Arial" w:cs="Arial" w:eastAsia="Arial" w:hAnsi="Arial"/>
                <w:sz w:val="18"/>
                <w:szCs w:val="18"/>
                <w:color w:val="auto"/>
              </w:rPr>
              <w:t>Corporate Circle, Suite 200</w:t>
            </w:r>
          </w:p>
        </w:tc>
        <w:tc>
          <w:tcPr>
            <w:tcW w:w="1600" w:type="dxa"/>
            <w:vAlign w:val="bottom"/>
          </w:tcPr>
          <w:p>
            <w:pPr>
              <w:ind w:left="660"/>
              <w:spacing w:after="0"/>
              <w:rPr>
                <w:sz w:val="20"/>
                <w:szCs w:val="20"/>
                <w:color w:val="auto"/>
              </w:rPr>
            </w:pPr>
            <w:r>
              <w:rPr>
                <w:rFonts w:ascii="Arial" w:cs="Arial" w:eastAsia="Arial" w:hAnsi="Arial"/>
                <w:sz w:val="18"/>
                <w:szCs w:val="18"/>
                <w:color w:val="auto"/>
              </w:rPr>
              <w:t>Henderson</w:t>
            </w:r>
          </w:p>
        </w:tc>
        <w:tc>
          <w:tcPr>
            <w:tcW w:w="420" w:type="dxa"/>
            <w:vAlign w:val="bottom"/>
          </w:tcPr>
          <w:p>
            <w:pPr>
              <w:ind w:left="40"/>
              <w:spacing w:after="0"/>
              <w:rPr>
                <w:sz w:val="20"/>
                <w:szCs w:val="20"/>
                <w:color w:val="auto"/>
              </w:rPr>
            </w:pPr>
            <w:r>
              <w:rPr>
                <w:rFonts w:ascii="Arial" w:cs="Arial" w:eastAsia="Arial" w:hAnsi="Arial"/>
                <w:sz w:val="18"/>
                <w:szCs w:val="18"/>
                <w:color w:val="auto"/>
              </w:rPr>
              <w:t>NV</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10,261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18,297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4/30/2020</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2370</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Circle, Suite 270</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Henderson</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NV</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3285</w:t>
            </w:r>
          </w:p>
        </w:tc>
        <w:tc>
          <w:tcPr>
            <w:tcW w:w="3440" w:type="dxa"/>
            <w:vAlign w:val="bottom"/>
          </w:tcPr>
          <w:p>
            <w:pPr>
              <w:ind w:left="20"/>
              <w:spacing w:after="0"/>
              <w:rPr>
                <w:sz w:val="20"/>
                <w:szCs w:val="20"/>
                <w:color w:val="auto"/>
              </w:rPr>
            </w:pPr>
            <w:r>
              <w:rPr>
                <w:rFonts w:ascii="Arial" w:cs="Arial" w:eastAsia="Arial" w:hAnsi="Arial"/>
                <w:sz w:val="18"/>
                <w:szCs w:val="18"/>
                <w:color w:val="auto"/>
              </w:rPr>
              <w:t>No. Fort Apache Rd, Suite 150</w:t>
            </w:r>
          </w:p>
        </w:tc>
        <w:tc>
          <w:tcPr>
            <w:tcW w:w="1600" w:type="dxa"/>
            <w:vAlign w:val="bottom"/>
          </w:tcPr>
          <w:p>
            <w:pPr>
              <w:ind w:left="660"/>
              <w:spacing w:after="0"/>
              <w:rPr>
                <w:sz w:val="20"/>
                <w:szCs w:val="20"/>
                <w:color w:val="auto"/>
              </w:rPr>
            </w:pPr>
            <w:r>
              <w:rPr>
                <w:rFonts w:ascii="Arial" w:cs="Arial" w:eastAsia="Arial" w:hAnsi="Arial"/>
                <w:sz w:val="18"/>
                <w:szCs w:val="18"/>
                <w:color w:val="auto"/>
              </w:rPr>
              <w:t>Las Vegas</w:t>
            </w:r>
          </w:p>
        </w:tc>
        <w:tc>
          <w:tcPr>
            <w:tcW w:w="420" w:type="dxa"/>
            <w:vAlign w:val="bottom"/>
          </w:tcPr>
          <w:p>
            <w:pPr>
              <w:ind w:left="40"/>
              <w:spacing w:after="0"/>
              <w:rPr>
                <w:sz w:val="20"/>
                <w:szCs w:val="20"/>
                <w:color w:val="auto"/>
              </w:rPr>
            </w:pPr>
            <w:r>
              <w:rPr>
                <w:rFonts w:ascii="Arial" w:cs="Arial" w:eastAsia="Arial" w:hAnsi="Arial"/>
                <w:sz w:val="18"/>
                <w:szCs w:val="18"/>
                <w:color w:val="auto"/>
              </w:rPr>
              <w:t>NV</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11,500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10765 Double R Blvd.</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Reno</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NV</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10/31/2021</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1980</w:t>
            </w:r>
          </w:p>
        </w:tc>
        <w:tc>
          <w:tcPr>
            <w:tcW w:w="3440" w:type="dxa"/>
            <w:vAlign w:val="bottom"/>
          </w:tcPr>
          <w:p>
            <w:pPr>
              <w:ind w:left="20"/>
              <w:spacing w:after="0"/>
              <w:rPr>
                <w:sz w:val="20"/>
                <w:szCs w:val="20"/>
                <w:color w:val="auto"/>
              </w:rPr>
            </w:pPr>
            <w:r>
              <w:rPr>
                <w:rFonts w:ascii="Arial" w:cs="Arial" w:eastAsia="Arial" w:hAnsi="Arial"/>
                <w:sz w:val="18"/>
                <w:szCs w:val="18"/>
                <w:color w:val="auto"/>
              </w:rPr>
              <w:t>Festival Plaza Dr., Suite 850</w:t>
            </w:r>
          </w:p>
        </w:tc>
        <w:tc>
          <w:tcPr>
            <w:tcW w:w="1600" w:type="dxa"/>
            <w:vAlign w:val="bottom"/>
          </w:tcPr>
          <w:p>
            <w:pPr>
              <w:ind w:left="660"/>
              <w:spacing w:after="0"/>
              <w:rPr>
                <w:sz w:val="20"/>
                <w:szCs w:val="20"/>
                <w:color w:val="auto"/>
              </w:rPr>
            </w:pPr>
            <w:r>
              <w:rPr>
                <w:rFonts w:ascii="Arial" w:cs="Arial" w:eastAsia="Arial" w:hAnsi="Arial"/>
                <w:sz w:val="18"/>
                <w:szCs w:val="18"/>
                <w:color w:val="auto"/>
              </w:rPr>
              <w:t>Las Vegas</w:t>
            </w:r>
          </w:p>
        </w:tc>
        <w:tc>
          <w:tcPr>
            <w:tcW w:w="420" w:type="dxa"/>
            <w:vAlign w:val="bottom"/>
          </w:tcPr>
          <w:p>
            <w:pPr>
              <w:ind w:left="40"/>
              <w:spacing w:after="0"/>
              <w:rPr>
                <w:sz w:val="20"/>
                <w:szCs w:val="20"/>
                <w:color w:val="auto"/>
              </w:rPr>
            </w:pPr>
            <w:r>
              <w:rPr>
                <w:rFonts w:ascii="Arial" w:cs="Arial" w:eastAsia="Arial" w:hAnsi="Arial"/>
                <w:sz w:val="18"/>
                <w:szCs w:val="18"/>
                <w:color w:val="auto"/>
              </w:rPr>
              <w:t>NV</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12,866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43,615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5/31/2021</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4000</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Eastern Ave., Suite 310</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Las Vegas</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NV</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8720</w:t>
            </w:r>
          </w:p>
        </w:tc>
        <w:tc>
          <w:tcPr>
            <w:tcW w:w="3440" w:type="dxa"/>
            <w:vAlign w:val="bottom"/>
          </w:tcPr>
          <w:p>
            <w:pPr>
              <w:ind w:left="20"/>
              <w:spacing w:after="0"/>
              <w:rPr>
                <w:sz w:val="20"/>
                <w:szCs w:val="20"/>
                <w:color w:val="auto"/>
              </w:rPr>
            </w:pPr>
            <w:r>
              <w:rPr>
                <w:rFonts w:ascii="Arial" w:cs="Arial" w:eastAsia="Arial" w:hAnsi="Arial"/>
                <w:sz w:val="18"/>
                <w:szCs w:val="18"/>
                <w:color w:val="auto"/>
              </w:rPr>
              <w:t>Orion Place, Suite 160</w:t>
            </w:r>
          </w:p>
        </w:tc>
        <w:tc>
          <w:tcPr>
            <w:tcW w:w="1600" w:type="dxa"/>
            <w:vAlign w:val="bottom"/>
          </w:tcPr>
          <w:p>
            <w:pPr>
              <w:ind w:left="660"/>
              <w:spacing w:after="0"/>
              <w:rPr>
                <w:sz w:val="20"/>
                <w:szCs w:val="20"/>
                <w:color w:val="auto"/>
              </w:rPr>
            </w:pPr>
            <w:r>
              <w:rPr>
                <w:rFonts w:ascii="Arial" w:cs="Arial" w:eastAsia="Arial" w:hAnsi="Arial"/>
                <w:sz w:val="18"/>
                <w:szCs w:val="18"/>
                <w:color w:val="auto"/>
              </w:rPr>
              <w:t>Colombus</w:t>
            </w:r>
          </w:p>
        </w:tc>
        <w:tc>
          <w:tcPr>
            <w:tcW w:w="420" w:type="dxa"/>
            <w:vAlign w:val="bottom"/>
          </w:tcPr>
          <w:p>
            <w:pPr>
              <w:ind w:left="40"/>
              <w:spacing w:after="0"/>
              <w:rPr>
                <w:sz w:val="20"/>
                <w:szCs w:val="20"/>
                <w:color w:val="auto"/>
              </w:rPr>
            </w:pPr>
            <w:r>
              <w:rPr>
                <w:rFonts w:ascii="Arial" w:cs="Arial" w:eastAsia="Arial" w:hAnsi="Arial"/>
                <w:sz w:val="18"/>
                <w:szCs w:val="18"/>
                <w:color w:val="auto"/>
              </w:rPr>
              <w:t>OH</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6/30/2023</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10610 SE Washington</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Portland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3311 NE MLK Jr Blvd., Suite 203</w:t>
            </w:r>
          </w:p>
        </w:tc>
        <w:tc>
          <w:tcPr>
            <w:tcW w:w="1600" w:type="dxa"/>
            <w:vAlign w:val="bottom"/>
          </w:tcPr>
          <w:p>
            <w:pPr>
              <w:ind w:left="660"/>
              <w:spacing w:after="0"/>
              <w:rPr>
                <w:sz w:val="20"/>
                <w:szCs w:val="20"/>
                <w:color w:val="auto"/>
              </w:rPr>
            </w:pPr>
            <w:r>
              <w:rPr>
                <w:rFonts w:ascii="Arial" w:cs="Arial" w:eastAsia="Arial" w:hAnsi="Arial"/>
                <w:sz w:val="18"/>
                <w:szCs w:val="18"/>
                <w:color w:val="auto"/>
              </w:rPr>
              <w:t>Portland</w:t>
            </w:r>
          </w:p>
        </w:tc>
        <w:tc>
          <w:tcPr>
            <w:tcW w:w="420" w:type="dxa"/>
            <w:vAlign w:val="bottom"/>
          </w:tcPr>
          <w:p>
            <w:pPr>
              <w:ind w:left="40"/>
              <w:spacing w:after="0"/>
              <w:rPr>
                <w:sz w:val="20"/>
                <w:szCs w:val="20"/>
                <w:color w:val="auto"/>
              </w:rPr>
            </w:pPr>
            <w:r>
              <w:rPr>
                <w:rFonts w:ascii="Arial" w:cs="Arial" w:eastAsia="Arial" w:hAnsi="Arial"/>
                <w:sz w:val="18"/>
                <w:szCs w:val="18"/>
                <w:color w:val="auto"/>
              </w:rPr>
              <w:t>OR</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10365 SE Sunnyside Rd., Suite 310</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Clackamus</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11/30/2019</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6263</w:t>
            </w:r>
          </w:p>
        </w:tc>
        <w:tc>
          <w:tcPr>
            <w:tcW w:w="3440" w:type="dxa"/>
            <w:vAlign w:val="bottom"/>
          </w:tcPr>
          <w:p>
            <w:pPr>
              <w:ind w:left="20"/>
              <w:spacing w:after="0"/>
              <w:rPr>
                <w:sz w:val="20"/>
                <w:szCs w:val="20"/>
                <w:color w:val="auto"/>
              </w:rPr>
            </w:pPr>
            <w:r>
              <w:rPr>
                <w:rFonts w:ascii="Arial" w:cs="Arial" w:eastAsia="Arial" w:hAnsi="Arial"/>
                <w:sz w:val="18"/>
                <w:szCs w:val="18"/>
                <w:color w:val="auto"/>
              </w:rPr>
              <w:t>Poplar Ave., Suite 900</w:t>
            </w:r>
          </w:p>
        </w:tc>
        <w:tc>
          <w:tcPr>
            <w:tcW w:w="1600" w:type="dxa"/>
            <w:vAlign w:val="bottom"/>
          </w:tcPr>
          <w:p>
            <w:pPr>
              <w:ind w:left="660"/>
              <w:spacing w:after="0"/>
              <w:rPr>
                <w:sz w:val="20"/>
                <w:szCs w:val="20"/>
                <w:color w:val="auto"/>
              </w:rPr>
            </w:pPr>
            <w:r>
              <w:rPr>
                <w:rFonts w:ascii="Arial" w:cs="Arial" w:eastAsia="Arial" w:hAnsi="Arial"/>
                <w:sz w:val="18"/>
                <w:szCs w:val="18"/>
                <w:color w:val="auto"/>
              </w:rPr>
              <w:t>Memphis</w:t>
            </w:r>
          </w:p>
        </w:tc>
        <w:tc>
          <w:tcPr>
            <w:tcW w:w="420" w:type="dxa"/>
            <w:vAlign w:val="bottom"/>
          </w:tcPr>
          <w:p>
            <w:pPr>
              <w:ind w:left="40"/>
              <w:spacing w:after="0"/>
              <w:rPr>
                <w:sz w:val="20"/>
                <w:szCs w:val="20"/>
                <w:color w:val="auto"/>
              </w:rPr>
            </w:pPr>
            <w:r>
              <w:rPr>
                <w:rFonts w:ascii="Arial" w:cs="Arial" w:eastAsia="Arial" w:hAnsi="Arial"/>
                <w:sz w:val="18"/>
                <w:szCs w:val="18"/>
                <w:color w:val="auto"/>
              </w:rPr>
              <w:t>TN</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3/31/2019</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6640</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Carothers Parkway, Suite 150</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Franklin</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TN</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208 Sunset Dr., Suites 403/404</w:t>
            </w:r>
          </w:p>
        </w:tc>
        <w:tc>
          <w:tcPr>
            <w:tcW w:w="1600" w:type="dxa"/>
            <w:vAlign w:val="bottom"/>
          </w:tcPr>
          <w:p>
            <w:pPr>
              <w:ind w:left="660"/>
              <w:spacing w:after="0"/>
              <w:rPr>
                <w:sz w:val="20"/>
                <w:szCs w:val="20"/>
                <w:color w:val="auto"/>
              </w:rPr>
            </w:pPr>
            <w:r>
              <w:rPr>
                <w:rFonts w:ascii="Arial" w:cs="Arial" w:eastAsia="Arial" w:hAnsi="Arial"/>
                <w:sz w:val="18"/>
                <w:szCs w:val="18"/>
                <w:color w:val="auto"/>
              </w:rPr>
              <w:t>Knoxville</w:t>
            </w:r>
          </w:p>
        </w:tc>
        <w:tc>
          <w:tcPr>
            <w:tcW w:w="420" w:type="dxa"/>
            <w:vAlign w:val="bottom"/>
          </w:tcPr>
          <w:p>
            <w:pPr>
              <w:ind w:left="40"/>
              <w:spacing w:after="0"/>
              <w:rPr>
                <w:sz w:val="20"/>
                <w:szCs w:val="20"/>
                <w:color w:val="auto"/>
              </w:rPr>
            </w:pPr>
            <w:r>
              <w:rPr>
                <w:rFonts w:ascii="Arial" w:cs="Arial" w:eastAsia="Arial" w:hAnsi="Arial"/>
                <w:sz w:val="18"/>
                <w:szCs w:val="18"/>
                <w:color w:val="auto"/>
              </w:rPr>
              <w:t>TN</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10/31/2022</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2159</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 Thompson Lane, Suite A-7</w:t>
            </w:r>
          </w:p>
        </w:tc>
        <w:tc>
          <w:tcPr>
            <w:tcW w:w="2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MurfreesboroTN</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20" w:type="dxa"/>
            <w:vAlign w:val="bottom"/>
            <w:gridSpan w:val="2"/>
          </w:tcPr>
          <w:p>
            <w:pPr>
              <w:spacing w:after="0"/>
              <w:rPr>
                <w:sz w:val="20"/>
                <w:szCs w:val="20"/>
                <w:color w:val="auto"/>
              </w:rPr>
            </w:pPr>
            <w:r>
              <w:rPr>
                <w:rFonts w:ascii="Arial" w:cs="Arial" w:eastAsia="Arial" w:hAnsi="Arial"/>
                <w:sz w:val="18"/>
                <w:szCs w:val="18"/>
                <w:color w:val="auto"/>
              </w:rPr>
              <w:t>11525 Fry Road, Suite 106</w:t>
            </w:r>
          </w:p>
        </w:tc>
        <w:tc>
          <w:tcPr>
            <w:tcW w:w="1600" w:type="dxa"/>
            <w:vAlign w:val="bottom"/>
          </w:tcPr>
          <w:p>
            <w:pPr>
              <w:ind w:left="660"/>
              <w:spacing w:after="0"/>
              <w:rPr>
                <w:sz w:val="20"/>
                <w:szCs w:val="20"/>
                <w:color w:val="auto"/>
              </w:rPr>
            </w:pPr>
            <w:r>
              <w:rPr>
                <w:rFonts w:ascii="Arial" w:cs="Arial" w:eastAsia="Arial" w:hAnsi="Arial"/>
                <w:sz w:val="18"/>
                <w:szCs w:val="18"/>
                <w:color w:val="auto"/>
              </w:rPr>
              <w:t>Fulshear</w:t>
            </w:r>
          </w:p>
        </w:tc>
        <w:tc>
          <w:tcPr>
            <w:tcW w:w="420" w:type="dxa"/>
            <w:vAlign w:val="bottom"/>
          </w:tcPr>
          <w:p>
            <w:pPr>
              <w:ind w:left="40"/>
              <w:spacing w:after="0"/>
              <w:rPr>
                <w:sz w:val="20"/>
                <w:szCs w:val="20"/>
                <w:color w:val="auto"/>
              </w:rPr>
            </w:pPr>
            <w:r>
              <w:rPr>
                <w:rFonts w:ascii="Arial" w:cs="Arial" w:eastAsia="Arial" w:hAnsi="Arial"/>
                <w:sz w:val="18"/>
                <w:szCs w:val="18"/>
                <w:color w:val="auto"/>
              </w:rPr>
              <w:t>TX</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11550 Fuqua, Suite 200</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Houston</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4/30/2020</w:t>
            </w:r>
          </w:p>
        </w:tc>
      </w:tr>
      <w:tr>
        <w:trPr>
          <w:trHeight w:val="199"/>
        </w:trPr>
        <w:tc>
          <w:tcPr>
            <w:tcW w:w="3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3000</w:t>
            </w:r>
          </w:p>
        </w:tc>
        <w:tc>
          <w:tcPr>
            <w:tcW w:w="3440" w:type="dxa"/>
            <w:vAlign w:val="bottom"/>
          </w:tcPr>
          <w:p>
            <w:pPr>
              <w:ind w:left="20"/>
              <w:spacing w:after="0"/>
              <w:rPr>
                <w:sz w:val="20"/>
                <w:szCs w:val="20"/>
                <w:color w:val="auto"/>
              </w:rPr>
            </w:pPr>
            <w:r>
              <w:rPr>
                <w:rFonts w:ascii="Arial" w:cs="Arial" w:eastAsia="Arial" w:hAnsi="Arial"/>
                <w:sz w:val="18"/>
                <w:szCs w:val="18"/>
                <w:color w:val="auto"/>
              </w:rPr>
              <w:t>Joe DiMaggio Blvd., Bldg 12 Suite 42</w:t>
            </w:r>
          </w:p>
        </w:tc>
        <w:tc>
          <w:tcPr>
            <w:tcW w:w="1600" w:type="dxa"/>
            <w:vAlign w:val="bottom"/>
          </w:tcPr>
          <w:p>
            <w:pPr>
              <w:ind w:left="660"/>
              <w:spacing w:after="0"/>
              <w:rPr>
                <w:sz w:val="20"/>
                <w:szCs w:val="20"/>
                <w:color w:val="auto"/>
              </w:rPr>
            </w:pPr>
            <w:r>
              <w:rPr>
                <w:rFonts w:ascii="Arial" w:cs="Arial" w:eastAsia="Arial" w:hAnsi="Arial"/>
                <w:sz w:val="18"/>
                <w:szCs w:val="18"/>
                <w:color w:val="auto"/>
                <w:w w:val="92"/>
              </w:rPr>
              <w:t>Round Rock</w:t>
            </w:r>
          </w:p>
        </w:tc>
        <w:tc>
          <w:tcPr>
            <w:tcW w:w="420" w:type="dxa"/>
            <w:vAlign w:val="bottom"/>
          </w:tcPr>
          <w:p>
            <w:pPr>
              <w:ind w:left="40"/>
              <w:spacing w:after="0"/>
              <w:rPr>
                <w:sz w:val="20"/>
                <w:szCs w:val="20"/>
                <w:color w:val="auto"/>
              </w:rPr>
            </w:pPr>
            <w:r>
              <w:rPr>
                <w:rFonts w:ascii="Arial" w:cs="Arial" w:eastAsia="Arial" w:hAnsi="Arial"/>
                <w:sz w:val="18"/>
                <w:szCs w:val="18"/>
                <w:color w:val="auto"/>
              </w:rPr>
              <w:t>TX</w:t>
            </w:r>
          </w:p>
        </w:tc>
        <w:tc>
          <w:tcPr>
            <w:tcW w:w="980" w:type="dxa"/>
            <w:vAlign w:val="bottom"/>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5/15/2021</w:t>
            </w:r>
          </w:p>
        </w:tc>
      </w:tr>
      <w:tr>
        <w:trPr>
          <w:trHeight w:val="200"/>
        </w:trPr>
        <w:tc>
          <w:tcPr>
            <w:tcW w:w="3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2408</w:t>
            </w: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Jacaman Road, Suite F</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Laredo</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6/1/2020</w:t>
            </w:r>
          </w:p>
        </w:tc>
      </w:tr>
    </w:tbl>
    <w:p>
      <w:pPr>
        <w:sectPr>
          <w:pgSz w:w="11900" w:h="16838" w:orient="portrait"/>
          <w:cols w:equalWidth="0" w:num="1">
            <w:col w:w="11420"/>
          </w:cols>
          <w:pgMar w:left="240" w:top="140"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2"/>
          </w:tcPr>
          <w:p>
            <w:pPr>
              <w:spacing w:after="0"/>
              <w:rPr>
                <w:sz w:val="20"/>
                <w:szCs w:val="20"/>
                <w:color w:val="auto"/>
              </w:rPr>
            </w:pPr>
            <w:r>
              <w:rPr>
                <w:rFonts w:ascii="Arial" w:cs="Arial" w:eastAsia="Arial" w:hAnsi="Arial"/>
                <w:sz w:val="18"/>
                <w:szCs w:val="18"/>
                <w:color w:val="auto"/>
              </w:rPr>
              <w:t>532 FM 120 East</w:t>
            </w:r>
          </w:p>
        </w:tc>
        <w:tc>
          <w:tcPr>
            <w:tcW w:w="1060" w:type="dxa"/>
            <w:vAlign w:val="bottom"/>
          </w:tcPr>
          <w:p>
            <w:pPr>
              <w:ind w:left="120"/>
              <w:spacing w:after="0"/>
              <w:rPr>
                <w:sz w:val="20"/>
                <w:szCs w:val="20"/>
                <w:color w:val="auto"/>
              </w:rPr>
            </w:pPr>
            <w:r>
              <w:rPr>
                <w:rFonts w:ascii="Arial" w:cs="Arial" w:eastAsia="Arial" w:hAnsi="Arial"/>
                <w:sz w:val="18"/>
                <w:szCs w:val="18"/>
                <w:color w:val="auto"/>
              </w:rPr>
              <w:t>East</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Mortgage</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 to</w:t>
            </w:r>
          </w:p>
        </w:tc>
      </w:tr>
      <w:tr>
        <w:trPr>
          <w:trHeight w:val="227"/>
        </w:trPr>
        <w:tc>
          <w:tcPr>
            <w:tcW w:w="3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rPr>
              <w:t>Pottsboro</w:t>
            </w:r>
          </w:p>
        </w:tc>
        <w:tc>
          <w:tcPr>
            <w:tcW w:w="4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8300</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Cypress Creek Parkway, Suite 450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Houston</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2877</w:t>
            </w:r>
          </w:p>
        </w:tc>
        <w:tc>
          <w:tcPr>
            <w:tcW w:w="3980" w:type="dxa"/>
            <w:vAlign w:val="bottom"/>
          </w:tcPr>
          <w:p>
            <w:pPr>
              <w:ind w:left="20"/>
              <w:spacing w:after="0"/>
              <w:rPr>
                <w:sz w:val="20"/>
                <w:szCs w:val="20"/>
                <w:color w:val="auto"/>
              </w:rPr>
            </w:pPr>
            <w:r>
              <w:rPr>
                <w:rFonts w:ascii="Arial" w:cs="Arial" w:eastAsia="Arial" w:hAnsi="Arial"/>
                <w:sz w:val="18"/>
                <w:szCs w:val="18"/>
                <w:color w:val="auto"/>
              </w:rPr>
              <w:t>Commercial Center</w:t>
            </w:r>
          </w:p>
        </w:tc>
        <w:tc>
          <w:tcPr>
            <w:tcW w:w="1060" w:type="dxa"/>
            <w:vAlign w:val="bottom"/>
          </w:tcPr>
          <w:p>
            <w:pPr>
              <w:ind w:left="120"/>
              <w:spacing w:after="0"/>
              <w:rPr>
                <w:sz w:val="20"/>
                <w:szCs w:val="20"/>
                <w:color w:val="auto"/>
              </w:rPr>
            </w:pPr>
            <w:r>
              <w:rPr>
                <w:rFonts w:ascii="Arial" w:cs="Arial" w:eastAsia="Arial" w:hAnsi="Arial"/>
                <w:sz w:val="18"/>
                <w:szCs w:val="18"/>
                <w:color w:val="auto"/>
              </w:rPr>
              <w:t>Katy</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602 S Main St., Suite 300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Weatherford</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5/31/2019</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52 Sugar Creek Center Blvd., Suite 150</w:t>
            </w:r>
          </w:p>
        </w:tc>
        <w:tc>
          <w:tcPr>
            <w:tcW w:w="1060" w:type="dxa"/>
            <w:vAlign w:val="bottom"/>
          </w:tcPr>
          <w:p>
            <w:pPr>
              <w:ind w:left="120"/>
              <w:spacing w:after="0"/>
              <w:rPr>
                <w:sz w:val="20"/>
                <w:szCs w:val="20"/>
                <w:color w:val="auto"/>
              </w:rPr>
            </w:pPr>
            <w:r>
              <w:rPr>
                <w:rFonts w:ascii="Arial" w:cs="Arial" w:eastAsia="Arial" w:hAnsi="Arial"/>
                <w:sz w:val="18"/>
                <w:szCs w:val="18"/>
                <w:color w:val="auto"/>
              </w:rPr>
              <w:t>Sugarland</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3/31/2020</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2526</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 Loop 1604 W., Suite 210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San Antonio</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11/30/2019</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 Chisholm Trail Rd., Suite 210</w:t>
            </w:r>
          </w:p>
        </w:tc>
        <w:tc>
          <w:tcPr>
            <w:tcW w:w="1060" w:type="dxa"/>
            <w:vAlign w:val="bottom"/>
          </w:tcPr>
          <w:p>
            <w:pPr>
              <w:ind w:left="120"/>
              <w:spacing w:after="0"/>
              <w:rPr>
                <w:sz w:val="20"/>
                <w:szCs w:val="20"/>
                <w:color w:val="auto"/>
              </w:rPr>
            </w:pPr>
            <w:r>
              <w:rPr>
                <w:rFonts w:ascii="Arial" w:cs="Arial" w:eastAsia="Arial" w:hAnsi="Arial"/>
                <w:sz w:val="18"/>
                <w:szCs w:val="18"/>
                <w:color w:val="auto"/>
                <w:w w:val="92"/>
              </w:rPr>
              <w:t>Round Rock</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12/31/2020</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3027</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Marina Bay Dr., Suite 200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League City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3/31/2020</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24668 Kingsland Blvd.</w:t>
            </w:r>
          </w:p>
        </w:tc>
        <w:tc>
          <w:tcPr>
            <w:tcW w:w="1060" w:type="dxa"/>
            <w:vAlign w:val="bottom"/>
          </w:tcPr>
          <w:p>
            <w:pPr>
              <w:ind w:left="120"/>
              <w:spacing w:after="0"/>
              <w:rPr>
                <w:sz w:val="20"/>
                <w:szCs w:val="20"/>
                <w:color w:val="auto"/>
              </w:rPr>
            </w:pPr>
            <w:r>
              <w:rPr>
                <w:rFonts w:ascii="Arial" w:cs="Arial" w:eastAsia="Arial" w:hAnsi="Arial"/>
                <w:sz w:val="18"/>
                <w:szCs w:val="18"/>
                <w:color w:val="auto"/>
              </w:rPr>
              <w:t>Katy</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1848</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Norwood Plaza, Suite 213</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Hurst</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17347 Village Green Dr., Suite 102</w:t>
            </w:r>
          </w:p>
        </w:tc>
        <w:tc>
          <w:tcPr>
            <w:tcW w:w="1060" w:type="dxa"/>
            <w:vAlign w:val="bottom"/>
          </w:tcPr>
          <w:p>
            <w:pPr>
              <w:ind w:left="120"/>
              <w:spacing w:after="0"/>
              <w:rPr>
                <w:sz w:val="20"/>
                <w:szCs w:val="20"/>
                <w:color w:val="auto"/>
              </w:rPr>
            </w:pPr>
            <w:r>
              <w:rPr>
                <w:rFonts w:ascii="Arial" w:cs="Arial" w:eastAsia="Arial" w:hAnsi="Arial"/>
                <w:sz w:val="18"/>
                <w:szCs w:val="18"/>
                <w:color w:val="auto"/>
              </w:rPr>
              <w:t>Houston</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11/30/2019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Farmers</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4100</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Alpha Rd., Suite 650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Branch</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3/31/2020</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1626</w:t>
            </w:r>
          </w:p>
        </w:tc>
        <w:tc>
          <w:tcPr>
            <w:tcW w:w="3980" w:type="dxa"/>
            <w:vAlign w:val="bottom"/>
          </w:tcPr>
          <w:p>
            <w:pPr>
              <w:ind w:left="20"/>
              <w:spacing w:after="0"/>
              <w:rPr>
                <w:sz w:val="20"/>
                <w:szCs w:val="20"/>
                <w:color w:val="auto"/>
              </w:rPr>
            </w:pPr>
            <w:r>
              <w:rPr>
                <w:rFonts w:ascii="Arial" w:cs="Arial" w:eastAsia="Arial" w:hAnsi="Arial"/>
                <w:sz w:val="18"/>
                <w:szCs w:val="18"/>
                <w:color w:val="auto"/>
              </w:rPr>
              <w:t>Lee Trevino, Suite A</w:t>
            </w:r>
          </w:p>
        </w:tc>
        <w:tc>
          <w:tcPr>
            <w:tcW w:w="1060" w:type="dxa"/>
            <w:vAlign w:val="bottom"/>
          </w:tcPr>
          <w:p>
            <w:pPr>
              <w:ind w:left="120"/>
              <w:spacing w:after="0"/>
              <w:rPr>
                <w:sz w:val="20"/>
                <w:szCs w:val="20"/>
                <w:color w:val="auto"/>
              </w:rPr>
            </w:pPr>
            <w:r>
              <w:rPr>
                <w:rFonts w:ascii="Arial" w:cs="Arial" w:eastAsia="Arial" w:hAnsi="Arial"/>
                <w:sz w:val="18"/>
                <w:szCs w:val="18"/>
                <w:color w:val="auto"/>
              </w:rPr>
              <w:t>El Paso</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12/31/2019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9737</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 Hills Trail, Suites 150, 200, 220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Austin</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36,052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8/31/2024</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1213</w:t>
            </w:r>
          </w:p>
        </w:tc>
        <w:tc>
          <w:tcPr>
            <w:tcW w:w="3980" w:type="dxa"/>
            <w:vAlign w:val="bottom"/>
          </w:tcPr>
          <w:p>
            <w:pPr>
              <w:ind w:left="20"/>
              <w:spacing w:after="0"/>
              <w:rPr>
                <w:sz w:val="20"/>
                <w:szCs w:val="20"/>
                <w:color w:val="auto"/>
              </w:rPr>
            </w:pPr>
            <w:r>
              <w:rPr>
                <w:rFonts w:ascii="Arial" w:cs="Arial" w:eastAsia="Arial" w:hAnsi="Arial"/>
                <w:sz w:val="18"/>
                <w:szCs w:val="18"/>
                <w:color w:val="auto"/>
              </w:rPr>
              <w:t>East Alton Gloor Blvd., Suite H</w:t>
            </w:r>
          </w:p>
        </w:tc>
        <w:tc>
          <w:tcPr>
            <w:tcW w:w="1060" w:type="dxa"/>
            <w:vAlign w:val="bottom"/>
          </w:tcPr>
          <w:p>
            <w:pPr>
              <w:ind w:left="120"/>
              <w:spacing w:after="0"/>
              <w:rPr>
                <w:sz w:val="20"/>
                <w:szCs w:val="20"/>
                <w:color w:val="auto"/>
              </w:rPr>
            </w:pPr>
            <w:r>
              <w:rPr>
                <w:rFonts w:ascii="Arial" w:cs="Arial" w:eastAsia="Arial" w:hAnsi="Arial"/>
                <w:sz w:val="18"/>
                <w:szCs w:val="18"/>
                <w:color w:val="auto"/>
              </w:rPr>
              <w:t>Brownsville</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3/31/2020</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7920</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Belt Line Rd., Suite 720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Dallas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12222 Merit Dr., Suite 220</w:t>
            </w:r>
          </w:p>
        </w:tc>
        <w:tc>
          <w:tcPr>
            <w:tcW w:w="1060" w:type="dxa"/>
            <w:vAlign w:val="bottom"/>
          </w:tcPr>
          <w:p>
            <w:pPr>
              <w:ind w:left="120"/>
              <w:spacing w:after="0"/>
              <w:rPr>
                <w:sz w:val="20"/>
                <w:szCs w:val="20"/>
                <w:color w:val="auto"/>
              </w:rPr>
            </w:pPr>
            <w:r>
              <w:rPr>
                <w:rFonts w:ascii="Arial" w:cs="Arial" w:eastAsia="Arial" w:hAnsi="Arial"/>
                <w:sz w:val="18"/>
                <w:szCs w:val="18"/>
                <w:color w:val="auto"/>
              </w:rPr>
              <w:t>Dallas</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9/30/2019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5020</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Collinwood Ave., Suite 100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Fort Worth</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1/31/2021</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240 North Adams St., Suite 4</w:t>
            </w:r>
          </w:p>
        </w:tc>
        <w:tc>
          <w:tcPr>
            <w:tcW w:w="1060" w:type="dxa"/>
            <w:vAlign w:val="bottom"/>
          </w:tcPr>
          <w:p>
            <w:pPr>
              <w:ind w:left="120"/>
              <w:spacing w:after="0"/>
              <w:rPr>
                <w:sz w:val="20"/>
                <w:szCs w:val="20"/>
                <w:color w:val="auto"/>
              </w:rPr>
            </w:pPr>
            <w:r>
              <w:rPr>
                <w:rFonts w:ascii="Arial" w:cs="Arial" w:eastAsia="Arial" w:hAnsi="Arial"/>
                <w:sz w:val="18"/>
                <w:szCs w:val="18"/>
                <w:color w:val="auto"/>
              </w:rPr>
              <w:t>Eagle Pass</w:t>
            </w:r>
          </w:p>
        </w:tc>
        <w:tc>
          <w:tcPr>
            <w:tcW w:w="400" w:type="dxa"/>
            <w:vAlign w:val="bottom"/>
          </w:tcPr>
          <w:p>
            <w:pPr>
              <w:ind w:left="40"/>
              <w:spacing w:after="0"/>
              <w:rPr>
                <w:sz w:val="20"/>
                <w:szCs w:val="20"/>
                <w:color w:val="auto"/>
              </w:rPr>
            </w:pPr>
            <w:r>
              <w:rPr>
                <w:rFonts w:ascii="Arial" w:cs="Arial" w:eastAsia="Arial" w:hAnsi="Arial"/>
                <w:sz w:val="18"/>
                <w:szCs w:val="18"/>
                <w:color w:val="auto"/>
              </w:rPr>
              <w:t>TX</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12/31/2019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13413 Galleria Circle, Suite 180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Austin</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TX</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2/28/2019</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118 E. Vine St.</w:t>
            </w:r>
          </w:p>
        </w:tc>
        <w:tc>
          <w:tcPr>
            <w:tcW w:w="1060" w:type="dxa"/>
            <w:vAlign w:val="bottom"/>
          </w:tcPr>
          <w:p>
            <w:pPr>
              <w:ind w:left="120"/>
              <w:spacing w:after="0"/>
              <w:rPr>
                <w:sz w:val="20"/>
                <w:szCs w:val="20"/>
                <w:color w:val="auto"/>
              </w:rPr>
            </w:pPr>
            <w:r>
              <w:rPr>
                <w:rFonts w:ascii="Arial" w:cs="Arial" w:eastAsia="Arial" w:hAnsi="Arial"/>
                <w:sz w:val="18"/>
                <w:szCs w:val="18"/>
                <w:color w:val="auto"/>
              </w:rPr>
              <w:t>Tooele</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7/1/2020</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5965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Redwood Rd.</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Taylorsville</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6575</w:t>
            </w:r>
          </w:p>
        </w:tc>
        <w:tc>
          <w:tcPr>
            <w:tcW w:w="3980" w:type="dxa"/>
            <w:vAlign w:val="bottom"/>
          </w:tcPr>
          <w:p>
            <w:pPr>
              <w:ind w:left="20"/>
              <w:spacing w:after="0"/>
              <w:rPr>
                <w:sz w:val="20"/>
                <w:szCs w:val="20"/>
                <w:color w:val="auto"/>
              </w:rPr>
            </w:pPr>
            <w:r>
              <w:rPr>
                <w:rFonts w:ascii="Arial" w:cs="Arial" w:eastAsia="Arial" w:hAnsi="Arial"/>
                <w:sz w:val="18"/>
                <w:szCs w:val="18"/>
                <w:color w:val="auto"/>
              </w:rPr>
              <w:t>S. Redwood Rd.</w:t>
            </w:r>
          </w:p>
        </w:tc>
        <w:tc>
          <w:tcPr>
            <w:tcW w:w="1060" w:type="dxa"/>
            <w:vAlign w:val="bottom"/>
          </w:tcPr>
          <w:p>
            <w:pPr>
              <w:ind w:left="120"/>
              <w:spacing w:after="0"/>
              <w:rPr>
                <w:sz w:val="20"/>
                <w:szCs w:val="20"/>
                <w:color w:val="auto"/>
              </w:rPr>
            </w:pPr>
            <w:r>
              <w:rPr>
                <w:rFonts w:ascii="Arial" w:cs="Arial" w:eastAsia="Arial" w:hAnsi="Arial"/>
                <w:sz w:val="18"/>
                <w:szCs w:val="18"/>
                <w:color w:val="auto"/>
              </w:rPr>
              <w:t>Taylorsville</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3,323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8/31/2019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10437 S. 1300 W., Suite 200</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South Jordan 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9/30/2019</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126 W. Sego Lily Dr., Suite 260</w:t>
            </w:r>
          </w:p>
        </w:tc>
        <w:tc>
          <w:tcPr>
            <w:tcW w:w="1060" w:type="dxa"/>
            <w:vAlign w:val="bottom"/>
          </w:tcPr>
          <w:p>
            <w:pPr>
              <w:ind w:left="120"/>
              <w:spacing w:after="0"/>
              <w:rPr>
                <w:sz w:val="20"/>
                <w:szCs w:val="20"/>
                <w:color w:val="auto"/>
              </w:rPr>
            </w:pPr>
            <w:r>
              <w:rPr>
                <w:rFonts w:ascii="Arial" w:cs="Arial" w:eastAsia="Arial" w:hAnsi="Arial"/>
                <w:sz w:val="18"/>
                <w:szCs w:val="18"/>
                <w:color w:val="auto"/>
              </w:rPr>
              <w:t>Sandy</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8/31/2020</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1145 S. 800 E.</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Orem</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1/31/2020</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ind w:left="120"/>
              <w:spacing w:after="0" w:line="200" w:lineRule="exact"/>
              <w:rPr>
                <w:sz w:val="20"/>
                <w:szCs w:val="20"/>
                <w:color w:val="auto"/>
              </w:rPr>
            </w:pPr>
            <w:r>
              <w:rPr>
                <w:rFonts w:ascii="Arial" w:cs="Arial" w:eastAsia="Arial" w:hAnsi="Arial"/>
                <w:sz w:val="18"/>
                <w:szCs w:val="18"/>
                <w:color w:val="auto"/>
              </w:rPr>
              <w:t>Salt Lake</w:t>
            </w: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1111 Brickyard Rd., Suite 107</w:t>
            </w:r>
          </w:p>
        </w:tc>
        <w:tc>
          <w:tcPr>
            <w:tcW w:w="1060" w:type="dxa"/>
            <w:vAlign w:val="bottom"/>
          </w:tcPr>
          <w:p>
            <w:pPr>
              <w:ind w:left="120"/>
              <w:spacing w:after="0"/>
              <w:rPr>
                <w:sz w:val="20"/>
                <w:szCs w:val="20"/>
                <w:color w:val="auto"/>
              </w:rPr>
            </w:pPr>
            <w:r>
              <w:rPr>
                <w:rFonts w:ascii="Arial" w:cs="Arial" w:eastAsia="Arial" w:hAnsi="Arial"/>
                <w:sz w:val="18"/>
                <w:szCs w:val="18"/>
                <w:color w:val="auto"/>
              </w:rPr>
              <w:t>City</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1/31/2020</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Salt Lake</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1751</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 Alexander St., Suite 10</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City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1224</w:t>
            </w:r>
          </w:p>
        </w:tc>
        <w:tc>
          <w:tcPr>
            <w:tcW w:w="3980" w:type="dxa"/>
            <w:vAlign w:val="bottom"/>
          </w:tcPr>
          <w:p>
            <w:pPr>
              <w:ind w:left="20"/>
              <w:spacing w:after="0"/>
              <w:rPr>
                <w:sz w:val="20"/>
                <w:szCs w:val="20"/>
                <w:color w:val="auto"/>
              </w:rPr>
            </w:pPr>
            <w:r>
              <w:rPr>
                <w:rFonts w:ascii="Arial" w:cs="Arial" w:eastAsia="Arial" w:hAnsi="Arial"/>
                <w:sz w:val="18"/>
                <w:szCs w:val="18"/>
                <w:color w:val="auto"/>
              </w:rPr>
              <w:t>S. River Rd., Suites E3 and B4</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w w:val="97"/>
              </w:rPr>
              <w:t>Saint George 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6/30/2019</w:t>
            </w:r>
          </w:p>
        </w:tc>
      </w:tr>
      <w:tr>
        <w:trPr>
          <w:trHeight w:val="201"/>
        </w:trPr>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6965</w:t>
            </w:r>
          </w:p>
        </w:tc>
        <w:tc>
          <w:tcPr>
            <w:tcW w:w="3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S. Union Park, Suites 100, 190, 260, 300, 460, 470, &amp;</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480</w:t>
            </w:r>
          </w:p>
        </w:tc>
        <w:tc>
          <w:tcPr>
            <w:tcW w:w="3980" w:type="dxa"/>
            <w:vAlign w:val="bottom"/>
            <w:shd w:val="clear" w:color="auto" w:fill="CCEEFF"/>
          </w:tcPr>
          <w:p>
            <w:pPr>
              <w:spacing w:after="0"/>
              <w:rPr>
                <w:sz w:val="19"/>
                <w:szCs w:val="19"/>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Midvale</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39,649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77,726</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6/30/2021</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6975</w:t>
            </w:r>
          </w:p>
        </w:tc>
        <w:tc>
          <w:tcPr>
            <w:tcW w:w="3980" w:type="dxa"/>
            <w:vAlign w:val="bottom"/>
          </w:tcPr>
          <w:p>
            <w:pPr>
              <w:ind w:left="20"/>
              <w:spacing w:after="0"/>
              <w:rPr>
                <w:sz w:val="20"/>
                <w:szCs w:val="20"/>
                <w:color w:val="auto"/>
              </w:rPr>
            </w:pPr>
            <w:r>
              <w:rPr>
                <w:rFonts w:ascii="Arial" w:cs="Arial" w:eastAsia="Arial" w:hAnsi="Arial"/>
                <w:sz w:val="18"/>
                <w:szCs w:val="18"/>
                <w:color w:val="auto"/>
              </w:rPr>
              <w:t>Union Park Ave., Suite 420</w:t>
            </w:r>
          </w:p>
        </w:tc>
        <w:tc>
          <w:tcPr>
            <w:tcW w:w="1060" w:type="dxa"/>
            <w:vAlign w:val="bottom"/>
          </w:tcPr>
          <w:p>
            <w:pPr>
              <w:ind w:left="120"/>
              <w:spacing w:after="0"/>
              <w:rPr>
                <w:sz w:val="20"/>
                <w:szCs w:val="20"/>
                <w:color w:val="auto"/>
              </w:rPr>
            </w:pPr>
            <w:r>
              <w:rPr>
                <w:rFonts w:ascii="Arial" w:cs="Arial" w:eastAsia="Arial" w:hAnsi="Arial"/>
                <w:sz w:val="18"/>
                <w:szCs w:val="18"/>
                <w:color w:val="auto"/>
              </w:rPr>
              <w:t>Midvale</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6,672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14,511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1133 North Main St.</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Layton</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497 S. Main</w:t>
            </w:r>
          </w:p>
        </w:tc>
        <w:tc>
          <w:tcPr>
            <w:tcW w:w="1060" w:type="dxa"/>
            <w:vAlign w:val="bottom"/>
          </w:tcPr>
          <w:p>
            <w:pPr>
              <w:ind w:left="120"/>
              <w:spacing w:after="0"/>
              <w:rPr>
                <w:sz w:val="20"/>
                <w:szCs w:val="20"/>
                <w:color w:val="auto"/>
              </w:rPr>
            </w:pPr>
            <w:r>
              <w:rPr>
                <w:rFonts w:ascii="Arial" w:cs="Arial" w:eastAsia="Arial" w:hAnsi="Arial"/>
                <w:sz w:val="18"/>
                <w:szCs w:val="18"/>
                <w:color w:val="auto"/>
              </w:rPr>
              <w:t>Ephraim</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9/30/2019</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695 East Main Street</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Midway</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170 S Interstate Plaza, Suite 230</w:t>
            </w:r>
          </w:p>
        </w:tc>
        <w:tc>
          <w:tcPr>
            <w:tcW w:w="1060" w:type="dxa"/>
            <w:vAlign w:val="bottom"/>
          </w:tcPr>
          <w:p>
            <w:pPr>
              <w:ind w:left="120"/>
              <w:spacing w:after="0"/>
              <w:rPr>
                <w:sz w:val="20"/>
                <w:szCs w:val="20"/>
                <w:color w:val="auto"/>
              </w:rPr>
            </w:pPr>
            <w:r>
              <w:rPr>
                <w:rFonts w:ascii="Arial" w:cs="Arial" w:eastAsia="Arial" w:hAnsi="Arial"/>
                <w:sz w:val="18"/>
                <w:szCs w:val="18"/>
                <w:color w:val="auto"/>
              </w:rPr>
              <w:t>Lehi</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7/31/2021</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Sub-</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1525</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 Main St, Suite 106</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Bountiful</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4/14/2019</w:t>
            </w:r>
          </w:p>
        </w:tc>
      </w:tr>
      <w:tr>
        <w:trPr>
          <w:trHeight w:val="199"/>
        </w:trPr>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75 Towne Ridge Parkway, Suite 100</w:t>
            </w:r>
          </w:p>
        </w:tc>
        <w:tc>
          <w:tcPr>
            <w:tcW w:w="1060" w:type="dxa"/>
            <w:vAlign w:val="bottom"/>
          </w:tcPr>
          <w:p>
            <w:pPr>
              <w:ind w:left="120"/>
              <w:spacing w:after="0"/>
              <w:rPr>
                <w:sz w:val="20"/>
                <w:szCs w:val="20"/>
                <w:color w:val="auto"/>
              </w:rPr>
            </w:pPr>
            <w:r>
              <w:rPr>
                <w:rFonts w:ascii="Arial" w:cs="Arial" w:eastAsia="Arial" w:hAnsi="Arial"/>
                <w:sz w:val="18"/>
                <w:szCs w:val="18"/>
                <w:color w:val="auto"/>
              </w:rPr>
              <w:t>Sandy</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6,867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15,737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8/31/2023</w:t>
            </w:r>
          </w:p>
        </w:tc>
      </w:tr>
      <w:tr>
        <w:trPr>
          <w:trHeight w:val="200"/>
        </w:trPr>
        <w:tc>
          <w:tcPr>
            <w:tcW w:w="3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Mortgage</w:t>
            </w: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3130</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Maple Loop Drive</w:t>
            </w:r>
          </w:p>
        </w:tc>
        <w:tc>
          <w:tcPr>
            <w:tcW w:w="1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Lehi</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2/28/2019</w:t>
            </w:r>
          </w:p>
        </w:tc>
      </w:tr>
      <w:tr>
        <w:trPr>
          <w:trHeight w:val="227"/>
        </w:trPr>
        <w:tc>
          <w:tcPr>
            <w:tcW w:w="380" w:type="dxa"/>
            <w:vAlign w:val="bottom"/>
          </w:tcPr>
          <w:p>
            <w:pPr>
              <w:spacing w:after="0"/>
              <w:rPr>
                <w:sz w:val="20"/>
                <w:szCs w:val="20"/>
                <w:color w:val="auto"/>
              </w:rPr>
            </w:pPr>
            <w:r>
              <w:rPr>
                <w:rFonts w:ascii="Arial" w:cs="Arial" w:eastAsia="Arial" w:hAnsi="Arial"/>
                <w:sz w:val="18"/>
                <w:szCs w:val="18"/>
                <w:color w:val="auto"/>
                <w:w w:val="89"/>
              </w:rPr>
              <w:t>2326</w:t>
            </w:r>
          </w:p>
        </w:tc>
        <w:tc>
          <w:tcPr>
            <w:tcW w:w="3980" w:type="dxa"/>
            <w:vAlign w:val="bottom"/>
          </w:tcPr>
          <w:p>
            <w:pPr>
              <w:ind w:left="20"/>
              <w:spacing w:after="0"/>
              <w:rPr>
                <w:sz w:val="20"/>
                <w:szCs w:val="20"/>
                <w:color w:val="auto"/>
              </w:rPr>
            </w:pPr>
            <w:r>
              <w:rPr>
                <w:rFonts w:ascii="Arial" w:cs="Arial" w:eastAsia="Arial" w:hAnsi="Arial"/>
                <w:sz w:val="18"/>
                <w:szCs w:val="18"/>
                <w:color w:val="auto"/>
              </w:rPr>
              <w:t>Washington Blvd., Suite 204</w:t>
            </w:r>
          </w:p>
        </w:tc>
        <w:tc>
          <w:tcPr>
            <w:tcW w:w="1060" w:type="dxa"/>
            <w:vAlign w:val="bottom"/>
          </w:tcPr>
          <w:p>
            <w:pPr>
              <w:ind w:left="120"/>
              <w:spacing w:after="0"/>
              <w:rPr>
                <w:sz w:val="20"/>
                <w:szCs w:val="20"/>
                <w:color w:val="auto"/>
              </w:rPr>
            </w:pPr>
            <w:r>
              <w:rPr>
                <w:rFonts w:ascii="Arial" w:cs="Arial" w:eastAsia="Arial" w:hAnsi="Arial"/>
                <w:sz w:val="18"/>
                <w:szCs w:val="18"/>
                <w:color w:val="auto"/>
              </w:rPr>
              <w:t>Ogden</w:t>
            </w:r>
          </w:p>
        </w:tc>
        <w:tc>
          <w:tcPr>
            <w:tcW w:w="400" w:type="dxa"/>
            <w:vAlign w:val="bottom"/>
          </w:tcPr>
          <w:p>
            <w:pPr>
              <w:ind w:left="40"/>
              <w:spacing w:after="0"/>
              <w:rPr>
                <w:sz w:val="20"/>
                <w:szCs w:val="20"/>
                <w:color w:val="auto"/>
              </w:rPr>
            </w:pPr>
            <w:r>
              <w:rPr>
                <w:rFonts w:ascii="Arial" w:cs="Arial" w:eastAsia="Arial" w:hAnsi="Arial"/>
                <w:sz w:val="18"/>
                <w:szCs w:val="18"/>
                <w:color w:val="auto"/>
              </w:rPr>
              <w:t>UT</w:t>
            </w:r>
          </w:p>
        </w:tc>
        <w:tc>
          <w:tcPr>
            <w:tcW w:w="1000" w:type="dxa"/>
            <w:vAlign w:val="bottom"/>
          </w:tcPr>
          <w:p>
            <w:pPr>
              <w:ind w:left="120"/>
              <w:spacing w:after="0"/>
              <w:rPr>
                <w:sz w:val="20"/>
                <w:szCs w:val="20"/>
                <w:color w:val="auto"/>
              </w:rPr>
            </w:pPr>
            <w:r>
              <w:rPr>
                <w:rFonts w:ascii="Arial" w:cs="Arial" w:eastAsia="Arial" w:hAnsi="Arial"/>
                <w:sz w:val="18"/>
                <w:szCs w:val="18"/>
                <w:color w:val="auto"/>
              </w:rPr>
              <w:t>Mortgage</w:t>
            </w:r>
          </w:p>
        </w:tc>
        <w:tc>
          <w:tcPr>
            <w:tcW w:w="1040" w:type="dxa"/>
            <w:vAlign w:val="bottom"/>
          </w:tcPr>
          <w:p>
            <w:pPr>
              <w:ind w:left="180"/>
              <w:spacing w:after="0"/>
              <w:rPr>
                <w:sz w:val="20"/>
                <w:szCs w:val="20"/>
                <w:color w:val="auto"/>
              </w:rPr>
            </w:pPr>
            <w:r>
              <w:rPr>
                <w:rFonts w:ascii="Arial" w:cs="Arial" w:eastAsia="Arial" w:hAnsi="Arial"/>
                <w:sz w:val="18"/>
                <w:szCs w:val="18"/>
                <w:color w:val="auto"/>
              </w:rPr>
              <w:t>Leased</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5/31/2019</w:t>
            </w:r>
          </w:p>
        </w:tc>
      </w:tr>
    </w:tbl>
    <w:p>
      <w:pPr>
        <w:sectPr>
          <w:pgSz w:w="11900" w:h="16838"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Sales</w:t>
            </w: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0"/>
        </w:trPr>
        <w:tc>
          <w:tcPr>
            <w:tcW w:w="3680" w:type="dxa"/>
            <w:vAlign w:val="bottom"/>
            <w:shd w:val="clear" w:color="auto" w:fill="CCEEFF"/>
          </w:tcPr>
          <w:p>
            <w:pPr>
              <w:spacing w:after="0"/>
              <w:rPr>
                <w:sz w:val="17"/>
                <w:szCs w:val="17"/>
                <w:color w:val="auto"/>
              </w:rPr>
            </w:pPr>
          </w:p>
        </w:tc>
        <w:tc>
          <w:tcPr>
            <w:tcW w:w="1680" w:type="dxa"/>
            <w:vAlign w:val="bottom"/>
            <w:shd w:val="clear" w:color="auto" w:fill="CCEEFF"/>
          </w:tcPr>
          <w:p>
            <w:pPr>
              <w:ind w:left="800"/>
              <w:spacing w:after="0" w:line="200" w:lineRule="exact"/>
              <w:rPr>
                <w:sz w:val="20"/>
                <w:szCs w:val="20"/>
                <w:color w:val="auto"/>
              </w:rPr>
            </w:pPr>
            <w:r>
              <w:rPr>
                <w:rFonts w:ascii="Arial" w:cs="Arial" w:eastAsia="Arial" w:hAnsi="Arial"/>
                <w:sz w:val="18"/>
                <w:szCs w:val="18"/>
                <w:color w:val="auto"/>
              </w:rPr>
              <w:t>Pleasant</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590 W. State Street</w:t>
            </w:r>
          </w:p>
        </w:tc>
        <w:tc>
          <w:tcPr>
            <w:tcW w:w="1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Grove</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w:t>
            </w:r>
          </w:p>
        </w:tc>
        <w:tc>
          <w:tcPr>
            <w:tcW w:w="1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Leased</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month</w:t>
            </w:r>
          </w:p>
        </w:tc>
      </w:tr>
      <w:tr>
        <w:trPr>
          <w:trHeight w:val="199"/>
        </w:trPr>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ind w:left="100"/>
              <w:spacing w:after="0" w:line="200" w:lineRule="exact"/>
              <w:rPr>
                <w:sz w:val="20"/>
                <w:szCs w:val="20"/>
                <w:color w:val="auto"/>
              </w:rPr>
            </w:pPr>
            <w:r>
              <w:rPr>
                <w:rFonts w:ascii="Arial" w:cs="Arial" w:eastAsia="Arial" w:hAnsi="Arial"/>
                <w:sz w:val="18"/>
                <w:szCs w:val="18"/>
                <w:color w:val="auto"/>
              </w:rPr>
              <w:t>Funeral</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7"/>
        </w:trPr>
        <w:tc>
          <w:tcPr>
            <w:tcW w:w="3680" w:type="dxa"/>
            <w:vAlign w:val="bottom"/>
          </w:tcPr>
          <w:p>
            <w:pPr>
              <w:spacing w:after="0"/>
              <w:rPr>
                <w:sz w:val="20"/>
                <w:szCs w:val="20"/>
                <w:color w:val="auto"/>
              </w:rPr>
            </w:pPr>
            <w:r>
              <w:rPr>
                <w:rFonts w:ascii="Arial" w:cs="Arial" w:eastAsia="Arial" w:hAnsi="Arial"/>
                <w:sz w:val="18"/>
                <w:szCs w:val="18"/>
                <w:color w:val="auto"/>
              </w:rPr>
              <w:t>79 E. Main Street</w:t>
            </w:r>
          </w:p>
        </w:tc>
        <w:tc>
          <w:tcPr>
            <w:tcW w:w="1680" w:type="dxa"/>
            <w:vAlign w:val="bottom"/>
          </w:tcPr>
          <w:p>
            <w:pPr>
              <w:ind w:left="800"/>
              <w:spacing w:after="0"/>
              <w:rPr>
                <w:sz w:val="20"/>
                <w:szCs w:val="20"/>
                <w:color w:val="auto"/>
              </w:rPr>
            </w:pPr>
            <w:r>
              <w:rPr>
                <w:rFonts w:ascii="Arial" w:cs="Arial" w:eastAsia="Arial" w:hAnsi="Arial"/>
                <w:sz w:val="18"/>
                <w:szCs w:val="18"/>
                <w:color w:val="auto"/>
              </w:rPr>
              <w:t>Midway</w:t>
            </w:r>
          </w:p>
        </w:tc>
        <w:tc>
          <w:tcPr>
            <w:tcW w:w="480" w:type="dxa"/>
            <w:vAlign w:val="bottom"/>
          </w:tcPr>
          <w:p>
            <w:pPr>
              <w:ind w:left="100"/>
              <w:spacing w:after="0"/>
              <w:rPr>
                <w:sz w:val="20"/>
                <w:szCs w:val="20"/>
                <w:color w:val="auto"/>
              </w:rPr>
            </w:pPr>
            <w:r>
              <w:rPr>
                <w:rFonts w:ascii="Arial" w:cs="Arial" w:eastAsia="Arial" w:hAnsi="Arial"/>
                <w:sz w:val="18"/>
                <w:szCs w:val="18"/>
                <w:color w:val="auto"/>
              </w:rPr>
              <w:t>UT</w:t>
            </w:r>
          </w:p>
        </w:tc>
        <w:tc>
          <w:tcPr>
            <w:tcW w:w="1100" w:type="dxa"/>
            <w:vAlign w:val="bottom"/>
          </w:tcPr>
          <w:p>
            <w:pPr>
              <w:ind w:left="100"/>
              <w:spacing w:after="0"/>
              <w:rPr>
                <w:sz w:val="20"/>
                <w:szCs w:val="20"/>
                <w:color w:val="auto"/>
              </w:rPr>
            </w:pPr>
            <w:r>
              <w:rPr>
                <w:rFonts w:ascii="Arial" w:cs="Arial" w:eastAsia="Arial" w:hAnsi="Arial"/>
                <w:sz w:val="18"/>
                <w:szCs w:val="18"/>
                <w:color w:val="auto"/>
                <w:w w:val="89"/>
              </w:rPr>
              <w:t>Service Sales</w:t>
            </w:r>
          </w:p>
        </w:tc>
        <w:tc>
          <w:tcPr>
            <w:tcW w:w="960" w:type="dxa"/>
            <w:vAlign w:val="bottom"/>
          </w:tcPr>
          <w:p>
            <w:pPr>
              <w:ind w:left="60"/>
              <w:spacing w:after="0"/>
              <w:rPr>
                <w:sz w:val="20"/>
                <w:szCs w:val="20"/>
                <w:color w:val="auto"/>
              </w:rPr>
            </w:pPr>
            <w:r>
              <w:rPr>
                <w:rFonts w:ascii="Arial" w:cs="Arial" w:eastAsia="Arial" w:hAnsi="Arial"/>
                <w:sz w:val="18"/>
                <w:szCs w:val="18"/>
                <w:color w:val="auto"/>
              </w:rPr>
              <w:t>Leased</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10/31/2019</w:t>
            </w:r>
          </w:p>
        </w:tc>
      </w:tr>
      <w:tr>
        <w:trPr>
          <w:trHeight w:val="200"/>
        </w:trPr>
        <w:tc>
          <w:tcPr>
            <w:tcW w:w="36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15640 NE Fourth Plain Blvd., Suite 221</w:t>
            </w:r>
          </w:p>
        </w:tc>
        <w:tc>
          <w:tcPr>
            <w:tcW w:w="16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Vancouver</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w:t>
            </w:r>
          </w:p>
        </w:tc>
        <w:tc>
          <w:tcPr>
            <w:tcW w:w="1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Leased</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12/31/2019</w:t>
            </w:r>
          </w:p>
        </w:tc>
      </w:tr>
      <w:tr>
        <w:trPr>
          <w:trHeight w:val="199"/>
        </w:trPr>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ind w:left="100"/>
              <w:spacing w:after="0" w:line="200" w:lineRule="exact"/>
              <w:rPr>
                <w:sz w:val="20"/>
                <w:szCs w:val="20"/>
                <w:color w:val="auto"/>
              </w:rPr>
            </w:pPr>
            <w:r>
              <w:rPr>
                <w:rFonts w:ascii="Arial" w:cs="Arial" w:eastAsia="Arial" w:hAnsi="Arial"/>
                <w:sz w:val="18"/>
                <w:szCs w:val="18"/>
                <w:color w:val="auto"/>
              </w:rPr>
              <w:t>Mortgage</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month to</w:t>
            </w:r>
          </w:p>
        </w:tc>
      </w:tr>
      <w:tr>
        <w:trPr>
          <w:trHeight w:val="227"/>
        </w:trPr>
        <w:tc>
          <w:tcPr>
            <w:tcW w:w="3680" w:type="dxa"/>
            <w:vAlign w:val="bottom"/>
          </w:tcPr>
          <w:p>
            <w:pPr>
              <w:spacing w:after="0"/>
              <w:rPr>
                <w:sz w:val="20"/>
                <w:szCs w:val="20"/>
                <w:color w:val="auto"/>
              </w:rPr>
            </w:pPr>
            <w:r>
              <w:rPr>
                <w:rFonts w:ascii="Arial" w:cs="Arial" w:eastAsia="Arial" w:hAnsi="Arial"/>
                <w:sz w:val="18"/>
                <w:szCs w:val="18"/>
                <w:color w:val="auto"/>
              </w:rPr>
              <w:t>4530 Union Bay Plaza NE, Suite 209</w:t>
            </w:r>
          </w:p>
        </w:tc>
        <w:tc>
          <w:tcPr>
            <w:tcW w:w="1680" w:type="dxa"/>
            <w:vAlign w:val="bottom"/>
          </w:tcPr>
          <w:p>
            <w:pPr>
              <w:ind w:left="800"/>
              <w:spacing w:after="0"/>
              <w:rPr>
                <w:sz w:val="20"/>
                <w:szCs w:val="20"/>
                <w:color w:val="auto"/>
              </w:rPr>
            </w:pPr>
            <w:r>
              <w:rPr>
                <w:rFonts w:ascii="Arial" w:cs="Arial" w:eastAsia="Arial" w:hAnsi="Arial"/>
                <w:sz w:val="18"/>
                <w:szCs w:val="18"/>
                <w:color w:val="auto"/>
              </w:rPr>
              <w:t>Seattle</w:t>
            </w:r>
          </w:p>
        </w:tc>
        <w:tc>
          <w:tcPr>
            <w:tcW w:w="480" w:type="dxa"/>
            <w:vAlign w:val="bottom"/>
          </w:tcPr>
          <w:p>
            <w:pPr>
              <w:ind w:left="100"/>
              <w:spacing w:after="0"/>
              <w:rPr>
                <w:sz w:val="20"/>
                <w:szCs w:val="20"/>
                <w:color w:val="auto"/>
              </w:rPr>
            </w:pPr>
            <w:r>
              <w:rPr>
                <w:rFonts w:ascii="Arial" w:cs="Arial" w:eastAsia="Arial" w:hAnsi="Arial"/>
                <w:sz w:val="18"/>
                <w:szCs w:val="18"/>
                <w:color w:val="auto"/>
              </w:rPr>
              <w:t>WA</w:t>
            </w:r>
          </w:p>
        </w:tc>
        <w:tc>
          <w:tcPr>
            <w:tcW w:w="1100" w:type="dxa"/>
            <w:vAlign w:val="bottom"/>
          </w:tcPr>
          <w:p>
            <w:pPr>
              <w:ind w:left="100"/>
              <w:spacing w:after="0"/>
              <w:rPr>
                <w:sz w:val="20"/>
                <w:szCs w:val="20"/>
                <w:color w:val="auto"/>
              </w:rPr>
            </w:pPr>
            <w:r>
              <w:rPr>
                <w:rFonts w:ascii="Arial" w:cs="Arial" w:eastAsia="Arial" w:hAnsi="Arial"/>
                <w:sz w:val="18"/>
                <w:szCs w:val="18"/>
                <w:color w:val="auto"/>
              </w:rPr>
              <w:t>Sales</w:t>
            </w:r>
          </w:p>
        </w:tc>
        <w:tc>
          <w:tcPr>
            <w:tcW w:w="960" w:type="dxa"/>
            <w:vAlign w:val="bottom"/>
          </w:tcPr>
          <w:p>
            <w:pPr>
              <w:ind w:left="60"/>
              <w:spacing w:after="0"/>
              <w:rPr>
                <w:sz w:val="20"/>
                <w:szCs w:val="20"/>
                <w:color w:val="auto"/>
              </w:rPr>
            </w:pPr>
            <w:r>
              <w:rPr>
                <w:rFonts w:ascii="Arial" w:cs="Arial" w:eastAsia="Arial" w:hAnsi="Arial"/>
                <w:sz w:val="18"/>
                <w:szCs w:val="18"/>
                <w:color w:val="auto"/>
              </w:rPr>
              <w:t>Leased</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60"/>
              <w:spacing w:after="0"/>
              <w:rPr>
                <w:sz w:val="20"/>
                <w:szCs w:val="20"/>
                <w:color w:val="auto"/>
              </w:rPr>
            </w:pPr>
            <w:r>
              <w:rPr>
                <w:rFonts w:ascii="Arial" w:cs="Arial" w:eastAsia="Arial" w:hAnsi="Arial"/>
                <w:sz w:val="18"/>
                <w:szCs w:val="18"/>
                <w:color w:val="auto"/>
              </w:rPr>
              <w:t>mo</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month</w:t>
            </w:r>
          </w:p>
        </w:tc>
      </w:tr>
      <w:tr>
        <w:trPr>
          <w:trHeight w:val="200"/>
        </w:trPr>
        <w:tc>
          <w:tcPr>
            <w:tcW w:w="36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Mortgage</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5002 7th Ave.</w:t>
            </w:r>
          </w:p>
        </w:tc>
        <w:tc>
          <w:tcPr>
            <w:tcW w:w="1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Kenosha</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w:t>
            </w:r>
          </w:p>
        </w:tc>
        <w:tc>
          <w:tcPr>
            <w:tcW w:w="1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Leased</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10/31/2019</w:t>
            </w: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the office facilities it occupies are in good operating condition and adequate for current operations. The Company will enter into additional leases or modify existing leases to meet market demand. Those leases will be month to month where possible. As leases expire, the Company will either renew or find comparable leases or acquire additional office space.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Properties (Continued)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location and acreage of the six Company owned cemeteries, each of which includes one or more mausoleums: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rPr>
              <w:t>Net Saleable Acreage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Arial" w:cs="Arial" w:eastAsia="Arial" w:hAnsi="Arial"/>
                <w:sz w:val="18"/>
                <w:szCs w:val="18"/>
                <w:color w:val="auto"/>
                <w:w w:val="88"/>
              </w:rPr>
              <w:t>Acres Sold as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Arial" w:cs="Arial" w:eastAsia="Arial" w:hAnsi="Arial"/>
                <w:sz w:val="18"/>
                <w:szCs w:val="18"/>
                <w:color w:val="auto"/>
                <w:w w:val="90"/>
              </w:rPr>
              <w:t>Developed</w:t>
            </w:r>
          </w:p>
        </w:tc>
        <w:tc>
          <w:tcPr>
            <w:tcW w:w="1080" w:type="dxa"/>
            <w:vAlign w:val="bottom"/>
          </w:tcPr>
          <w:p>
            <w:pPr>
              <w:ind w:left="20"/>
              <w:spacing w:after="0"/>
              <w:rPr>
                <w:sz w:val="20"/>
                <w:szCs w:val="20"/>
                <w:color w:val="auto"/>
              </w:rPr>
            </w:pPr>
            <w:r>
              <w:rPr>
                <w:rFonts w:ascii="Arial" w:cs="Arial" w:eastAsia="Arial" w:hAnsi="Arial"/>
                <w:sz w:val="18"/>
                <w:szCs w:val="18"/>
                <w:color w:val="auto"/>
                <w:w w:val="92"/>
              </w:rPr>
              <w:t>Total Acreage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Cemetery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Total Available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Name of Cemetery</w:t>
            </w:r>
          </w:p>
        </w:tc>
        <w:tc>
          <w:tcPr>
            <w:tcW w:w="2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Location</w:t>
            </w:r>
          </w:p>
        </w:tc>
        <w:tc>
          <w:tcPr>
            <w:tcW w:w="15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1"/>
              </w:rPr>
              <w:t>Date Acquired</w:t>
            </w:r>
          </w:p>
        </w:tc>
        <w:tc>
          <w:tcPr>
            <w:tcW w:w="12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1"/>
              </w:rPr>
              <w:t>Acreage (1)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Spaces (2)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Acreage (1)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Memorial Estates, Inc.</w:t>
            </w: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Lakeview Cemetery</w:t>
            </w:r>
          </w:p>
        </w:tc>
        <w:tc>
          <w:tcPr>
            <w:tcW w:w="2540" w:type="dxa"/>
            <w:vAlign w:val="bottom"/>
            <w:shd w:val="clear" w:color="auto" w:fill="CCEEFF"/>
          </w:tcPr>
          <w:p>
            <w:pPr>
              <w:ind w:left="280"/>
              <w:spacing w:after="0" w:line="200" w:lineRule="exact"/>
              <w:rPr>
                <w:sz w:val="20"/>
                <w:szCs w:val="20"/>
                <w:color w:val="auto"/>
              </w:rPr>
            </w:pPr>
            <w:r>
              <w:rPr>
                <w:rFonts w:ascii="Arial" w:cs="Arial" w:eastAsia="Arial" w:hAnsi="Arial"/>
                <w:sz w:val="18"/>
                <w:szCs w:val="18"/>
                <w:color w:val="auto"/>
              </w:rPr>
              <w:t>1640 East Lakeview Drive</w:t>
            </w: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Bountiful, Utah</w:t>
            </w:r>
          </w:p>
        </w:tc>
        <w:tc>
          <w:tcPr>
            <w:tcW w:w="15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1973</w:t>
            </w:r>
          </w:p>
        </w:tc>
        <w:tc>
          <w:tcPr>
            <w:tcW w:w="1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Mountain View Cemetery</w:t>
            </w:r>
          </w:p>
        </w:tc>
        <w:tc>
          <w:tcPr>
            <w:tcW w:w="2540" w:type="dxa"/>
            <w:vAlign w:val="bottom"/>
            <w:shd w:val="clear" w:color="auto" w:fill="CCEEFF"/>
          </w:tcPr>
          <w:p>
            <w:pPr>
              <w:ind w:left="280"/>
              <w:spacing w:after="0" w:line="200" w:lineRule="exact"/>
              <w:rPr>
                <w:sz w:val="20"/>
                <w:szCs w:val="20"/>
                <w:color w:val="auto"/>
              </w:rPr>
            </w:pPr>
            <w:r>
              <w:rPr>
                <w:rFonts w:ascii="Arial" w:cs="Arial" w:eastAsia="Arial" w:hAnsi="Arial"/>
                <w:sz w:val="18"/>
                <w:szCs w:val="18"/>
                <w:color w:val="auto"/>
              </w:rPr>
              <w:t>3115 East 7800 South</w:t>
            </w: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Salt Lake City, Utah</w:t>
            </w:r>
          </w:p>
        </w:tc>
        <w:tc>
          <w:tcPr>
            <w:tcW w:w="15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1973</w:t>
            </w:r>
          </w:p>
        </w:tc>
        <w:tc>
          <w:tcPr>
            <w:tcW w:w="1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26</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Redwood Cemetery (3)</w:t>
            </w:r>
          </w:p>
        </w:tc>
        <w:tc>
          <w:tcPr>
            <w:tcW w:w="2540" w:type="dxa"/>
            <w:vAlign w:val="bottom"/>
            <w:shd w:val="clear" w:color="auto" w:fill="CCEEFF"/>
          </w:tcPr>
          <w:p>
            <w:pPr>
              <w:ind w:left="280"/>
              <w:spacing w:after="0" w:line="200" w:lineRule="exact"/>
              <w:rPr>
                <w:sz w:val="20"/>
                <w:szCs w:val="20"/>
                <w:color w:val="auto"/>
              </w:rPr>
            </w:pPr>
            <w:r>
              <w:rPr>
                <w:rFonts w:ascii="Arial" w:cs="Arial" w:eastAsia="Arial" w:hAnsi="Arial"/>
                <w:sz w:val="18"/>
                <w:szCs w:val="18"/>
                <w:color w:val="auto"/>
              </w:rPr>
              <w:t>6500 South Redwood Road</w:t>
            </w: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West Jordan, Utah</w:t>
            </w:r>
          </w:p>
        </w:tc>
        <w:tc>
          <w:tcPr>
            <w:tcW w:w="15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1973</w:t>
            </w:r>
          </w:p>
        </w:tc>
        <w:tc>
          <w:tcPr>
            <w:tcW w:w="1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28</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Deseret Memorial Inc.</w:t>
            </w:r>
          </w:p>
        </w:tc>
        <w:tc>
          <w:tcPr>
            <w:tcW w:w="2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tcPr>
          <w:p>
            <w:pPr>
              <w:ind w:left="160"/>
              <w:spacing w:after="0" w:line="200" w:lineRule="exact"/>
              <w:rPr>
                <w:sz w:val="20"/>
                <w:szCs w:val="20"/>
                <w:color w:val="auto"/>
              </w:rPr>
            </w:pPr>
            <w:r>
              <w:rPr>
                <w:rFonts w:ascii="Arial" w:cs="Arial" w:eastAsia="Arial" w:hAnsi="Arial"/>
                <w:sz w:val="18"/>
                <w:szCs w:val="18"/>
                <w:color w:val="auto"/>
              </w:rPr>
              <w:t>Lake Hills Cemetery</w:t>
            </w:r>
          </w:p>
        </w:tc>
        <w:tc>
          <w:tcPr>
            <w:tcW w:w="2540" w:type="dxa"/>
            <w:vAlign w:val="bottom"/>
          </w:tcPr>
          <w:p>
            <w:pPr>
              <w:ind w:left="280"/>
              <w:spacing w:after="0" w:line="200" w:lineRule="exact"/>
              <w:rPr>
                <w:sz w:val="20"/>
                <w:szCs w:val="20"/>
                <w:color w:val="auto"/>
              </w:rPr>
            </w:pPr>
            <w:r>
              <w:rPr>
                <w:rFonts w:ascii="Arial" w:cs="Arial" w:eastAsia="Arial" w:hAnsi="Arial"/>
                <w:sz w:val="18"/>
                <w:szCs w:val="18"/>
                <w:color w:val="auto"/>
              </w:rPr>
              <w:t>10055 South State Street</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40" w:type="dxa"/>
            <w:vAlign w:val="bottom"/>
          </w:tcPr>
          <w:p>
            <w:pPr>
              <w:ind w:left="280"/>
              <w:spacing w:after="0"/>
              <w:rPr>
                <w:sz w:val="20"/>
                <w:szCs w:val="20"/>
                <w:color w:val="auto"/>
              </w:rPr>
            </w:pPr>
            <w:r>
              <w:rPr>
                <w:rFonts w:ascii="Arial" w:cs="Arial" w:eastAsia="Arial" w:hAnsi="Arial"/>
                <w:sz w:val="18"/>
                <w:szCs w:val="18"/>
                <w:color w:val="auto"/>
              </w:rPr>
              <w:t>Sandy, Utah</w:t>
            </w:r>
          </w:p>
        </w:tc>
        <w:tc>
          <w:tcPr>
            <w:tcW w:w="1500" w:type="dxa"/>
            <w:vAlign w:val="bottom"/>
          </w:tcPr>
          <w:p>
            <w:pPr>
              <w:jc w:val="center"/>
              <w:ind w:left="91"/>
              <w:spacing w:after="0"/>
              <w:rPr>
                <w:sz w:val="20"/>
                <w:szCs w:val="20"/>
                <w:color w:val="auto"/>
              </w:rPr>
            </w:pPr>
            <w:r>
              <w:rPr>
                <w:rFonts w:ascii="Arial" w:cs="Arial" w:eastAsia="Arial" w:hAnsi="Arial"/>
                <w:sz w:val="18"/>
                <w:szCs w:val="18"/>
                <w:color w:val="auto"/>
                <w:w w:val="89"/>
              </w:rPr>
              <w:t>1991</w:t>
            </w:r>
          </w:p>
        </w:tc>
        <w:tc>
          <w:tcPr>
            <w:tcW w:w="1200" w:type="dxa"/>
            <w:vAlign w:val="bottom"/>
          </w:tcPr>
          <w:p>
            <w:pPr>
              <w:jc w:val="center"/>
              <w:ind w:right="11"/>
              <w:spacing w:after="0"/>
              <w:rPr>
                <w:sz w:val="20"/>
                <w:szCs w:val="20"/>
                <w:color w:val="auto"/>
              </w:rPr>
            </w:pPr>
            <w:r>
              <w:rPr>
                <w:rFonts w:ascii="Arial" w:cs="Arial" w:eastAsia="Arial" w:hAnsi="Arial"/>
                <w:sz w:val="18"/>
                <w:szCs w:val="18"/>
                <w:color w:val="auto"/>
                <w:w w:val="99"/>
              </w:rPr>
              <w:t>9</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22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Holladay Memorial Park, Inc.</w:t>
            </w: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Holladay Memorial Park (3)</w:t>
            </w:r>
          </w:p>
        </w:tc>
        <w:tc>
          <w:tcPr>
            <w:tcW w:w="2540" w:type="dxa"/>
            <w:vAlign w:val="bottom"/>
            <w:shd w:val="clear" w:color="auto" w:fill="CCEEFF"/>
          </w:tcPr>
          <w:p>
            <w:pPr>
              <w:ind w:left="280"/>
              <w:spacing w:after="0" w:line="200" w:lineRule="exact"/>
              <w:rPr>
                <w:sz w:val="20"/>
                <w:szCs w:val="20"/>
                <w:color w:val="auto"/>
              </w:rPr>
            </w:pPr>
            <w:r>
              <w:rPr>
                <w:rFonts w:ascii="Arial" w:cs="Arial" w:eastAsia="Arial" w:hAnsi="Arial"/>
                <w:sz w:val="18"/>
                <w:szCs w:val="18"/>
                <w:color w:val="auto"/>
              </w:rPr>
              <w:t>4900 South Memory Lane</w:t>
            </w:r>
          </w:p>
        </w:tc>
        <w:tc>
          <w:tcPr>
            <w:tcW w:w="1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Holladay, Utah</w:t>
            </w:r>
          </w:p>
        </w:tc>
        <w:tc>
          <w:tcPr>
            <w:tcW w:w="15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1991</w:t>
            </w:r>
          </w:p>
        </w:tc>
        <w:tc>
          <w:tcPr>
            <w:tcW w:w="1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12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California Memorial Estates, Inc.</w:t>
            </w:r>
          </w:p>
        </w:tc>
        <w:tc>
          <w:tcPr>
            <w:tcW w:w="2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tcPr>
          <w:p>
            <w:pPr>
              <w:ind w:left="160"/>
              <w:spacing w:after="0" w:line="200" w:lineRule="exact"/>
              <w:rPr>
                <w:sz w:val="20"/>
                <w:szCs w:val="20"/>
                <w:color w:val="auto"/>
              </w:rPr>
            </w:pPr>
            <w:r>
              <w:rPr>
                <w:rFonts w:ascii="Arial" w:cs="Arial" w:eastAsia="Arial" w:hAnsi="Arial"/>
                <w:sz w:val="18"/>
                <w:szCs w:val="18"/>
                <w:color w:val="auto"/>
              </w:rPr>
              <w:t>Singing Hills Memorial Park (4)</w:t>
            </w:r>
          </w:p>
        </w:tc>
        <w:tc>
          <w:tcPr>
            <w:tcW w:w="2540" w:type="dxa"/>
            <w:vAlign w:val="bottom"/>
          </w:tcPr>
          <w:p>
            <w:pPr>
              <w:ind w:left="280"/>
              <w:spacing w:after="0" w:line="200" w:lineRule="exact"/>
              <w:rPr>
                <w:sz w:val="20"/>
                <w:szCs w:val="20"/>
                <w:color w:val="auto"/>
              </w:rPr>
            </w:pPr>
            <w:r>
              <w:rPr>
                <w:rFonts w:ascii="Arial" w:cs="Arial" w:eastAsia="Arial" w:hAnsi="Arial"/>
                <w:sz w:val="18"/>
                <w:szCs w:val="18"/>
                <w:color w:val="auto"/>
              </w:rPr>
              <w:t>2800 Dehesa Road</w:t>
            </w: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2540" w:type="dxa"/>
            <w:vAlign w:val="bottom"/>
          </w:tcPr>
          <w:p>
            <w:pPr>
              <w:ind w:left="280"/>
              <w:spacing w:after="0"/>
              <w:rPr>
                <w:sz w:val="20"/>
                <w:szCs w:val="20"/>
                <w:color w:val="auto"/>
              </w:rPr>
            </w:pPr>
            <w:r>
              <w:rPr>
                <w:rFonts w:ascii="Arial" w:cs="Arial" w:eastAsia="Arial" w:hAnsi="Arial"/>
                <w:sz w:val="18"/>
                <w:szCs w:val="18"/>
                <w:color w:val="auto"/>
              </w:rPr>
              <w:t>El Cajon, California</w:t>
            </w:r>
          </w:p>
        </w:tc>
        <w:tc>
          <w:tcPr>
            <w:tcW w:w="1500" w:type="dxa"/>
            <w:vAlign w:val="bottom"/>
          </w:tcPr>
          <w:p>
            <w:pPr>
              <w:jc w:val="center"/>
              <w:ind w:left="91"/>
              <w:spacing w:after="0"/>
              <w:rPr>
                <w:sz w:val="20"/>
                <w:szCs w:val="20"/>
                <w:color w:val="auto"/>
              </w:rPr>
            </w:pPr>
            <w:r>
              <w:rPr>
                <w:rFonts w:ascii="Arial" w:cs="Arial" w:eastAsia="Arial" w:hAnsi="Arial"/>
                <w:sz w:val="18"/>
                <w:szCs w:val="18"/>
                <w:color w:val="auto"/>
                <w:w w:val="89"/>
              </w:rPr>
              <w:t>1995</w:t>
            </w:r>
          </w:p>
        </w:tc>
        <w:tc>
          <w:tcPr>
            <w:tcW w:w="1200" w:type="dxa"/>
            <w:vAlign w:val="bottom"/>
          </w:tcPr>
          <w:p>
            <w:pPr>
              <w:jc w:val="center"/>
              <w:ind w:right="11"/>
              <w:spacing w:after="0"/>
              <w:rPr>
                <w:sz w:val="20"/>
                <w:szCs w:val="20"/>
                <w:color w:val="auto"/>
              </w:rPr>
            </w:pPr>
            <w:r>
              <w:rPr>
                <w:rFonts w:ascii="Arial" w:cs="Arial" w:eastAsia="Arial" w:hAnsi="Arial"/>
                <w:sz w:val="18"/>
                <w:szCs w:val="18"/>
                <w:color w:val="auto"/>
                <w:w w:val="99"/>
              </w:rPr>
              <w:t>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91</w:t>
            </w:r>
          </w:p>
        </w:tc>
        <w:tc>
          <w:tcPr>
            <w:tcW w:w="0" w:type="dxa"/>
            <w:vAlign w:val="bottom"/>
          </w:tcPr>
          <w:p>
            <w:pPr>
              <w:spacing w:after="0"/>
              <w:rPr>
                <w:sz w:val="1"/>
                <w:szCs w:val="1"/>
                <w:color w:val="auto"/>
              </w:rPr>
            </w:pPr>
          </w:p>
        </w:tc>
      </w:tr>
      <w:tr>
        <w:trPr>
          <w:trHeight w:val="214"/>
        </w:trPr>
        <w:tc>
          <w:tcPr>
            <w:tcW w:w="2760" w:type="dxa"/>
            <w:vAlign w:val="bottom"/>
            <w:gridSpan w:val="2"/>
            <w:vMerge w:val="continue"/>
          </w:tcPr>
          <w:p>
            <w:pPr>
              <w:spacing w:after="0"/>
              <w:rPr>
                <w:sz w:val="18"/>
                <w:szCs w:val="18"/>
                <w:color w:val="auto"/>
              </w:rPr>
            </w:pPr>
          </w:p>
        </w:tc>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1040" w:hanging="526"/>
        <w:spacing w:after="0" w:line="25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acreage represents estimates of acres that are based upon survey reports, title reports, appraisal reports, or the Company’s inspection of the cemeteries. The Company estimates that there are approximately 1,200 spaces per developed acre.</w:t>
      </w:r>
    </w:p>
    <w:p>
      <w:pPr>
        <w:ind w:left="1040" w:hanging="52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both reserved and occupied spaces.</w:t>
      </w:r>
    </w:p>
    <w:p>
      <w:pPr>
        <w:spacing w:after="0" w:line="6" w:lineRule="exact"/>
        <w:rPr>
          <w:rFonts w:ascii="Arial" w:cs="Arial" w:eastAsia="Arial" w:hAnsi="Arial"/>
          <w:sz w:val="18"/>
          <w:szCs w:val="18"/>
          <w:color w:val="auto"/>
        </w:rPr>
      </w:pPr>
    </w:p>
    <w:p>
      <w:pPr>
        <w:ind w:left="1040" w:hanging="52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two granite mausoleums.</w:t>
      </w:r>
    </w:p>
    <w:p>
      <w:pPr>
        <w:spacing w:after="0" w:line="6" w:lineRule="exact"/>
        <w:rPr>
          <w:rFonts w:ascii="Arial" w:cs="Arial" w:eastAsia="Arial" w:hAnsi="Arial"/>
          <w:sz w:val="18"/>
          <w:szCs w:val="18"/>
          <w:color w:val="auto"/>
        </w:rPr>
      </w:pPr>
    </w:p>
    <w:p>
      <w:pPr>
        <w:ind w:left="1040" w:hanging="52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an open easement.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Properties (Continued)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location, square footage and the number of viewing rooms and chapels of the eight Company owned mortuaries: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Viewing</w:t>
            </w:r>
          </w:p>
        </w:tc>
        <w:tc>
          <w:tcPr>
            <w:tcW w:w="1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Square</w:t>
            </w:r>
          </w:p>
        </w:tc>
        <w:tc>
          <w:tcPr>
            <w:tcW w:w="0" w:type="dxa"/>
            <w:vAlign w:val="bottom"/>
          </w:tcPr>
          <w:p>
            <w:pPr>
              <w:spacing w:after="0"/>
              <w:rPr>
                <w:sz w:val="1"/>
                <w:szCs w:val="1"/>
                <w:color w:val="auto"/>
              </w:rPr>
            </w:pPr>
          </w:p>
        </w:tc>
      </w:tr>
      <w:tr>
        <w:trPr>
          <w:trHeight w:val="188"/>
        </w:trPr>
        <w:tc>
          <w:tcPr>
            <w:tcW w:w="3440" w:type="dxa"/>
            <w:vAlign w:val="bottom"/>
            <w:gridSpan w:val="3"/>
          </w:tcPr>
          <w:p>
            <w:pPr>
              <w:spacing w:after="0" w:line="188" w:lineRule="exact"/>
              <w:rPr>
                <w:sz w:val="20"/>
                <w:szCs w:val="20"/>
                <w:color w:val="auto"/>
              </w:rPr>
            </w:pPr>
            <w:r>
              <w:rPr>
                <w:rFonts w:ascii="Arial" w:cs="Arial" w:eastAsia="Arial" w:hAnsi="Arial"/>
                <w:sz w:val="18"/>
                <w:szCs w:val="18"/>
                <w:color w:val="auto"/>
              </w:rPr>
              <w:t>Name of Mortuary</w:t>
            </w:r>
          </w:p>
        </w:tc>
        <w:tc>
          <w:tcPr>
            <w:tcW w:w="3400" w:type="dxa"/>
            <w:vAlign w:val="bottom"/>
            <w:gridSpan w:val="2"/>
          </w:tcPr>
          <w:p>
            <w:pPr>
              <w:spacing w:after="0" w:line="188" w:lineRule="exact"/>
              <w:rPr>
                <w:sz w:val="20"/>
                <w:szCs w:val="20"/>
                <w:color w:val="auto"/>
              </w:rPr>
            </w:pPr>
            <w:r>
              <w:rPr>
                <w:rFonts w:ascii="Arial" w:cs="Arial" w:eastAsia="Arial" w:hAnsi="Arial"/>
                <w:sz w:val="18"/>
                <w:szCs w:val="18"/>
                <w:color w:val="auto"/>
              </w:rPr>
              <w:t>Location</w:t>
            </w:r>
          </w:p>
        </w:tc>
        <w:tc>
          <w:tcPr>
            <w:tcW w:w="1180" w:type="dxa"/>
            <w:vAlign w:val="bottom"/>
          </w:tcPr>
          <w:p>
            <w:pPr>
              <w:jc w:val="center"/>
              <w:spacing w:after="0" w:line="188" w:lineRule="exact"/>
              <w:rPr>
                <w:sz w:val="20"/>
                <w:szCs w:val="20"/>
                <w:color w:val="auto"/>
              </w:rPr>
            </w:pPr>
            <w:r>
              <w:rPr>
                <w:rFonts w:ascii="Arial" w:cs="Arial" w:eastAsia="Arial" w:hAnsi="Arial"/>
                <w:sz w:val="18"/>
                <w:szCs w:val="18"/>
                <w:color w:val="auto"/>
                <w:w w:val="92"/>
              </w:rPr>
              <w:t>Acquired</w:t>
            </w:r>
          </w:p>
        </w:tc>
        <w:tc>
          <w:tcPr>
            <w:tcW w:w="1140" w:type="dxa"/>
            <w:vAlign w:val="bottom"/>
          </w:tcPr>
          <w:p>
            <w:pPr>
              <w:jc w:val="center"/>
              <w:spacing w:after="0" w:line="188" w:lineRule="exact"/>
              <w:rPr>
                <w:sz w:val="20"/>
                <w:szCs w:val="20"/>
                <w:color w:val="auto"/>
              </w:rPr>
            </w:pPr>
            <w:r>
              <w:rPr>
                <w:rFonts w:ascii="Arial" w:cs="Arial" w:eastAsia="Arial" w:hAnsi="Arial"/>
                <w:sz w:val="18"/>
                <w:szCs w:val="18"/>
                <w:color w:val="auto"/>
                <w:w w:val="89"/>
              </w:rPr>
              <w:t>Room(s)</w:t>
            </w:r>
          </w:p>
        </w:tc>
        <w:tc>
          <w:tcPr>
            <w:tcW w:w="1200" w:type="dxa"/>
            <w:vAlign w:val="bottom"/>
          </w:tcPr>
          <w:p>
            <w:pPr>
              <w:jc w:val="center"/>
              <w:spacing w:after="0" w:line="188" w:lineRule="exact"/>
              <w:rPr>
                <w:sz w:val="20"/>
                <w:szCs w:val="20"/>
                <w:color w:val="auto"/>
              </w:rPr>
            </w:pPr>
            <w:r>
              <w:rPr>
                <w:rFonts w:ascii="Arial" w:cs="Arial" w:eastAsia="Arial" w:hAnsi="Arial"/>
                <w:sz w:val="18"/>
                <w:szCs w:val="18"/>
                <w:color w:val="auto"/>
                <w:w w:val="87"/>
              </w:rPr>
              <w:t>Chapel(s)</w:t>
            </w:r>
          </w:p>
        </w:tc>
        <w:tc>
          <w:tcPr>
            <w:tcW w:w="1060" w:type="dxa"/>
            <w:vAlign w:val="bottom"/>
          </w:tcPr>
          <w:p>
            <w:pPr>
              <w:jc w:val="center"/>
              <w:spacing w:after="0" w:line="188" w:lineRule="exact"/>
              <w:rPr>
                <w:sz w:val="20"/>
                <w:szCs w:val="20"/>
                <w:color w:val="auto"/>
              </w:rPr>
            </w:pPr>
            <w:r>
              <w:rPr>
                <w:rFonts w:ascii="Arial" w:cs="Arial" w:eastAsia="Arial" w:hAnsi="Arial"/>
                <w:sz w:val="18"/>
                <w:szCs w:val="18"/>
                <w:color w:val="auto"/>
                <w:w w:val="87"/>
              </w:rPr>
              <w:t>Footage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Memorial Mortuary, Inc.</w:t>
            </w:r>
          </w:p>
        </w:tc>
        <w:tc>
          <w:tcPr>
            <w:tcW w:w="6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Memorial Mortuary</w:t>
            </w:r>
          </w:p>
        </w:tc>
        <w:tc>
          <w:tcPr>
            <w:tcW w:w="3400" w:type="dxa"/>
            <w:vAlign w:val="bottom"/>
            <w:gridSpan w:val="2"/>
          </w:tcPr>
          <w:p>
            <w:pPr>
              <w:spacing w:after="0"/>
              <w:rPr>
                <w:sz w:val="20"/>
                <w:szCs w:val="20"/>
                <w:color w:val="auto"/>
              </w:rPr>
            </w:pPr>
            <w:r>
              <w:rPr>
                <w:rFonts w:ascii="Arial" w:cs="Arial" w:eastAsia="Arial" w:hAnsi="Arial"/>
                <w:sz w:val="18"/>
                <w:szCs w:val="18"/>
                <w:color w:val="auto"/>
              </w:rPr>
              <w:t>5850 South 900 East</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Murray, Utah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gridSpan w:val="2"/>
            <w:shd w:val="clear" w:color="auto" w:fill="CCEEFF"/>
          </w:tcPr>
          <w:p>
            <w:pPr>
              <w:ind w:left="140"/>
              <w:spacing w:after="0" w:line="200" w:lineRule="exact"/>
              <w:rPr>
                <w:sz w:val="20"/>
                <w:szCs w:val="20"/>
                <w:color w:val="auto"/>
              </w:rPr>
            </w:pPr>
            <w:r>
              <w:rPr>
                <w:rFonts w:ascii="Arial" w:cs="Arial" w:eastAsia="Arial" w:hAnsi="Arial"/>
                <w:sz w:val="18"/>
                <w:szCs w:val="18"/>
                <w:color w:val="auto"/>
              </w:rPr>
              <w:t>Affordable Funerals and</w:t>
            </w:r>
          </w:p>
        </w:tc>
        <w:tc>
          <w:tcPr>
            <w:tcW w:w="6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Cremations, St. George</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157 East Riverside Dr., No. 3A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St. George, Utah</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Memorial Estates, Inc.</w:t>
            </w: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Redwood Mortuary (1)</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6500 South Redwood Rd.</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West Jordan, Utah</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Mountain View Mortuary (1)</w:t>
            </w:r>
          </w:p>
        </w:tc>
        <w:tc>
          <w:tcPr>
            <w:tcW w:w="3400" w:type="dxa"/>
            <w:vAlign w:val="bottom"/>
            <w:gridSpan w:val="2"/>
          </w:tcPr>
          <w:p>
            <w:pPr>
              <w:spacing w:after="0"/>
              <w:rPr>
                <w:sz w:val="20"/>
                <w:szCs w:val="20"/>
                <w:color w:val="auto"/>
              </w:rPr>
            </w:pPr>
            <w:r>
              <w:rPr>
                <w:rFonts w:ascii="Arial" w:cs="Arial" w:eastAsia="Arial" w:hAnsi="Arial"/>
                <w:sz w:val="18"/>
                <w:szCs w:val="18"/>
                <w:color w:val="auto"/>
              </w:rPr>
              <w:t>3115 East 7800 South</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Salt Lake City, Utah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Lakeview Mortuary (1)</w:t>
            </w: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1640 East Lakeview Dr.</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Bountiful, Utah</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Lakehills Mortuary (1)</w:t>
            </w:r>
          </w:p>
        </w:tc>
        <w:tc>
          <w:tcPr>
            <w:tcW w:w="3400" w:type="dxa"/>
            <w:vAlign w:val="bottom"/>
            <w:gridSpan w:val="2"/>
          </w:tcPr>
          <w:p>
            <w:pPr>
              <w:spacing w:after="0"/>
              <w:rPr>
                <w:sz w:val="20"/>
                <w:szCs w:val="20"/>
                <w:color w:val="auto"/>
              </w:rPr>
            </w:pPr>
            <w:r>
              <w:rPr>
                <w:rFonts w:ascii="Arial" w:cs="Arial" w:eastAsia="Arial" w:hAnsi="Arial"/>
                <w:sz w:val="18"/>
                <w:szCs w:val="18"/>
                <w:color w:val="auto"/>
              </w:rPr>
              <w:t>10055 South State St.</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Sandy, Utah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Cottonwood Mortuary, Inc.</w:t>
            </w:r>
          </w:p>
        </w:tc>
        <w:tc>
          <w:tcPr>
            <w:tcW w:w="6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Cottonwood Mortuary (1)</w:t>
            </w:r>
          </w:p>
        </w:tc>
        <w:tc>
          <w:tcPr>
            <w:tcW w:w="3400" w:type="dxa"/>
            <w:vAlign w:val="bottom"/>
            <w:gridSpan w:val="2"/>
          </w:tcPr>
          <w:p>
            <w:pPr>
              <w:spacing w:after="0"/>
              <w:rPr>
                <w:sz w:val="20"/>
                <w:szCs w:val="20"/>
                <w:color w:val="auto"/>
              </w:rPr>
            </w:pPr>
            <w:r>
              <w:rPr>
                <w:rFonts w:ascii="Arial" w:cs="Arial" w:eastAsia="Arial" w:hAnsi="Arial"/>
                <w:sz w:val="18"/>
                <w:szCs w:val="18"/>
                <w:color w:val="auto"/>
              </w:rPr>
              <w:t>4670 South Highland Dr.</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Holladay, Utah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14,500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SN Probst LLC</w:t>
            </w:r>
          </w:p>
        </w:tc>
        <w:tc>
          <w:tcPr>
            <w:tcW w:w="6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Heber Valley Funeral Home</w:t>
            </w:r>
          </w:p>
        </w:tc>
        <w:tc>
          <w:tcPr>
            <w:tcW w:w="3400" w:type="dxa"/>
            <w:vAlign w:val="bottom"/>
            <w:gridSpan w:val="2"/>
          </w:tcPr>
          <w:p>
            <w:pPr>
              <w:spacing w:after="0"/>
              <w:rPr>
                <w:sz w:val="20"/>
                <w:szCs w:val="20"/>
                <w:color w:val="auto"/>
              </w:rPr>
            </w:pPr>
            <w:r>
              <w:rPr>
                <w:rFonts w:ascii="Arial" w:cs="Arial" w:eastAsia="Arial" w:hAnsi="Arial"/>
                <w:sz w:val="18"/>
                <w:szCs w:val="18"/>
                <w:color w:val="auto"/>
              </w:rPr>
              <w:t>288 North Main St.</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Heber City, Utah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___________</w:t>
            </w:r>
          </w:p>
        </w:tc>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40" w:hanging="47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funeral homes also provide burial niches at their respective locations.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Lehman Brothers Holdings Litigation – Delaware and New York</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ectPr>
          <w:pgSz w:w="11900" w:h="16838" w:orient="portrait"/>
          <w:cols w:equalWidth="0" w:num="1">
            <w:col w:w="11420"/>
          </w:cols>
          <w:pgMar w:left="240" w:top="388" w:right="2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type w:val="continuous"/>
        </w:sectPr>
      </w:pPr>
    </w:p>
    <w:bookmarkStart w:id="17" w:name="page18"/>
    <w:bookmarkEnd w:id="17"/>
    <w:p>
      <w:pPr>
        <w:jc w:val="both"/>
        <w:spacing w:after="0" w:line="252" w:lineRule="auto"/>
        <w:rPr>
          <w:sz w:val="20"/>
          <w:szCs w:val="20"/>
          <w:color w:val="auto"/>
        </w:rPr>
      </w:pPr>
      <w:r>
        <w:rPr>
          <w:rFonts w:ascii="Arial" w:cs="Arial" w:eastAsia="Arial" w:hAnsi="Arial"/>
          <w:sz w:val="18"/>
          <w:szCs w:val="18"/>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are permitted to file a joint reply to Lehman Holdings’ response no later than November 26, 2018. The motions to file appeals were consolidated before Valerie Caproni, U.S. District Court Judge, Case No. 18-cv-8986. Case No. 18-mc-00392 is also before Judge Caproni.</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 2018, Lehman Holdings filed a motion for leave to file a Third Amended Complaint against numerous defendants including SecurityNational Mortgage. In addition to the Fannie Mae and Freddie Mac related loans, the amendments/supplements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alternate dispute resolution procedures to take place, including potential mediation. Over objections, at a hearing on October 29, 2018, the Court granted Lehman Holdings’ motion to amend/supplement its complaints adding the RMBS loans, and also to mandate alternative dispute resolution procedures affecting many defendants, including SecurityNational Mortgage.</w:t>
      </w:r>
    </w:p>
    <w:p>
      <w:pPr>
        <w:spacing w:after="0" w:line="2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with the Second Amended Complaint remaining the same. The RMBS Complaint seeks alleged damages relating to obligations under alleged contractual indemnification provisions in an amount to be determined at trial, reasonable interest, costs and expenses incurred by LBHI in enforcing alleged obligations, including attorneys' fees and costs and any expert witness fees incurred in litigation; and such other relief as the Court deems just and proper. SecurityNational Mortgage denies any liability to Lehman Holdings and intends to vigorously protect and defend its position.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8"/>
          <w:szCs w:val="18"/>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Stock, Related Security Holder Matters, and Issuer Purchases of Equity Securities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Class A common stock trades on The NASDAQ National Market under the symbol “SNFCA.” As of March 27, 2019, the closing stock price of the Class A common stock was $4.73 per share. The following were the high and low market closing stock prices for the Class A common stock by quarter as reported by NASDAQ since January 1, 2017:</w:t>
      </w:r>
    </w:p>
    <w:p>
      <w:pPr>
        <w:spacing w:after="0" w:line="200" w:lineRule="exact"/>
        <w:rPr>
          <w:sz w:val="20"/>
          <w:szCs w:val="20"/>
          <w:color w:val="auto"/>
        </w:rPr>
      </w:pPr>
    </w:p>
    <w:p>
      <w:pPr>
        <w:spacing w:after="0" w:line="305"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color w:val="auto"/>
              </w:rPr>
              <w:t>Price Range (1)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High</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Low</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20" w:type="dxa"/>
            <w:vAlign w:val="bottom"/>
            <w:gridSpan w:val="3"/>
          </w:tcPr>
          <w:p>
            <w:pPr>
              <w:spacing w:after="0" w:line="174" w:lineRule="exact"/>
              <w:rPr>
                <w:sz w:val="20"/>
                <w:szCs w:val="20"/>
                <w:color w:val="auto"/>
              </w:rPr>
            </w:pPr>
            <w:r>
              <w:rPr>
                <w:rFonts w:ascii="Arial" w:cs="Arial" w:eastAsia="Arial" w:hAnsi="Arial"/>
                <w:sz w:val="18"/>
                <w:szCs w:val="18"/>
                <w:color w:val="auto"/>
              </w:rPr>
              <w:t>Period (Calendar Year)</w:t>
            </w: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660" w:type="dxa"/>
            <w:vAlign w:val="bottom"/>
            <w:tcBorders>
              <w:top w:val="single" w:sz="8" w:color="auto"/>
            </w:tcBorders>
            <w:gridSpan w:val="2"/>
          </w:tcPr>
          <w:p>
            <w:pPr>
              <w:jc w:val="right"/>
              <w:ind w:right="1211"/>
              <w:spacing w:after="0"/>
              <w:rPr>
                <w:sz w:val="20"/>
                <w:szCs w:val="20"/>
                <w:color w:val="auto"/>
              </w:rPr>
            </w:pPr>
            <w:r>
              <w:rPr>
                <w:rFonts w:ascii="Arial" w:cs="Arial" w:eastAsia="Arial" w:hAnsi="Arial"/>
                <w:sz w:val="18"/>
                <w:szCs w:val="18"/>
                <w:color w:val="auto"/>
                <w:w w:val="84"/>
              </w:rPr>
              <w:t>2017</w:t>
            </w:r>
          </w:p>
        </w:tc>
        <w:tc>
          <w:tcPr>
            <w:tcW w:w="3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640" w:type="dxa"/>
            <w:vAlign w:val="bottom"/>
          </w:tcPr>
          <w:p>
            <w:pPr>
              <w:jc w:val="right"/>
              <w:ind w:right="1211"/>
              <w:spacing w:after="0"/>
              <w:rPr>
                <w:sz w:val="20"/>
                <w:szCs w:val="20"/>
                <w:color w:val="auto"/>
              </w:rPr>
            </w:pPr>
            <w:r>
              <w:rPr>
                <w:rFonts w:ascii="Arial" w:cs="Arial" w:eastAsia="Arial" w:hAnsi="Arial"/>
                <w:sz w:val="18"/>
                <w:szCs w:val="18"/>
                <w:color w:val="auto"/>
                <w:w w:val="79"/>
              </w:rPr>
              <w:t>2018</w:t>
            </w:r>
          </w:p>
        </w:tc>
        <w:tc>
          <w:tcPr>
            <w:tcW w:w="3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640" w:type="dxa"/>
            <w:vAlign w:val="bottom"/>
          </w:tcPr>
          <w:p>
            <w:pPr>
              <w:jc w:val="right"/>
              <w:ind w:right="1211"/>
              <w:spacing w:after="0"/>
              <w:rPr>
                <w:sz w:val="20"/>
                <w:szCs w:val="20"/>
                <w:color w:val="auto"/>
              </w:rPr>
            </w:pPr>
            <w:r>
              <w:rPr>
                <w:rFonts w:ascii="Arial" w:cs="Arial" w:eastAsia="Arial" w:hAnsi="Arial"/>
                <w:sz w:val="18"/>
                <w:szCs w:val="18"/>
                <w:color w:val="auto"/>
                <w:w w:val="79"/>
              </w:rPr>
              <w:t>2019</w:t>
            </w:r>
          </w:p>
        </w:tc>
        <w:tc>
          <w:tcPr>
            <w:tcW w:w="3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 (through March 27, 2019)</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____________</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Stock prices have been adjusted retroactively for the effect of annual 5% stock dividends.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Class C common stock is not registered or traded on a national exchange. See Note 12 of the Notes to Consolidated Financial Statements.</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never paid a cash dividend on its Class A or Class C common stock. The Company currently anticipates that all of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the Board of Directors may deem appropriate. A 5% stock dividend on Class A and Class C common stock has been paid each year from 1990 through 2018.</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760"/>
        <w:spacing w:after="0" w:line="270" w:lineRule="auto"/>
        <w:rPr>
          <w:sz w:val="20"/>
          <w:szCs w:val="20"/>
          <w:color w:val="auto"/>
        </w:rPr>
      </w:pPr>
      <w:r>
        <w:rPr>
          <w:rFonts w:ascii="Arial" w:cs="Arial" w:eastAsia="Arial" w:hAnsi="Arial"/>
          <w:sz w:val="18"/>
          <w:szCs w:val="18"/>
          <w:color w:val="auto"/>
        </w:rPr>
        <w:t>The following table shows the Company’s repurchase activity of its common stock during the three months ended December 31, 2018 under its Stock Repurchase Plan.</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Number (or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(c) Total</w:t>
            </w:r>
          </w:p>
        </w:tc>
        <w:tc>
          <w:tcPr>
            <w:tcW w:w="108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Approximate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Dollar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Value)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Purchased</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 that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(a) 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May Yet Be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1"/>
              </w:rPr>
              <w:t>(b) Average</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Arial" w:cs="Arial" w:eastAsia="Arial" w:hAnsi="Arial"/>
                <w:sz w:val="18"/>
                <w:szCs w:val="18"/>
                <w:color w:val="auto"/>
                <w:w w:val="90"/>
              </w:rPr>
              <w:t>Price Paid</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Under the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per Class A</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Plan or</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Plan 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60" w:type="dxa"/>
            <w:vAlign w:val="bottom"/>
            <w:gridSpan w:val="3"/>
          </w:tcPr>
          <w:p>
            <w:pPr>
              <w:spacing w:after="0" w:line="188" w:lineRule="exact"/>
              <w:rPr>
                <w:sz w:val="20"/>
                <w:szCs w:val="20"/>
                <w:color w:val="auto"/>
              </w:rPr>
            </w:pPr>
            <w:r>
              <w:rPr>
                <w:rFonts w:ascii="Arial" w:cs="Arial" w:eastAsia="Arial" w:hAnsi="Arial"/>
                <w:sz w:val="18"/>
                <w:szCs w:val="18"/>
                <w:color w:val="auto"/>
              </w:rPr>
              <w:t>Period</w:t>
            </w:r>
          </w:p>
        </w:tc>
        <w:tc>
          <w:tcPr>
            <w:tcW w:w="920" w:type="dxa"/>
            <w:vAlign w:val="bottom"/>
          </w:tcPr>
          <w:p>
            <w:pPr>
              <w:jc w:val="center"/>
              <w:spacing w:after="0" w:line="188" w:lineRule="exact"/>
              <w:rPr>
                <w:sz w:val="20"/>
                <w:szCs w:val="20"/>
                <w:color w:val="auto"/>
              </w:rPr>
            </w:pPr>
            <w:r>
              <w:rPr>
                <w:rFonts w:ascii="Arial" w:cs="Arial" w:eastAsia="Arial" w:hAnsi="Arial"/>
                <w:sz w:val="18"/>
                <w:szCs w:val="18"/>
                <w:color w:val="auto"/>
                <w:w w:val="85"/>
              </w:rPr>
              <w:t>Purchased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1"/>
              <w:spacing w:after="0" w:line="188" w:lineRule="exact"/>
              <w:rPr>
                <w:sz w:val="20"/>
                <w:szCs w:val="20"/>
                <w:color w:val="auto"/>
              </w:rPr>
            </w:pPr>
            <w:r>
              <w:rPr>
                <w:rFonts w:ascii="Arial" w:cs="Arial" w:eastAsia="Arial" w:hAnsi="Arial"/>
                <w:sz w:val="18"/>
                <w:szCs w:val="18"/>
                <w:color w:val="auto"/>
                <w:w w:val="87"/>
              </w:rPr>
              <w:t>Share</w:t>
            </w:r>
          </w:p>
        </w:tc>
        <w:tc>
          <w:tcPr>
            <w:tcW w:w="18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Arial" w:cs="Arial" w:eastAsia="Arial" w:hAnsi="Arial"/>
                <w:sz w:val="18"/>
                <w:szCs w:val="18"/>
                <w:color w:val="auto"/>
                <w:w w:val="86"/>
              </w:rPr>
              <w:t>Program</w:t>
            </w:r>
          </w:p>
        </w:tc>
        <w:tc>
          <w:tcPr>
            <w:tcW w:w="16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Arial" w:cs="Arial" w:eastAsia="Arial" w:hAnsi="Arial"/>
                <w:sz w:val="18"/>
                <w:szCs w:val="18"/>
                <w:color w:val="auto"/>
                <w:w w:val="89"/>
              </w:rPr>
              <w:t>Program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10/1/2018-10/31/2018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11/1/2018-11/30/2018</w:t>
            </w:r>
          </w:p>
        </w:tc>
        <w:tc>
          <w:tcPr>
            <w:tcW w:w="920" w:type="dxa"/>
            <w:vAlign w:val="bottom"/>
          </w:tcPr>
          <w:p>
            <w:pPr>
              <w:jc w:val="right"/>
              <w:spacing w:after="0"/>
              <w:rPr>
                <w:sz w:val="20"/>
                <w:szCs w:val="20"/>
                <w:color w:val="auto"/>
              </w:rPr>
            </w:pPr>
            <w:r>
              <w:rPr>
                <w:rFonts w:ascii="Arial" w:cs="Arial" w:eastAsia="Arial" w:hAnsi="Arial"/>
                <w:sz w:val="18"/>
                <w:szCs w:val="18"/>
                <w:color w:val="auto"/>
              </w:rPr>
              <w:t>6,400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12/1/2018-12/31/2018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271,300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below compares the cumulative total stockholder return of the Company’s Class A common stock with the cumulative total return on the Standard &amp; Poor’s 500 Stock Index and the Standard &amp; Poor’s Insurance Index for the period from December 31, 2014 through December 31, 2018. The graph assumes that the value of the investment in the Company’s Class A common stock and in each of the indexes was $100 at December 31, 2014 and that all dividends were reinvested.</w:t>
      </w:r>
    </w:p>
    <w:p>
      <w:pPr>
        <w:spacing w:after="0" w:line="242"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120015</wp:posOffset>
            </wp:positionV>
            <wp:extent cx="5290185" cy="284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90185" cy="284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560" w:type="dxa"/>
            <w:vAlign w:val="bottom"/>
            <w:gridSpan w:val="3"/>
          </w:tcPr>
          <w:p>
            <w:pPr>
              <w:jc w:val="right"/>
              <w:ind w:right="40"/>
              <w:spacing w:after="0"/>
              <w:rPr>
                <w:sz w:val="20"/>
                <w:szCs w:val="20"/>
                <w:color w:val="auto"/>
              </w:rPr>
            </w:pPr>
            <w:r>
              <w:rPr>
                <w:rFonts w:ascii="Arial" w:cs="Arial" w:eastAsia="Arial" w:hAnsi="Arial"/>
                <w:sz w:val="18"/>
                <w:szCs w:val="18"/>
                <w:color w:val="auto"/>
              </w:rPr>
              <w:t>12/31/14</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12/31/15</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12/31/16</w:t>
            </w:r>
          </w:p>
        </w:tc>
        <w:tc>
          <w:tcPr>
            <w:tcW w:w="300" w:type="dxa"/>
            <w:vAlign w:val="bottom"/>
          </w:tcPr>
          <w:p>
            <w:pPr>
              <w:spacing w:after="0"/>
              <w:rPr>
                <w:sz w:val="20"/>
                <w:szCs w:val="20"/>
                <w:color w:val="auto"/>
              </w:rPr>
            </w:pPr>
          </w:p>
        </w:tc>
        <w:tc>
          <w:tcPr>
            <w:tcW w:w="1540" w:type="dxa"/>
            <w:vAlign w:val="bottom"/>
            <w:gridSpan w:val="2"/>
          </w:tcPr>
          <w:p>
            <w:pPr>
              <w:jc w:val="right"/>
              <w:ind w:right="251"/>
              <w:spacing w:after="0"/>
              <w:rPr>
                <w:sz w:val="20"/>
                <w:szCs w:val="20"/>
                <w:color w:val="auto"/>
              </w:rPr>
            </w:pPr>
            <w:r>
              <w:rPr>
                <w:rFonts w:ascii="Arial" w:cs="Arial" w:eastAsia="Arial" w:hAnsi="Arial"/>
                <w:sz w:val="18"/>
                <w:szCs w:val="18"/>
                <w:color w:val="auto"/>
              </w:rPr>
              <w:t>12/31/17</w:t>
            </w:r>
          </w:p>
        </w:tc>
        <w:tc>
          <w:tcPr>
            <w:tcW w:w="1560" w:type="dxa"/>
            <w:vAlign w:val="bottom"/>
            <w:gridSpan w:val="2"/>
          </w:tcPr>
          <w:p>
            <w:pPr>
              <w:jc w:val="right"/>
              <w:ind w:right="271"/>
              <w:spacing w:after="0"/>
              <w:rPr>
                <w:sz w:val="20"/>
                <w:szCs w:val="20"/>
                <w:color w:val="auto"/>
              </w:rPr>
            </w:pPr>
            <w:r>
              <w:rPr>
                <w:rFonts w:ascii="Arial" w:cs="Arial" w:eastAsia="Arial" w:hAnsi="Arial"/>
                <w:sz w:val="18"/>
                <w:szCs w:val="18"/>
                <w:color w:val="auto"/>
              </w:rPr>
              <w:t>12/31/18</w:t>
            </w:r>
          </w:p>
        </w:tc>
        <w:tc>
          <w:tcPr>
            <w:tcW w:w="12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SNFC</w:t>
            </w: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w:t>
            </w:r>
          </w:p>
        </w:tc>
        <w:tc>
          <w:tcPr>
            <w:tcW w:w="2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S &amp; P 500</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&amp; P Insurance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r>
    </w:tbl>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there were 3,289 record holders of Class A common stock and 68 record holders of Class C common stock.</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relatively low interest rates by originating mortgage loans.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7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table shows the condensed financial results for the Company’s insurance operations for the years ended December 31, 2018 and 2017. See Note 15 of the Notes to Consolidated Financial Statements.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86"/>
              </w:rPr>
              <w:t>Years ended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2018 vs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2017 %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Insurance premiums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34,090</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(losses) on investments and other assets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than temporary impairments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137,682</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100,713</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30,124</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4,729</w:t>
            </w: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Intersegment revenues for the Company’s insurance operations were primarily interest income from the warehouse lines provided to its mortgage lending affiliates to fund loans held for sale. Profitability in 2018 increased due to the gain of $22,252,000 on the sale of Dry Creek at East Village Apartments, increases in investment income, and increases in insurance premiums. These increases were partially offset by increases in benefits and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7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table shows the condensed financial results for the Company’s cemetery and mortuary operations for the years ended December 31, 2018 and 2017. See Note 15 of the Notes to Consolidated Financial Statements.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86"/>
              </w:rPr>
              <w:t>Years ended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2018 vs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2017 %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Mortuary revenues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Cemetery revenues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16,440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13,365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net investment income was net rental income from residential and commercial properties purchased from Security National Life. Memorial Estates purchased these properties from financing provided by Security National Life. The rental income was offset by property insurance, taxes, maintenance expenses and depreciation. Memorial Estates recorded depreciation on these properties of $598,000 and $645,000 for the twelve months ended December 31, 2018 and 2017, respectively. Profitability in 2018 has increased due to a gain on the sale of assets of Deseret Mortuary and an increase in cemetery and mortuary revenues.</w:t>
      </w:r>
    </w:p>
    <w:p>
      <w:pPr>
        <w:sectPr>
          <w:pgSz w:w="11900" w:h="16838" w:orient="portrait"/>
          <w:cols w:equalWidth="0" w:num="1">
            <w:col w:w="11420"/>
          </w:cols>
          <w:pgMar w:left="240" w:top="121"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Mortgage Operations</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19% of its loan origination volume. These mortgage loans are serviced by either SecurityNational Mortgage or an approved third-party sub-servicer.</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twelve months ended December 31, 2018 and 2017, SecurityNational Mortgage originated 10,252 loans ($2,150,933,000 total volume) and 12,877 loans ($2,534,032,000 total volume), respectively. For the twelve months ended December 31, 2018 and 2017, EverLEND Mortgage originated 173 loans ($43,675,000 total volume) and 49 loans ($11,724,000 total volume), respectively.</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table shows the condensed financial results for the Company’s mortgage operations for the years ended 2018 and 2017. See Note 15 of the Notes to Consolidated Financial Statements.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86"/>
              </w:rPr>
              <w:t>Years ended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2018 vs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2017 %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13"/>
        </w:trPr>
        <w:tc>
          <w:tcPr>
            <w:tcW w:w="59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from loan originations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Secondary gains from investors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108,757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125,496</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162,848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other revenues is service fee income. The decrease in revenues for the Company’s mortgage operations for the twelve months ended December 31, 2018 as compared to December 31, 2017 was due to a reduction in mortgage loan originations and refinancings, and subsequent sales into the secondary market.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78"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Future loan losses can be extremely difficult to estimate. However, management believes that the Company’s reserve methodology and its current practice of property preservation allow it to estimate potential losses on loans sold. The estimated liability for indemnification losses is included in other liabilities and accrued expenses and, as of December 31, 2018 and 2017, the balances were $3,605,000 and $2,572,000,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litigation involving SecurityNational Mortgage and Lehman Brothers holdings, see Part I, Item 3. 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7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is a brief summary of the Company’s significant accounting policies and a review of the Company’s most critical accounting estimates. See Note 1 of the Notes to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Operations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generally accepted accounting principles in the United States of America (“GAAP”), premiums and other considerations received for interest sensitive products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receives investment income earned from the funds deposited into account balances, a portion of which is passed through to the policyholders in the form of interest credited. Interest credited to policyholder account balances and benefit claims in excess of policyholder account balances are reported as expenses in the consolidated financial statements.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Premiums and other considerations received for traditional life insurance products are recognized as revenues when due. Future policy benefits are recognized as expenses over the life of the policy by means of the provision for future policy benefits.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costs related to acquiring new business, including certain costs of issuing policies and other variable selling expenses (principally commissions), defined as deferred policy acquisition costs, are capitalized and amortized into expense. 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assumptions used for computing liabilities for future policy benefits and are generally “locked in” at the date the policies are issued. For interest sensitive products, these costs are amortized generally in proportion to expected gross profits from surrender charges and investment, mortality and expense margins. This amortization is adjusted when the Company revises the estimate of current or future gross profits or margins. For example, deferred policy acquisition costs are amortized earlier than originally estimated when policy terminations are higher than originally estimated or when investments backing the related policyholder liabilities are sold at a gain prior to their anticipated maturity.</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Death and other policyholder benefits reflect exposure to mortality risk and fluctuate from year to year on the level of claims incurred under insurance retention limits. The profitability of the Company is primarily affected by fluctuations in mortality, other policyholder benefits, expense levels, interest spreads (i.e., the difference between interest earned on investments and interest credited to policyholders) and persistency. The Company has the ability to mitigate adverse experience through sound underwriting, asset and liability duration matching, sound actuarial practices, adjustments to credited interest rates, policyholder dividends and cost of insurance charges.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Cemetery and Mortuary Operations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Pre-need sales of funeral services and caskets, including revenue and costs associated with the sales of pre-need funeral services and caskets, are deferred until the services are performed or the caskets are delivered.</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Pre-need sales of cemetery interment rights (cemetery burial property), including revenue and costs associated with the sales of pre-need cemetery interment rights, are recognized in accordance with the retail land sales provisions of GAAP. Under GAAP, recognition of revenue and associated costs from constructed cemetery property must be deferred until a minimum percentage of the sales price has been collected. Revenues related to the pre-need sale of unconstructed cemetery property will be deferred until such property is constructed and meets the criteria of GAAP, described above.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Pre-need sales of cemetery merchandise (primarily markers and vaults), including revenue and costs associated with the sales of pre-need cemetery merchandise, are deferred until the merchandise is delivered, fulfilling the performance obligation.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8"/>
          <w:szCs w:val="18"/>
          <w:color w:val="auto"/>
        </w:rPr>
        <w:t>Pre-need sales of cemetery services (primarily merchandise delivery and installation fees and burial opening and closing fees), including revenue and costs associated with the sales of pre-need cemetery services, are deferred until the services are performed.</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Prearranged funeral and pre-need cemetery customer obtaining costs, including costs incurred related to obtaining new pre-need cemetery and prearranged funeral business are accounted for under the guidance of the provisions of GAAP. Obtaining costs, which include only costs that vary with and are primarily related to the acquisition of new pre-need cemetery and prearranged funeral business, are deferred until the merchandise is delivered or services are performed.</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Revenues and costs for at</w:t>
      </w:r>
      <w:r>
        <w:rPr>
          <w:rFonts w:ascii="MS PGothic" w:cs="MS PGothic" w:eastAsia="MS PGothic" w:hAnsi="MS PGothic"/>
          <w:sz w:val="18"/>
          <w:szCs w:val="18"/>
          <w:color w:val="auto"/>
        </w:rPr>
        <w:t>‑</w:t>
      </w:r>
      <w:r>
        <w:rPr>
          <w:rFonts w:ascii="Arial" w:cs="Arial" w:eastAsia="Arial" w:hAnsi="Arial"/>
          <w:sz w:val="18"/>
          <w:szCs w:val="18"/>
          <w:color w:val="auto"/>
        </w:rPr>
        <w:t>need sales are recorded when a valid contract exists, the services are performed, collection is reasonably assured, and there are no significant company obligations remaining.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Operations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Mortgage loans held for sale prior to July 1, 2017 were shown on the Company’s consolidated balance sheets at the lower of cost or market and all revenues and costs were deferred until the loans were sold to a third-party investor. On July 1, 2017, the Company made an election to use fair value accounting for all mortgage loans that are held for sale. Accordingly, all revenues and costs are now recognized when the mortgage loan is funded and any changes in fair value are shown as a component of mortgage fee income.</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238" w:lineRule="exact"/>
        <w:rPr>
          <w:sz w:val="20"/>
          <w:szCs w:val="20"/>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deliver original documents specified by the investor,</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existence of misrepresentation or fraud in the origination of the loan,</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loan becomes delinquent due to nonpayment during the first several months after it is sold,</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Early pay-off of a loan, as defined by the agreements,</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Excessive time to settle a loan,</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declines purchase, and</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Discontinued product and expired commitment.</w:t>
      </w:r>
    </w:p>
    <w:p>
      <w:pPr>
        <w:spacing w:after="0" w:line="27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204" w:lineRule="exact"/>
        <w:rPr>
          <w:sz w:val="20"/>
          <w:szCs w:val="20"/>
          <w:color w:val="auto"/>
        </w:rPr>
      </w:pPr>
    </w:p>
    <w:p>
      <w:pPr>
        <w:ind w:left="700" w:hanging="4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reasons for rejection,</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additional documents,</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Request investor exceptions,</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Appeal rejection decision to purchase committee, and</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 to secondary investors.</w:t>
      </w: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Once purchase commitments have expired and other alternatives to remedy are exhausted, which could be earlier than the six-month time period, the loans are repurchased and transferred to mortgage loans held for investment at the lower of cost or fair value and the previously recorded sales revenue that was to be received from a third-party investor is written off against the loan loss reserve. Any loan that later becomes delinquent is evaluated by the Company at that time and any impairment is adjusted accordingly.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auto"/>
        </w:rPr>
        <w:t>Determining lower of cost or market</w:t>
      </w:r>
      <w:r>
        <w:rPr>
          <w:rFonts w:ascii="Arial" w:cs="Arial" w:eastAsia="Arial" w:hAnsi="Arial"/>
          <w:sz w:val="16"/>
          <w:szCs w:val="16"/>
          <w:color w:val="auto"/>
        </w:rPr>
        <w:t>. Cost for loans held for sale is equal to the amount paid to the warehouse bank and the amount originally funded by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 Market value, while often difficult to determine, is based on the following guidelines:</w:t>
      </w:r>
    </w:p>
    <w:p>
      <w:pPr>
        <w:spacing w:after="0" w:line="167" w:lineRule="exact"/>
        <w:rPr>
          <w:sz w:val="20"/>
          <w:szCs w:val="20"/>
          <w:color w:val="auto"/>
        </w:rPr>
      </w:pPr>
    </w:p>
    <w:p>
      <w:pPr>
        <w:ind w:left="700" w:hanging="40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that are committed, the Company uses the commitment price.</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loans that are non-committed that have an active market, the Company uses the market price.</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loans that are non-committed where there is no market but there is a similar product, the Company uses the market value for the similar product.</w:t>
      </w:r>
    </w:p>
    <w:p>
      <w:pPr>
        <w:spacing w:after="0" w:line="243" w:lineRule="exact"/>
        <w:rPr>
          <w:rFonts w:ascii="Arial" w:cs="Arial" w:eastAsia="Arial" w:hAnsi="Arial"/>
          <w:sz w:val="16"/>
          <w:szCs w:val="16"/>
          <w:color w:val="auto"/>
        </w:rPr>
      </w:pPr>
    </w:p>
    <w:p>
      <w:pPr>
        <w:ind w:left="700" w:right="20" w:hanging="400"/>
        <w:spacing w:after="0" w:line="334"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loan interest rate.</w:t>
      </w:r>
    </w:p>
    <w:p>
      <w:pPr>
        <w:spacing w:after="0" w:line="3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appraised value of the real estate underlying the original mortgage loan adds significance to the Company’s determination of fair value because, if the loan becomes delinquent, the Company has sufficient value to collect the unpaid principal balance or the carrying value of the loan, thus minimizing credit risk. In determining the market value on the date of repurchase, the Company considers the total value of all of the loans because any sale of loans would be made as a pool.</w:t>
      </w:r>
    </w:p>
    <w:p>
      <w:pPr>
        <w:spacing w:after="0" w:line="24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majority of loans originated are sold to third-party investors. The amounts expected to be sold to investors are shown on the consolidated balance sheets as loans held for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Significant Accounting Estimates</w:t>
      </w:r>
    </w:p>
    <w:p>
      <w:pPr>
        <w:spacing w:after="0" w:line="27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and disclosures. It is reasonably possible that actual experience could differ from the estimates and assumptions utilized which could have a material impact on the financial statements. The following is a summary of our significant accounting estimates, and critical issues that impact them: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estimates the fair value of a mortgage loan commitment based on the change in estimated fair value of the underlying mortgage loan, quoted mortgage 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Acquisition Costs</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of deferred policy acquisition costs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Value of Business Acquired</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Value of business acquired is the present value of estimated future profits of the acquired business and is amortized similar to deferred acquisition costs. The critical issues explained for deferred acquisition costs would also apply for value of business acquired.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Foreclosed to Real Estate Held for Investment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properties are recorded at the lower of cost or fair value upon foreclosure. The Company believes that in an orderly market, fair value approximates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estimated future policy benefits. Accordingly, the fair value determination is generally weighted more heavily toward the rental analysis. The fair value is also estimated by obtaining an independent appraisal, which typically considers area comparables and property condition.</w:t>
      </w:r>
    </w:p>
    <w:p>
      <w:pPr>
        <w:sectPr>
          <w:pgSz w:w="11900" w:h="16838" w:orient="portrait"/>
          <w:cols w:equalWidth="0" w:num="1">
            <w:col w:w="11420"/>
          </w:cols>
          <w:pgMar w:left="240" w:top="125"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Future Policy Benefits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228" w:lineRule="exact"/>
        <w:rPr>
          <w:sz w:val="20"/>
          <w:szCs w:val="20"/>
          <w:color w:val="auto"/>
        </w:rPr>
      </w:pPr>
    </w:p>
    <w:p>
      <w:pPr>
        <w:jc w:val="both"/>
        <w:spacing w:after="0" w:line="416" w:lineRule="auto"/>
        <w:rPr>
          <w:sz w:val="20"/>
          <w:szCs w:val="20"/>
          <w:color w:val="auto"/>
        </w:rPr>
      </w:pPr>
      <w:r>
        <w:rPr>
          <w:rFonts w:ascii="Arial" w:cs="Arial" w:eastAsia="Arial" w:hAnsi="Arial"/>
          <w:sz w:val="14"/>
          <w:szCs w:val="14"/>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Unearned Revenue</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universal life products the Company sells have significant policy initiation fees (front-end load) that are deferred and amortized into revenues over the estimated expected gross profits from surrender charges and investment, mortality and expense margins. The same issues that impact deferred acquisition costs would apply to unearned revenue.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Pre-need Cemetery and Funeral Contracts Revenues and Estimated Future Cost of Pre-need Sales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revenue and cost associated with the sales of pre-need cemetery merchandise and funeral services are deferred until the merchandise is delivered or the service is performed.</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through its cemetery and mortuary operations, provides a guaranteed funeral arrangement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 or 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Servicing Rights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Mortgage Service Rights (“MSR”) arise from contractual agreements between the Company and third-party investors (or their agents) when mortgage loans are sold. Under these contracts, the Company is obligated to retain and provide loan servicing functions on the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 The Company initially accounts for MSRs at fair value and subsequently accounts for them using the amortization method. MSR amortization is determined by amortizing the MSR balance in proportion to, and over the period of the estimated future net servicing income of the underlying financial assets. The Company periodically assesses MSRs accounted for using the amortization method for impairment.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Allowance for Loan Losses and Loan Loss Reserve</w:t>
      </w:r>
    </w:p>
    <w:p>
      <w:pPr>
        <w:spacing w:after="0" w:line="2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provides for losses on its mortgage loans held for investment through an allowance for loan losses (a contra-asset account) and through the mortgage loan loss reserve (a liability account). The allowance for loan losses is an allowance for losses on the Company’s mortgage loans held for investment.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spacing w:after="0" w:line="297" w:lineRule="auto"/>
        <w:rPr>
          <w:sz w:val="20"/>
          <w:szCs w:val="20"/>
          <w:color w:val="auto"/>
        </w:rPr>
      </w:pPr>
      <w:r>
        <w:rPr>
          <w:rFonts w:ascii="Arial" w:cs="Arial" w:eastAsia="Arial" w:hAnsi="Arial"/>
          <w:sz w:val="16"/>
          <w:szCs w:val="16"/>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the allowance for loan losses and the loan loss reserve represent probable loan losses incurred as of the balance sheet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 Assets and Liabilities</w:t>
      </w: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Deferred tax assets and liabilities require various estimates and judgments and may be affected favorably or unfavorably by various internal and external factors. These estimates and judgments occur in the calculation of certain deferred tax assets and liabilities that arise from temporary differences in the recognition of revenues and expenses for tax and financial reporting purposes and in estimating the ultimate amount of deferred tax assets recoverable in future periods.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Consolidated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to 2017</w:t>
      </w:r>
    </w:p>
    <w:p>
      <w:pPr>
        <w:spacing w:after="0" w:line="2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Total revenues increased by $2,693,000, or 1.0%, to $279,619,000 for 2018 from $276,926,000 for the fiscal year 2017. Contributing to this increase in total revenues was a $26,890,000 increase in gains on investments and other assets, a $5,517,000 increase in insurance premiums and other considerations, a $4,850,000 increase in net investment income, a $1,204,000 increase in other revenues, a $1,069,000 increase in net cemetery and mortuary sales, and a $774,000 decrease in other than temporary impairments. This increase in total revenues was offset by a $37,611,000 decrease in mortgage fee income.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Insurance premiums and other considerations increased by $5,517,000, or 7.8%, to $75,929,000 for 2018, from $70,412,000 for the comparable period in 2017. This increase was due to an increase in renewal premiums primarily from the resurgence of the Company’s Final Expense block of business along with improved persistency.</w:t>
      </w:r>
    </w:p>
    <w:p>
      <w:pPr>
        <w:spacing w:after="0" w:line="23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Net investment income increased by $4,850,000, or 13.8%, to $39,913,000 for 2018, from $35,063,000 for the comparable period in 2017. This increase was primarily attributable to a $5,967,000 increase in interest from mortgage loans held for investment, a $1,482,000 increase in insurance assignment income, a $721,000 increase in income from cash and cash equivalents, a $312,000 decrease in investment expenses, and a $122,000 increase in income from other investments. This increase was partially offset by a $3,078,000 decrease in rental income from real estate held for investment, a $585,000 decrease in fixed maturity securities income, a $79,000 decrease in policy loan income, and a $12,000 decrease in equity securities income.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mortuary and cemetery sales increased by $1,069,000, or 8.4%, to $13,726,000 for 2018, from $12,657,000 for the comparable period in 2017. This increase was primarily due to a $519,000 increase in at-need sales in the mortuary operations, a $282,000 increase in at-need sales in the cemetery operations, and a $268,000 increase in pre-need sales in the cemetery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67" w:lineRule="auto"/>
        <w:rPr>
          <w:sz w:val="20"/>
          <w:szCs w:val="20"/>
          <w:color w:val="auto"/>
        </w:rPr>
      </w:pPr>
      <w:r>
        <w:rPr>
          <w:rFonts w:ascii="Arial" w:cs="Arial" w:eastAsia="Arial" w:hAnsi="Arial"/>
          <w:sz w:val="17"/>
          <w:szCs w:val="17"/>
          <w:color w:val="auto"/>
        </w:rPr>
        <w:t>Gains on investments and other assets increased by $26,890,000, or 912.0%, to $23,941,000 in gains for 2018, from $2,949,000 in losses for the comparable period in 2017. This increase in gains on investments and other assets was primarily due to a $20,829,000 increase in a gains from the sale of real estate held for investment primarily due to the gain realized from the sale of Dry Creek at East Village Apartments, a $4,979,000 decrease in impairment losses on real estate held for investment, a $1,573,000 gain realized on the sale of other assets primarily due to the sale of assets of Deseret Mortuary, a $568,000 increase in gains on fixed maturity securities, and $387,000 in gains from the sale of mortgage loans held for investment. This increase was partially offset by a $1,318,000 increase in net losses on equity securities primarily attributable to decreases in the fair value of these securities and a $128,000 decrease in gains from call and put option derivatives. Due to the adoption of Accounting Standards Update (“ASU”) 2016-01, the changes in the fair value of equity securities are now recognized in earnings instead of other comprehensive income. See the discussion of the adoption of this ASU in Note 1 of the notes to the consolidated financial statements.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temporary impairments on investments decreased by $774,000, or 100.0%, to $-0- for 2018 from $774,000 for the comparable period in 2017. This decrease was primarily attributable to a $493,000 decrease in impairments on fixed maturity securities held to maturity and a $281,000 decrease in impairments on equity securities available for sale.</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 fee income decreased by $37,611,000, or 24.5%, to $116,186,000 for 2018, from $153,797,000 for the comparable period in 2017. This decrease was primarily due to a decline in mortgage loan originations that was indicative of the mortgage loan industry as a whole. The decline in mortgage loan originations was primarily caused by a national shortage of available new housing for mortgage loan origination transactions, and the decline in mortgage loan refinancings, which were primarily caused by recent increases in interest rates on mortgage loans. Additionally, the decline in mortgage originations has resulted in a decline in fees earned from third-party investors that purchase mortgage loans from the Company.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increased by $1,204,000, or 13.8%, to $9,923,000 for 2018 from $8,719,000 for the comparable period in 2016. This increase was primarily due to a $494,000 increase in transaction fees from funding insurance assignments, a $396,000 increase in mortgage servicing revenues, and a $318,000 increase in other miscellaneous revenues in the life insurance segment.</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Total benefits and expenses were $253,438,000, or 90.6% of total revenues for 2018, as compared to $269,394,000, or 97.3% of total revenues, for the comparable period in 2017.</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$3,799,000, or 6.4%, to $63,517,000 for 2018, from $59,718,000 for the comparable period in 2017. This increase was primarily the result of a $3,043,000 increase in death benefits, a $709,000 increase in future policy benefits, and a $47,000 increase in surrenders and other policy benefits.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$3,151,000, or 37.2%, to $11,631,000 for 2018, from $8,480,000 for the comparable period in 2017. This increase was primarily due to an increase in the average outstanding balance of deferred policy and pre-need acquisition costs.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decreased by $24,039,000, or 12.4%, to $169,174,000 for 2018, from $193,213,000 for the comparable period in 2017. This decrease was primarily due to a $17,812,000 decrease in commission expenses due to the decline in mortgage loan originations, a $2,960,000 decrease in personnel expenses due to a reduction in mortgage loan originators, a $2,239,000 decrease in costs related to funding mortgage loans, a $1,152,000 decrease in advertising expenses, a $1,105,000 decrease in rent and rent related expenses, and a $354,000 decrease in depreciation on property and equipment. This decrease was partially offset by a $1,583,000 increase in other expenses.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by $919,000, or 15.2%, to $6,956,000 for 2018, from $6,037,000 for the comparable period in 2017. This increase was primarily due to a $429,000 increase in interest expense on mortgage warehouse lines, a $411,000 increase in interest expense on bank loans for real estate held for investment, and a $79,000 increase in other interest expense.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and services sold of the cemeteries and mortuaries increased by $213,000, or 10.9%, to $2,159,000 for 2018, from $1,946,000 for the comparable period in 2017. This increase was primarily due to a $174,000 increase in costs related to cemetery pre-need sales and a $59,000 increase in costs related to mortuary at-need sales.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Income tax expense increased by $11,075,000, or 168.3%, to a $4,494,311 expense for 2018, from a $6,580,822 benefit for the comparable period in 2017. The 2017 income tax benefit included a $8,973,722 benefit primarily due to re-measuring deferred tax assets and liabilities as a result of the Tax Act the President signed into law on December 22, 2017. Net of this 2017 benefit, income tax expense increased by $2,101,000, or 87.8%, for 2018 primarily due to an increase in earnings before income taxes for 2018 compared to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most significant risks facing the Company and how it mitigates those risks:</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Legal and Regulatory Risks</w:t>
      </w:r>
      <w:r>
        <w:rPr>
          <w:rFonts w:ascii="Arial" w:cs="Arial" w:eastAsia="Arial" w:hAnsi="Arial"/>
          <w:sz w:val="17"/>
          <w:szCs w:val="17"/>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mitigates these risks by offering a wide range of products and by diversifying its operations, thus reducing its exposure to any single product or jurisdiction, and also by employing underwriting practices that identify and minimize the adverse impact of such risks.</w:t>
      </w:r>
    </w:p>
    <w:p>
      <w:pPr>
        <w:spacing w:after="0" w:line="23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u w:val="single" w:color="auto"/>
          <w:color w:val="auto"/>
        </w:rPr>
        <w:t>Mortgage Industry Risks</w:t>
      </w:r>
      <w:r>
        <w:rPr>
          <w:rFonts w:ascii="Arial" w:cs="Arial" w:eastAsia="Arial" w:hAnsi="Arial"/>
          <w:sz w:val="17"/>
          <w:szCs w:val="17"/>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mortgage loan loss reserve is an estimate of probable losses at the balance sheet date that the Company could realize in the future on mortgage loans sold to third-party investors. The Company’s mortgage subsidiaries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completion of a transfer that satisfies the conditions to be accounted for as a sale, the Company initially measures at fair value liabilities incurred in a sale relating to any guarantee or recourse provisions. The initial reserve for loan losses in years ended December 31, 2018 and 2017 were $1,148,000 and $1,851,000, respectively, and the charge has been included in mortgage fee income. The estimated liability for indemnification losses is included in other liabilities and accrued expenses and, as of December 31, 2018 and 2017, the balances were $3,605,000 and $2,572,000, respectively. The Company believes the loan loss reserve represent probable loan losses incurred as of December 31, 2018. There is a risk, however, that future loan losses may exceed the loan loss reserve.</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various times third-party investors have asserted that SecurityNational Mortgage sold mortgage loans that allegedly contained borrower misrepresentations or experienced early payment defaults, or that were otherwise allegedly defective or not in compliance with loan purchase agreements involving SecurityNational Mortgage. As a result of these claims, third-party investors have made demands at times that SecurityNational Mortgage repurchase certain alleged defective mortgage loans that were sold to such investors or indemnify them against any losses related to such loans.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total amount of potential claims by third-party investors is difficult to determine. The Company has reserved and accrued $3,605,000 as of December 31, 2018 to settle all such investor related claims. The Company believes that the reserve for mortgage loan losses, which includes provisions for probable losses and indemnification on loans held for sale, is reasonable based on available information. Moreover, the Company has successfully negotiated acceptable settlement terms with other third-party investors that asserted claims for mortgage loan losses against SecurityNational Mortgage.</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SecurityNational Mortgage disagrees with the repurchase demands and notices of potential claims from third-party investors. Furthermore, SecurityNational Mortgage believes there is potential to resolve the alleged claims by the third-party investors on acceptable terms. If SecurityNational Mortgage is unable to resolve such claims on acceptable terms, legal action may ensue. In the event of legal action by any third-party investor, SecurityNational Mortgage believes it has significant defenses to any such action and intends to vigorously defend itself against such action.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spacing w:after="0" w:line="269" w:lineRule="auto"/>
        <w:rPr>
          <w:sz w:val="20"/>
          <w:szCs w:val="20"/>
          <w:color w:val="auto"/>
        </w:rPr>
      </w:pPr>
      <w:r>
        <w:rPr>
          <w:rFonts w:ascii="Arial" w:cs="Arial" w:eastAsia="Arial" w:hAnsi="Arial"/>
          <w:sz w:val="17"/>
          <w:szCs w:val="17"/>
          <w:color w:val="auto"/>
        </w:rPr>
        <w:t>As of December 31, 2018, the Company’s mortgage loans held for investment portfolio consisted of $3,639,000 in mortgage loans with delinquencies more than 90 days. Of this amount, $1,727,000 of the loans were in foreclosure proceedings. The Company has not received or recognized any interest income on the $3,639,000 in mortgage loans with delinquencies more than 90 days. During the twelve months ended December 31, 2018, the Company decreased its allowance for loan losses by $415,000 and during the twelve months ended December 31, 2017, the Company increased its allowance for loan losses by $20,000, which was charged to bad debt expense and included in selling, general and administrative expenses for the period. The allowances for loan losses as of December 31, 2018 and 2017 were $1,348,000 and $1,769,000, respectively.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 The risk that interest rates will change, which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mitigates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Mortality and Morbidity Risks</w:t>
      </w:r>
      <w:r>
        <w:rPr>
          <w:rFonts w:ascii="Arial" w:cs="Arial" w:eastAsia="Arial" w:hAnsi="Arial"/>
          <w:sz w:val="18"/>
          <w:szCs w:val="18"/>
          <w:color w:val="auto"/>
        </w:rPr>
        <w:t>. The risk that the Company’s actuarial assumptions may differ from actual mortality and morbidity experiences may cause the Company’s products to be underpriced, may cause the Company to liquidate insurance or other claims earlier than anticipated, and other potentially adverse consequences to the business. The Company minimizes this risk through sound underwriting practices, asset and liability duration matching, and sound actuarial practices.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auto"/>
        </w:rPr>
        <w:t>Estimates</w:t>
      </w:r>
      <w:r>
        <w:rPr>
          <w:rFonts w:ascii="Arial" w:cs="Arial" w:eastAsia="Arial" w:hAnsi="Arial"/>
          <w:sz w:val="18"/>
          <w:szCs w:val="18"/>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on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 months ended December 31, 2018, the Company's operations provided cash of $7,009,000. This was primarily due to an increase in cash collected on receivables and other assets. During the twelve months ended December 31, 2017, the Company’s operations provided cash of $44,318,000. This was primarily due to an increase in cash collected on loans held for sale.</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liquidating these long-term investments as a result of any sudden changes in market values.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both"/>
        <w:spacing w:after="0" w:line="297"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211"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$231,976,000 and $227,774,000 as of December 31, 2018 and 2017, respectively. This represents 38.9% and 35.1% of the total investments as of December 31, 2018, and 2017, respectively. Generally, all bonds owned by the life insurance subsidiaries are rated by the National Association of Insurance Commissioners. Under this rating system, there are six categories used for rating bonds. At December 31, 2018, 3.6% (or $8,413,000) and at December 31, 2017, 5.4% (or $12,293,000) of the Company’s total bond investments were invested in bonds in rating categories three through six, which are considered non</w:t>
      </w:r>
      <w:r>
        <w:rPr>
          <w:rFonts w:ascii="MS PGothic" w:cs="MS PGothic" w:eastAsia="MS PGothic" w:hAnsi="MS PGothic"/>
          <w:sz w:val="17"/>
          <w:szCs w:val="17"/>
          <w:color w:val="auto"/>
        </w:rPr>
        <w:t>‑</w:t>
      </w:r>
      <w:r>
        <w:rPr>
          <w:rFonts w:ascii="Arial" w:cs="Arial" w:eastAsia="Arial" w:hAnsi="Arial"/>
          <w:sz w:val="17"/>
          <w:szCs w:val="17"/>
          <w:color w:val="auto"/>
        </w:rPr>
        <w:t>investment grade.</w:t>
      </w: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See Note 2 of the Notes to Consolidated Financial Statements for the schedule of the maturity of fixed maturity securities and for the schedule of principal payments for mortgage loans held for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Consolidated Financial Statements for a description of the Company’s sources of liquidity.</w:t>
      </w:r>
    </w:p>
    <w:p>
      <w:pPr>
        <w:spacing w:after="0" w:line="2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market conditions were to cause interest rates to change, the fair value of the Company’s fixed income portfolio, which includes bonds, preferred stock, and mortgage loans held for investment, could change by the following amounts based on the respective basis point swing (the change in the fair values were calculated using a modeling technique):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w w:val="89"/>
              </w:rPr>
              <w:t>bps</w:t>
            </w:r>
          </w:p>
        </w:tc>
        <w:tc>
          <w:tcPr>
            <w:tcW w:w="660" w:type="dxa"/>
            <w:vAlign w:val="bottom"/>
          </w:tcPr>
          <w:p>
            <w:pPr>
              <w:jc w:val="right"/>
              <w:ind w:right="211"/>
              <w:spacing w:after="0"/>
              <w:rPr>
                <w:sz w:val="20"/>
                <w:szCs w:val="20"/>
                <w:color w:val="auto"/>
              </w:rPr>
            </w:pPr>
            <w:r>
              <w:rPr>
                <w:rFonts w:ascii="Arial" w:cs="Arial" w:eastAsia="Arial" w:hAnsi="Arial"/>
                <w:sz w:val="18"/>
                <w:szCs w:val="18"/>
                <w:color w:val="auto"/>
                <w:w w:val="94"/>
              </w:rPr>
              <w:t>-200</w:t>
            </w:r>
          </w:p>
        </w:tc>
        <w:tc>
          <w:tcPr>
            <w:tcW w:w="460" w:type="dxa"/>
            <w:vAlign w:val="bottom"/>
            <w:gridSpan w:val="2"/>
            <w:vMerge w:val="restart"/>
          </w:tcPr>
          <w:p>
            <w:pPr>
              <w:ind w:left="180"/>
              <w:spacing w:after="0"/>
              <w:rPr>
                <w:sz w:val="20"/>
                <w:szCs w:val="20"/>
                <w:color w:val="auto"/>
              </w:rPr>
            </w:pPr>
            <w:r>
              <w:rPr>
                <w:rFonts w:ascii="Arial" w:cs="Arial" w:eastAsia="Arial" w:hAnsi="Arial"/>
                <w:sz w:val="18"/>
                <w:szCs w:val="18"/>
                <w:color w:val="auto"/>
                <w:w w:val="89"/>
              </w:rPr>
              <w:t>bps</w:t>
            </w:r>
          </w:p>
        </w:tc>
        <w:tc>
          <w:tcPr>
            <w:tcW w:w="660" w:type="dxa"/>
            <w:vAlign w:val="bottom"/>
          </w:tcPr>
          <w:p>
            <w:pPr>
              <w:jc w:val="right"/>
              <w:ind w:right="211"/>
              <w:spacing w:after="0"/>
              <w:rPr>
                <w:sz w:val="20"/>
                <w:szCs w:val="20"/>
                <w:color w:val="auto"/>
              </w:rPr>
            </w:pPr>
            <w:r>
              <w:rPr>
                <w:rFonts w:ascii="Arial" w:cs="Arial" w:eastAsia="Arial" w:hAnsi="Arial"/>
                <w:sz w:val="18"/>
                <w:szCs w:val="18"/>
                <w:color w:val="auto"/>
                <w:w w:val="94"/>
              </w:rPr>
              <w:t>-100</w:t>
            </w:r>
          </w:p>
        </w:tc>
        <w:tc>
          <w:tcPr>
            <w:tcW w:w="440" w:type="dxa"/>
            <w:vAlign w:val="bottom"/>
            <w:gridSpan w:val="2"/>
            <w:vMerge w:val="restart"/>
          </w:tcPr>
          <w:p>
            <w:pPr>
              <w:ind w:left="160"/>
              <w:spacing w:after="0"/>
              <w:rPr>
                <w:sz w:val="20"/>
                <w:szCs w:val="20"/>
                <w:color w:val="auto"/>
              </w:rPr>
            </w:pPr>
            <w:r>
              <w:rPr>
                <w:rFonts w:ascii="Arial" w:cs="Arial" w:eastAsia="Arial" w:hAnsi="Arial"/>
                <w:sz w:val="18"/>
                <w:szCs w:val="18"/>
                <w:color w:val="auto"/>
                <w:w w:val="89"/>
              </w:rPr>
              <w:t>bps</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98"/>
              </w:rPr>
              <w:t>+100</w:t>
            </w:r>
          </w:p>
        </w:tc>
        <w:tc>
          <w:tcPr>
            <w:tcW w:w="100" w:type="dxa"/>
            <w:vAlign w:val="bottom"/>
          </w:tcPr>
          <w:p>
            <w:pPr>
              <w:spacing w:after="0"/>
              <w:rPr>
                <w:sz w:val="19"/>
                <w:szCs w:val="1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8"/>
                <w:szCs w:val="18"/>
                <w:color w:val="auto"/>
                <w:w w:val="89"/>
              </w:rPr>
              <w:t>bps</w:t>
            </w:r>
          </w:p>
        </w:tc>
        <w:tc>
          <w:tcPr>
            <w:tcW w:w="620" w:type="dxa"/>
            <w:vAlign w:val="bottom"/>
          </w:tcPr>
          <w:p>
            <w:pPr>
              <w:jc w:val="right"/>
              <w:ind w:right="131"/>
              <w:spacing w:after="0"/>
              <w:rPr>
                <w:sz w:val="20"/>
                <w:szCs w:val="20"/>
                <w:color w:val="auto"/>
              </w:rPr>
            </w:pPr>
            <w:r>
              <w:rPr>
                <w:rFonts w:ascii="Arial" w:cs="Arial" w:eastAsia="Arial" w:hAnsi="Arial"/>
                <w:sz w:val="18"/>
                <w:szCs w:val="18"/>
                <w:color w:val="auto"/>
                <w:w w:val="93"/>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(in thousands)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33,296</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December 31, 2018 and 2017, the capital levels of the life insurance subsidiaries exceeded the regulatory criteria.</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total capitalization of stockholders’ equity, and bank loans and other loans payable was $359,172,000 as of December 31, 2018, as compared to $306,019,000 as of December 31, 2017. Stockholders’ equity as a percent of total capitalization was 47.8% and 48.5% as of December 31, 2018 and December 31, 2017, respectively. Bank loans and other loans payable increased by $30,070,000 for the twelve months ended December 31, 2018 as compared to December 31, 2017, thus limiting the increase in the stockholders’ equity percentage.</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was 9.9% in 2018 as compared to a rate of 10.6% for 2017.</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December 31, 2018, the combined statutory capital and surplus of the Company’s life insurance subsidiaries was $56,155,000. The life insurance subsidiaries cannot pay a dividend to its parent company without the approval of state insurance regulatory authorities.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This Annual Report on Form 10-K contains forward-looking statements, together with related data and projections, about the Company’s projected financial results and its future plans and strategies. However, actual results and needs of the Company may vary materially from forward-looking statements and projections made from time to time by the Company on the basis of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2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Agreements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Company was contingently liable under a standby letter of credit aggregating $625,405, to be used as collateral to cover any contingency related to additional risk assessments pertaining to the Company's captive insurance program. The Company does not expect any material losses to result from the issuance of the standby letter of credit because claims are not expected to exceed premiums paid.</w:t>
      </w:r>
    </w:p>
    <w:p>
      <w:pPr>
        <w:spacing w:after="0" w:line="2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December 31, 2018, the Company was contingently liable under a standby letter of credit aggregating $48,220, issued as a security deposit to guarantee payment of final bills for electric and gas utility services for a commercial real estate property owned by the Company in Wichita, Kansas. The Company does not expect any material losses to result from the issuance of the standby letter of credit. Accordingly, the estimated fair value of this letter of credit is zero.</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total of the Company’s unfunded residential construction loan and land development loan commitments as of December 31, 2018, was approximately $24,987,000.</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the Company, through its wholly-owned subsidiary 5300 Development, LLC, entered into a Construction Loan Agreement with a bank. Under the terms of this Agreement, the Company agrees to pay the bank the current outstanding principal up to $40,740,000 plus interest. These funds are being used for the construction of phase 1 of the Company’s new Center53 corporate campus development in Salt Lake City, Utah. As of December 31, 2018, the Company has used $30,797,000 of these funds.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contractual obligations as of December 31, 2018, and the payments due by period are shown in the following table:</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Less than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Arial" w:cs="Arial" w:eastAsia="Arial" w:hAnsi="Arial"/>
                <w:sz w:val="18"/>
                <w:szCs w:val="18"/>
                <w:color w:val="auto"/>
              </w:rPr>
              <w:t>over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 years</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 years</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 years</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5,579,386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$ 5,256,399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$ 1,498,562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2,339,371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$ 14,673,718</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165,219,632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4,531,733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677,324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17,092,499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187,521,188</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Future policy benefits (1)</w:t>
            </w:r>
          </w:p>
        </w:tc>
        <w:tc>
          <w:tcPr>
            <w:tcW w:w="6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10,059,350</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32,349,703</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41,093,510</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527,830,219</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611,332,782</w:t>
            </w:r>
          </w:p>
        </w:tc>
        <w:tc>
          <w:tcPr>
            <w:tcW w:w="80" w:type="dxa"/>
            <w:vAlign w:val="bottom"/>
            <w:tcBorders>
              <w:bottom w:val="single" w:sz="8" w:color="CCEEFF"/>
            </w:tcBorders>
            <w:shd w:val="clear" w:color="auto" w:fill="CCEEFF"/>
          </w:tcPr>
          <w:p>
            <w:pPr>
              <w:spacing w:after="0"/>
              <w:rPr>
                <w:sz w:val="19"/>
                <w:szCs w:val="19"/>
                <w:color w:val="auto"/>
              </w:rPr>
            </w:pPr>
          </w:p>
        </w:tc>
      </w:tr>
    </w:tbl>
    <w:p>
      <w:pPr>
        <w:ind w:left="4780"/>
        <w:spacing w:after="0"/>
        <w:rPr>
          <w:sz w:val="20"/>
          <w:szCs w:val="20"/>
          <w:color w:val="auto"/>
        </w:rPr>
      </w:pPr>
      <w:r>
        <w:rPr>
          <w:rFonts w:ascii="Arial" w:cs="Arial" w:eastAsia="Arial" w:hAnsi="Arial"/>
          <w:sz w:val="18"/>
          <w:szCs w:val="18"/>
          <w:u w:val="single" w:color="auto"/>
          <w:color w:val="auto"/>
        </w:rPr>
        <w:t>$180,858,368  $ 42,137,835  $ 43,269,396  $547,262,089  $813,527,688</w:t>
      </w:r>
    </w:p>
    <w:p>
      <w:pPr>
        <w:spacing w:after="0" w:line="312" w:lineRule="exact"/>
        <w:rPr>
          <w:sz w:val="20"/>
          <w:szCs w:val="20"/>
          <w:color w:val="auto"/>
        </w:rPr>
      </w:pPr>
    </w:p>
    <w:p>
      <w:pPr>
        <w:ind w:left="640" w:hanging="47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present value of future policy benefits, net of estimated future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-299720</wp:posOffset>
            </wp:positionV>
            <wp:extent cx="3441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4170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Casualty Insurance Program</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Company’s casualty insurance program, limited equity interests are held in a captive insurance entity. This program permits the Company to self-insure a portion of losses, to gain access to a wide array of safety-related services, to pool insurance risks and resources in order to obtain more competitive pricing for administration and reinsurance and to limit its risk of loss in any particular year. The maximum exposure to loss related to the Company’s involvement with this entity is limited to approximately $625,405, which is collateralized under a standby letter of credit issued on the insurance entity’s behalf. See Note 10, “Reinsurance, Commitments and Contingencies,” for additional discussion of commitments associated with the insurance program.</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40" w:type="dxa"/>
            <w:vAlign w:val="bottom"/>
          </w:tcPr>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0240" w:type="dxa"/>
            <w:vAlign w:val="bottom"/>
          </w:tcPr>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02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024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7"/>
              </w:rPr>
              <w:t>Page No.</w:t>
            </w:r>
          </w:p>
        </w:tc>
        <w:tc>
          <w:tcPr>
            <w:tcW w:w="0" w:type="dxa"/>
            <w:vAlign w:val="bottom"/>
          </w:tcPr>
          <w:p>
            <w:pPr>
              <w:spacing w:after="0"/>
              <w:rPr>
                <w:sz w:val="1"/>
                <w:szCs w:val="1"/>
                <w:color w:val="auto"/>
              </w:rPr>
            </w:pPr>
          </w:p>
        </w:tc>
      </w:tr>
      <w:tr>
        <w:trPr>
          <w:trHeight w:val="227"/>
        </w:trPr>
        <w:tc>
          <w:tcPr>
            <w:tcW w:w="1024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240" w:type="dxa"/>
            <w:vAlign w:val="bottom"/>
          </w:tcPr>
          <w:p>
            <w:pPr>
              <w:spacing w:after="0"/>
              <w:rPr>
                <w:sz w:val="20"/>
                <w:szCs w:val="20"/>
                <w:color w:val="auto"/>
              </w:rPr>
            </w:pPr>
            <w:r>
              <w:rPr>
                <w:rFonts w:ascii="Arial" w:cs="Arial" w:eastAsia="Arial" w:hAnsi="Arial"/>
                <w:sz w:val="18"/>
                <w:szCs w:val="18"/>
                <w:color w:val="auto"/>
              </w:rPr>
              <w:t>Financial Statements: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of Independent Registered Public Accounting Firm</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4"/>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Balance Sheets, December 31, 2018 and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4"/>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Earnings for the Years Ended December 31, 2018 and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4"/>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Comprehensive Income for the Years Ended December 31, 2018 and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4"/>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Stockholders’ Equity for the Years Ended December 31, 2018 and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4"/>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4"/>
        </w:trPr>
        <w:tc>
          <w:tcPr>
            <w:tcW w:w="10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Notes to Consolidated Financial Statements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2009140" cy="144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009140" cy="144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Deloitte &amp; Touche LLP</w:t>
      </w:r>
    </w:p>
    <w:p>
      <w:pPr>
        <w:spacing w:after="0" w:line="22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111 South Main Street Suite 1500</w:t>
      </w:r>
    </w:p>
    <w:p>
      <w:pPr>
        <w:spacing w:after="0" w:line="2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Salt Lake City, UT 84111 USA</w:t>
      </w:r>
    </w:p>
    <w:p>
      <w:pPr>
        <w:spacing w:after="0" w:line="20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+1 801 328 4706</w:t>
      </w:r>
    </w:p>
    <w:p>
      <w:pPr>
        <w:spacing w:after="0" w:line="2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Fax: +1 801 366 7900</w:t>
      </w:r>
    </w:p>
    <w:p>
      <w:pPr>
        <w:spacing w:after="0" w:line="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www.deloitte.com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color w:val="auto"/>
        </w:rPr>
        <w:t>To the Board of Directors and Stockholders of Security National Financial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Opinion on the Financial Statements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audited the accompanying consolidated balance sheets of Security National Financial Corporation and subsidiaries (the “Company”) as of December 31, 2018 and 2017, the related consolidated statements of income, comprehensive income, stockholders’ equity, and cash flows for the years then ended, and the related notes and the schedules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for Opinion</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2814320" cy="669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14320" cy="66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Salt Lake City, UT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March 29, 2019</w:t>
      </w:r>
    </w:p>
    <w:p>
      <w:pPr>
        <w:spacing w:after="0" w:line="35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We have served as the Company's auditor since 2017.</w:t>
      </w:r>
    </w:p>
    <w:p>
      <w:pPr>
        <w:sectPr>
          <w:pgSz w:w="11900" w:h="16838" w:orient="portrait"/>
          <w:cols w:equalWidth="0" w:num="1">
            <w:col w:w="11420"/>
          </w:cols>
          <w:pgMar w:left="240" w:top="1440" w:right="23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440" w:right="239" w:bottom="101"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ind w:left="640"/>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2"/>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held to maturity, at amortized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232,078,723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228,397,623</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Equity securities, available for sale, at estimated fair value</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5,558,611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6,037,855</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1"/>
              </w:rPr>
              <w:t>Mortgage loans held for investment (net of allowances for loan losses of $1,347,972 and $1,768,796 for 2018 and 2017)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186,465,069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204,210,885</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3"/>
              </w:rPr>
              <w:t>Real estate held for investment (net of accumulated depreciation of $16,739,578 and $18,788,869 for 2018 and 2017)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121,558,222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141,298,706</w:t>
            </w:r>
          </w:p>
        </w:tc>
      </w:tr>
      <w:tr>
        <w:trPr>
          <w:trHeight w:val="199"/>
        </w:trPr>
        <w:tc>
          <w:tcPr>
            <w:tcW w:w="20" w:type="dxa"/>
            <w:vAlign w:val="bottom"/>
          </w:tcPr>
          <w:p>
            <w:pPr>
              <w:spacing w:after="0"/>
              <w:rPr>
                <w:sz w:val="17"/>
                <w:szCs w:val="17"/>
                <w:color w:val="auto"/>
              </w:rPr>
            </w:pPr>
          </w:p>
        </w:tc>
        <w:tc>
          <w:tcPr>
            <w:tcW w:w="87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Other investments and policy loans (net of allowances for doubtful accounts of $1,092,528 and $846,641 for 2018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8780" w:type="dxa"/>
            <w:vAlign w:val="bottom"/>
            <w:shd w:val="clear" w:color="auto" w:fill="CCEEFF"/>
          </w:tcPr>
          <w:p>
            <w:pPr>
              <w:jc w:val="right"/>
              <w:ind w:right="8131"/>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46,617,655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45,895,472</w:t>
            </w: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3,566,146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3,644,077</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595,844,426</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629,484,618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142,199,942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45,315,661</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at estimated fair value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133,414,188</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Receivables (net of allowances for doubtful accounts of $1,519,842 and $1,544,518 for 2018 and 2017)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8,935,343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10,443,869</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(including $744,673 for 2018 and $809,958 for 2017 at estimated fair value)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10,981,562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11,830,621</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2"/>
              </w:rPr>
              <w:t>Cemetery perpetual care trust investments (including $483,353 for 2018 and $682,315 for 2017 at estimated fair value)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4,335,869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4,623,563</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reinsurers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10,820,102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13,394,603</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Cemetery land and improvements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9,878,427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9,942,933</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89,362,096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80,625,304</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Mortgage servicing rights, net</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20,016,822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21,376,937</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7,010,778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8,069,380</w:t>
            </w: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Value of business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5,765,190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6,588,759</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2,765,570</w:t>
            </w: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6,684,143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4,297,048</w:t>
            </w: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1,050,811,123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982,173,054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620,399,714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604,746,951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3,920,473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4,222,410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187,521,188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157,450,925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12,508,625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12,873,068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3,710,740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2,883,349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3,613,100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31,821,624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29,655,087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16,122,998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17,332,783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878,999,950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833,605,064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Preferred stock - non-voting-$1.00 par value; 5,000,000 shares authorized; none issued or outstanding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8"/>
              </w:rPr>
              <w:t>Class A: common stock - $2.00 par value; 20,000,000 shares authorized; issued 15,304,798 shares in 2018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14,535,577 shares in 2017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30,609,596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29,071,154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B: non-voting common stock - $1.00 par value; 5,000,000 shares authorized; none issued or outstanding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0"/>
              </w:rPr>
              <w:t>Class C: convertible common stock - $2.00 par value; 3,000,000 shares authorized; issued 2,193,643 shares in 2018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2,089,374 shares in 2017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4,387,286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4,178,748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41,821,778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38,125,042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Accumulated other comprehensive income, net of taxes</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603,170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95,201,732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77,520,951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0"/>
              </w:rPr>
              <w:t>Treasury stock, at cost - 302,541 Class A shares and -0- Class C shares in 2018; 537,203 Class A shares and -0- Class C</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shares in 2017</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(206,396)</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(931,075)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171,811,173</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148,567,990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1,050,811,123</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982,173,054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EARNINGS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75,928,910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70,412,476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39,913,267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35,062,968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13,726,518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12,657,117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Gains (losses) on investments and 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23,941,179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(2,948,482)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 on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(774,339)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Mortgage fee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116,185,853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153,797,171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9,923,000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8,719,179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279,618,727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276,926,090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Death benefits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36,298,789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33,256,001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Surrenders and other policy benefits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2,886,298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2,839,017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24,332,088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23,622,750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Amortization of deferred policy and pre-need acquisition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and value of business acquired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11,631,346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8,480,250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50,291,352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68,103,017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Personnel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67,368,952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70,328,830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4,602,591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5,754,740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Rent and rent related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7,605,375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8,710,694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2,220,693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Costs related to funding mortgage loans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6,423,944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8,663,223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31,014,999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29,431,599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6,956,707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6,037,332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and services sold – mortuaries and cemeteries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2,158,895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253,438,337</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269,393,978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26,180,390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7,532,112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(4,494,311)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6,580,822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21,686,079</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14,112,934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Net earnings per Class A equivalent common share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Net earnings per Class A equivalent common share - assuming dilution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Weighted average Class A equivalent common shares outstanding (1)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17,105,308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16,794,146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Weighted average Class A equivalent common shares outstanding-assuming dilution (1)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17,315,406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17,123,427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both"/>
        <w:ind w:firstLine="7"/>
        <w:spacing w:after="0" w:line="259" w:lineRule="auto"/>
        <w:tabs>
          <w:tab w:leader="none" w:pos="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Years Ended December 31</w:t>
            </w: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21,686,079</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14,112,934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gains on equity securities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511,974</w:t>
            </w:r>
          </w:p>
        </w:tc>
      </w:tr>
      <w:tr>
        <w:trPr>
          <w:trHeight w:val="214"/>
        </w:trPr>
        <w:tc>
          <w:tcPr>
            <w:tcW w:w="2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Arial" w:cs="Arial" w:eastAsia="Arial" w:hAnsi="Arial"/>
                <w:sz w:val="18"/>
                <w:szCs w:val="18"/>
                <w:color w:val="auto"/>
              </w:rPr>
              <w:t>Unrealized gains on derivative instruments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Arial" w:cs="Arial" w:eastAsia="Arial" w:hAnsi="Arial"/>
                <w:sz w:val="18"/>
                <w:szCs w:val="18"/>
                <w:color w:val="auto"/>
              </w:rPr>
              <w:t>Other comprehensive income, before income tax</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515,282</w:t>
            </w: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(176,934)</w:t>
            </w: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8780" w:type="dxa"/>
            <w:vAlign w:val="bottom"/>
          </w:tcPr>
          <w:p>
            <w:pPr>
              <w:ind w:left="80"/>
              <w:spacing w:after="0"/>
              <w:rPr>
                <w:sz w:val="20"/>
                <w:szCs w:val="20"/>
                <w:color w:val="auto"/>
              </w:rPr>
            </w:pPr>
            <w:r>
              <w:rPr>
                <w:rFonts w:ascii="Arial" w:cs="Arial" w:eastAsia="Arial" w:hAnsi="Arial"/>
                <w:sz w:val="18"/>
                <w:szCs w:val="18"/>
                <w:color w:val="auto"/>
              </w:rPr>
              <w:t>Other comprehensive income (loss), net of income tax</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338,348</w:t>
            </w: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21,683,256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14,451,282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Class A</w:t>
            </w: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Class C</w:t>
            </w: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Retained</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Treasury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Capital</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Earnings</w:t>
            </w:r>
          </w:p>
        </w:tc>
        <w:tc>
          <w:tcPr>
            <w:tcW w:w="16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31, 2016</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27,638,012</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3,804,458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34,813,246</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264,822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67,409,204</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(1,370,611)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132,559,131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14,112,934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14,112,934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tcPr>
          <w:p>
            <w:pPr>
              <w:spacing w:after="0" w:line="200" w:lineRule="exact"/>
              <w:rPr>
                <w:sz w:val="20"/>
                <w:szCs w:val="20"/>
                <w:color w:val="auto"/>
              </w:rPr>
            </w:pPr>
            <w:r>
              <w:rPr>
                <w:rFonts w:ascii="Arial" w:cs="Arial" w:eastAsia="Arial" w:hAnsi="Arial"/>
                <w:sz w:val="18"/>
                <w:szCs w:val="18"/>
                <w:color w:val="auto"/>
              </w:rPr>
              <w:t>Other comprehensive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338,348</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338,348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395,603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6"/>
              </w:rPr>
              <w:t>Exercise of stock options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206,804</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(213,323)</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712,591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822,270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1,534,861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tcPr>
          <w:p>
            <w:pPr>
              <w:spacing w:after="0" w:line="200" w:lineRule="exact"/>
              <w:rPr>
                <w:sz w:val="20"/>
                <w:szCs w:val="20"/>
                <w:color w:val="auto"/>
              </w:rPr>
            </w:pPr>
            <w:r>
              <w:rPr>
                <w:rFonts w:ascii="Arial" w:cs="Arial" w:eastAsia="Arial" w:hAnsi="Arial"/>
                <w:sz w:val="18"/>
                <w:szCs w:val="18"/>
                <w:color w:val="auto"/>
              </w:rPr>
              <w:t>Purchase of treasury</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(382,734)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(382,734)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198,992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2,416,925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(4,001,187)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tcPr>
          <w:p>
            <w:pPr>
              <w:spacing w:after="0" w:line="200" w:lineRule="exact"/>
              <w:rPr>
                <w:sz w:val="20"/>
                <w:szCs w:val="20"/>
                <w:color w:val="auto"/>
              </w:rPr>
            </w:pPr>
            <w:r>
              <w:rPr>
                <w:rFonts w:ascii="Arial" w:cs="Arial" w:eastAsia="Arial" w:hAnsi="Arial"/>
                <w:sz w:val="18"/>
                <w:szCs w:val="18"/>
                <w:color w:val="auto"/>
              </w:rPr>
              <w:t>Conversion Class C to</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31,506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(31,506)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31, 2017</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29,071,154</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4,178,748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38,125,042</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603,170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77,520,951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(931,075)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148,567,990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Cumulative effect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adjustment upon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adoption of new</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accounting standard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(ASU 2016-01)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(603,170)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603,170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21,686,079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21,686,079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Other comprehensive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tcPr>
          <w:p>
            <w:pPr>
              <w:spacing w:after="0" w:line="200" w:lineRule="exact"/>
              <w:rPr>
                <w:sz w:val="20"/>
                <w:szCs w:val="20"/>
                <w:color w:val="auto"/>
              </w:rPr>
            </w:pPr>
            <w:r>
              <w:rPr>
                <w:rFonts w:ascii="Arial" w:cs="Arial" w:eastAsia="Arial" w:hAnsi="Arial"/>
                <w:sz w:val="18"/>
                <w:szCs w:val="18"/>
                <w:color w:val="auto"/>
              </w:rPr>
              <w:t>Stock based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gridSpan w:val="2"/>
          </w:tcPr>
          <w:p>
            <w:pPr>
              <w:spacing w:after="0"/>
              <w:rPr>
                <w:sz w:val="20"/>
                <w:szCs w:val="20"/>
                <w:color w:val="auto"/>
              </w:rPr>
            </w:pPr>
            <w:r>
              <w:rPr>
                <w:rFonts w:ascii="Arial" w:cs="Arial" w:eastAsia="Arial" w:hAnsi="Arial"/>
                <w:sz w:val="18"/>
                <w:szCs w:val="18"/>
                <w:color w:val="auto"/>
              </w:rPr>
              <w:t>compensation expense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237,123</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237,123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6"/>
              </w:rPr>
              <w:t>Exercise of stock options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Sale of treasury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540,713</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940,200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1,480,913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Purchase of treasury</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(215,521)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(215,521)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Stock dividends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1,461,120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208,914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2,938,434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(4,608,468)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Conversion Class C to</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b w:val="1"/>
                <w:bCs w:val="1"/>
                <w:color w:val="auto"/>
              </w:rPr>
              <w:t>Balance at December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31, 2018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30,609,596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4,387,286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41,821,778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95,201,732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(206,396)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171,811,173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Years Ended December 31</w:t>
            </w:r>
          </w:p>
        </w:tc>
      </w:tr>
      <w:tr>
        <w:trPr>
          <w:trHeight w:val="220"/>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21,686,079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14,112,934</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Losses (gains) on investments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(23,941,179)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2,948,482</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Other than temporary impairments on investments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774,339</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6,280,438</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Provision for loan losses and doubtful accounts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1,154,071</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amortization of deferred fees and costs, premiums and discounts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96,509</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(2,605,401)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(7,752,028)</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Policy and pre-need acquisition costs deferred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(19,544,569)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(19,005,268)</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Policy and pre-need acquisition costs amortized</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10,807,777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7,498,709</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Value of business acquired amortized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981,541</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Mortgage servicing rights, additions</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(3,922,816)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(6,085,352)</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mortgage servicing rights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5,282,931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3,580,777</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395,603</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 plans funded with treasury stock</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1,534,861</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Net change in fair value of loans held for sale</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(3,736,209)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(4,180,777)</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Originations of loans held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(2,194,607,543)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(2,545,755,713)</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2,259,145,473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2,671,097,747</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gains on sales of loans held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(74,426,183)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(105,368,129)</w:t>
            </w:r>
          </w:p>
        </w:tc>
      </w:tr>
      <w:tr>
        <w:trPr>
          <w:trHeight w:val="214"/>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Land and improvements held for sale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86,574</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Future policy benefits and unpaid claims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21,710,347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22,815,274</w:t>
            </w:r>
          </w:p>
        </w:tc>
      </w:tr>
      <w:tr>
        <w:trPr>
          <w:trHeight w:val="220"/>
        </w:trPr>
        <w:tc>
          <w:tcPr>
            <w:tcW w:w="20" w:type="dxa"/>
            <w:vAlign w:val="bottom"/>
          </w:tcPr>
          <w:p>
            <w:pPr>
              <w:spacing w:after="0"/>
              <w:rPr>
                <w:sz w:val="19"/>
                <w:szCs w:val="19"/>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operating assets and liabilities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3,830,947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(892,550)</w:t>
            </w:r>
          </w:p>
        </w:tc>
      </w:tr>
      <w:tr>
        <w:trPr>
          <w:trHeight w:val="220"/>
        </w:trPr>
        <w:tc>
          <w:tcPr>
            <w:tcW w:w="20" w:type="dxa"/>
            <w:vAlign w:val="bottom"/>
          </w:tcPr>
          <w:p>
            <w:pPr>
              <w:spacing w:after="0"/>
              <w:rPr>
                <w:sz w:val="19"/>
                <w:szCs w:val="19"/>
                <w:color w:val="auto"/>
              </w:rPr>
            </w:pPr>
          </w:p>
        </w:tc>
        <w:tc>
          <w:tcPr>
            <w:tcW w:w="8680" w:type="dxa"/>
            <w:vAlign w:val="bottom"/>
            <w:tcBorders>
              <w:top w:val="single" w:sz="8" w:color="CCEEFF"/>
            </w:tcBorders>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7,009,270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44,318,042</w:t>
            </w:r>
          </w:p>
        </w:tc>
        <w:tc>
          <w:tcPr>
            <w:tcW w:w="100" w:type="dxa"/>
            <w:vAlign w:val="bottom"/>
            <w:tcBorders>
              <w:top w:val="single" w:sz="8" w:color="CCEEFF"/>
            </w:tcBorders>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Purchases of fixed maturity securities</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(37,488,774)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(61,232,155)</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Calls and maturities of fixed maturity securities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32,993,161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15,773,732</w:t>
            </w:r>
          </w:p>
        </w:tc>
      </w:tr>
      <w:tr>
        <w:trPr>
          <w:trHeight w:val="214"/>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Purchase of equity securities</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(3,354,274)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(5,301,353)</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Sales of equity securities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9,430,548</w:t>
            </w: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(32,865,263)</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60,425,303</w:t>
            </w: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changes in restricted assets</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(241,665)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(310,360)</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cemetery perpetual care trust investments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(245,548)</w:t>
            </w: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(505,060,464)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(455,821,383)</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 for mortgage loans held for investment, other investments and policy loans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535,354,544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433,033,724</w:t>
            </w: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(1,282,704)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(911,007)</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of property and equipment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24,978</w:t>
            </w: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Purchases of real estate held for investment</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(29,193,332)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(14,751,923)</w:t>
            </w: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of real estate held for investment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13,784,541</w:t>
            </w:r>
          </w:p>
        </w:tc>
      </w:tr>
      <w:tr>
        <w:trPr>
          <w:trHeight w:val="22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paid for purchase of subsidiaries, net of cash acquired</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(3,405,783)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63,306,248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(38,966,166)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603"/>
        </w:trPr>
        <w:tc>
          <w:tcPr>
            <w:tcW w:w="8700" w:type="dxa"/>
            <w:vAlign w:val="bottom"/>
            <w:gridSpan w:val="2"/>
          </w:tcPr>
          <w:p>
            <w:pPr>
              <w:jc w:val="right"/>
              <w:ind w:right="2831"/>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
        </w:trPr>
        <w:tc>
          <w:tcPr>
            <w:tcW w:w="20" w:type="dxa"/>
            <w:vAlign w:val="bottom"/>
          </w:tcPr>
          <w:p>
            <w:pPr>
              <w:spacing w:after="0"/>
              <w:rPr>
                <w:sz w:val="3"/>
                <w:szCs w:val="3"/>
                <w:color w:val="auto"/>
              </w:rPr>
            </w:pPr>
          </w:p>
        </w:tc>
        <w:tc>
          <w:tcPr>
            <w:tcW w:w="8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Years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contract receipts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11,571,551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12,213,843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Investment contract withdrawals</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(15,356,571)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(14,912,154)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stock options exercised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(215,521)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(382,734)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bank loans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(133,123,024)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(2,796,258)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Proceeds from bank borrowings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162,653,177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19,660,744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warehouse line borrowings for loans held for sale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(717,792)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(11,585,534)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Net change in line of credit borrowings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26,119,232</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2,207,754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restricted cash and restricted cash equivalents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96,434,750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7,559,630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restricted cash equivalents at beginning of year</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54,501,923</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46,942,293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150,936,673</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54,501,923</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Interest (net of amount capitalized)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6,878,048</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5,976,461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5,701,565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581,556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10,827,797</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39,932,516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real estate construction costs and retainage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Mortgage loans held for investment foreclosed into real estate held for investment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670,601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1,576,196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Transfer of cemetery land and improvements to property and equipment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643,329</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20 regarding non cash transactions included in the acquisition of Beta Capital Corporation.</w:t>
      </w:r>
    </w:p>
    <w:p>
      <w:pPr>
        <w:spacing w:after="0" w:line="27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consolidated statements of cash flows is presented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142,199,942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45,315,661</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Restricted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7,179,225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8,188,764</w:t>
            </w: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1,557,506</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150,936,673</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54,501,923</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20" w:hanging="413"/>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 of Business</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Security National Financial Corporation and its wholly owned subsidiaries (the “Company”) operate in three main business segments: life insurance, cemetery and mortuary, and mortgages. The life insurance segment is engaged in the business of selling and servicing selected lines of life insurance, annuity products and accident and health insurance marketed primarily in the Intermountain West, California and eleven southern states. The cemetery and mortuary segment of the Company consists of eight mortuaries and five cemeteries in Utah and one cemetery in California. The mortgage segment is an approved government and conventional lender that originates and underwrites residential and commercial loans for new construction, existing homes and real estate projects primarily in Florida, Nevada, Texas, and Utah.</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(GAAP). The presentation of certain amounts in prior years has been reclassified to conform to the 2018 presentation.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These consolidated financial statements include the financial statements of the Company and its majority owned subsidiaries. All intercompany transactions and accounts have been eliminated in consolidation.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has made a number of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Fixed maturity securities held to maturity</w:t>
      </w:r>
      <w:r>
        <w:rPr>
          <w:rFonts w:ascii="Arial" w:cs="Arial" w:eastAsia="Arial" w:hAnsi="Arial"/>
          <w:sz w:val="18"/>
          <w:szCs w:val="18"/>
          <w:color w:val="auto"/>
        </w:rPr>
        <w:t xml:space="preserve"> are carried at cost, adjusted for amortization of premium or accretion of discount. Although the Company has the ability and intent to hold these investments to maturity, infrequent and unusual conditions could occur under which it would sell certain of these securities. Those conditions include unforeseen changes in asset quality, significant changes in tax laws, and changes in regulatory capital requirements or permissible investments.</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auto"/>
        </w:rPr>
        <w:t>Equity securities</w:t>
      </w:r>
      <w:r>
        <w:rPr>
          <w:rFonts w:ascii="Arial" w:cs="Arial" w:eastAsia="Arial" w:hAnsi="Arial"/>
          <w:sz w:val="18"/>
          <w:szCs w:val="18"/>
          <w:color w:val="auto"/>
        </w:rPr>
        <w:t xml:space="preserve"> are carried at estimated fair value. Changes in fair values are reported as unrealized appreciation or depreciation and are recorded through net income.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Mortgage loans held for investment</w:t>
      </w:r>
      <w:r>
        <w:rPr>
          <w:rFonts w:ascii="Arial" w:cs="Arial" w:eastAsia="Arial" w:hAnsi="Arial"/>
          <w:sz w:val="18"/>
          <w:szCs w:val="18"/>
          <w:color w:val="auto"/>
        </w:rPr>
        <w:t xml:space="preserve"> are carried at their unpaid principal balances adjusted for net deferred fees, charge-offs and the related allowance for loan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3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u w:val="single" w:color="auto"/>
          <w:color w:val="auto"/>
        </w:rPr>
        <w:t>Real estate held for investment</w:t>
      </w:r>
      <w:r>
        <w:rPr>
          <w:rFonts w:ascii="Arial" w:cs="Arial" w:eastAsia="Arial" w:hAnsi="Arial"/>
          <w:sz w:val="18"/>
          <w:szCs w:val="18"/>
          <w:color w:val="auto"/>
        </w:rPr>
        <w:t xml:space="preserve"> is carried at cost, less accumulated depreciation provided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estimated useful lives of the properties, or is adjusted to a new basis for impairment in value, if any. Included are foreclosed properties which the Company intends to hold for investment purposes. These properties are recorded at the lower of cost or fair value upon foreclosure.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 and policy loans</w:t>
      </w:r>
      <w:r>
        <w:rPr>
          <w:rFonts w:ascii="Arial" w:cs="Arial" w:eastAsia="Arial" w:hAnsi="Arial"/>
          <w:sz w:val="18"/>
          <w:szCs w:val="18"/>
          <w:color w:val="auto"/>
        </w:rPr>
        <w:t xml:space="preserve"> are carried at the aggregate unpaid balances, less allowances for possible losses.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investments</w:t>
      </w:r>
      <w:r>
        <w:rPr>
          <w:rFonts w:ascii="Arial" w:cs="Arial" w:eastAsia="Arial" w:hAnsi="Arial"/>
          <w:sz w:val="18"/>
          <w:szCs w:val="18"/>
          <w:color w:val="auto"/>
        </w:rPr>
        <w:t xml:space="preserve"> are carried at cost and consist of money market funds.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Gains and losses on investments (except for equity securities carried at fair value through net income)</w:t>
      </w:r>
      <w:r>
        <w:rPr>
          <w:rFonts w:ascii="Arial" w:cs="Arial" w:eastAsia="Arial" w:hAnsi="Arial"/>
          <w:sz w:val="18"/>
          <w:szCs w:val="18"/>
          <w:color w:val="auto"/>
        </w:rPr>
        <w:t xml:space="preserve"> arise when investments are sold (as determined on a specific identification basis) or are other than temporarily impaired. If in management’s judgment a decline in the value of an investment below cost is other than temporary, the cost of the investment is written down to fair value with a corresponding charge to earnings. Factors considered in judging whether an impairment is other than temporary include: the financial condition, business prospects and credit worthiness of the issuer, the length of time that fair value has been less than cost, the relative amount of the decline, and the Company’s ability and intent to hold the investment until the fair value recovers, which is not assured.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For purposes of the statement of cash flows, 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Mortgage loans held for sale prior to July 1, 2017 were carried at the lower of cost or market net of direct selling revenues and costs. Based on the short-term nature of these assets, the Company had no related allowance for loan losses recorded for these assets. On July 1, 2017, the Company elected the fair value option for loans held for sale. See Note 3 and Note 17 to Consolidated Financial Statements for additional disclosures regarding loans held for sale.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Fee Income</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of mortgage loans held for sale. Mortgage loans held for sale prior to July 1, 2017 were shown on the Company’s consolidated balance sheets at the lower of cost or market and all revenues and costs were deferred until the loans were sold to a third-party investor. On July 1, 2017, the Company made an election to use fair value accounting for all mortgage loans that are held for sale. Accordingly, all revenues and costs are now recognized when the mortgage loan is funded and any changes in fair value are shown as a component of mortgage fee income. See Note 3 and Note 17 to Consolidated Financial Statements for additional disclosures regarding loans held for sale.</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33" w:lineRule="exact"/>
        <w:rPr>
          <w:sz w:val="20"/>
          <w:szCs w:val="20"/>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deliver original documents specified by the investor,</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existence of misrepresentation or fraud in the origination of the loan,</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loan becomes delinquent due to nonpayment during the first several months after it is sold,</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Early pay-off of a loan, as defined by the agreements,</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Excessive time to settle a loan,</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 declines purchase, and</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Discontinued product and expired commitment.</w:t>
      </w:r>
    </w:p>
    <w:p>
      <w:pPr>
        <w:spacing w:after="0" w:line="27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204" w:lineRule="exact"/>
        <w:rPr>
          <w:sz w:val="20"/>
          <w:szCs w:val="20"/>
          <w:color w:val="auto"/>
        </w:rPr>
      </w:pPr>
    </w:p>
    <w:p>
      <w:pPr>
        <w:ind w:left="720" w:hanging="4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reasons for rejection,</w:t>
      </w:r>
    </w:p>
    <w:p>
      <w:pPr>
        <w:spacing w:after="0" w:line="220" w:lineRule="exact"/>
        <w:rPr>
          <w:rFonts w:ascii="Arial" w:cs="Arial" w:eastAsia="Arial" w:hAnsi="Arial"/>
          <w:sz w:val="18"/>
          <w:szCs w:val="18"/>
          <w:color w:val="auto"/>
        </w:rPr>
      </w:pPr>
    </w:p>
    <w:p>
      <w:pPr>
        <w:ind w:left="720" w:hanging="4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additional documents,</w:t>
      </w:r>
    </w:p>
    <w:p>
      <w:pPr>
        <w:spacing w:after="0" w:line="220" w:lineRule="exact"/>
        <w:rPr>
          <w:rFonts w:ascii="Arial" w:cs="Arial" w:eastAsia="Arial" w:hAnsi="Arial"/>
          <w:sz w:val="18"/>
          <w:szCs w:val="18"/>
          <w:color w:val="auto"/>
        </w:rPr>
      </w:pPr>
    </w:p>
    <w:p>
      <w:pPr>
        <w:ind w:left="720" w:hanging="4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Request investor exceptions,</w:t>
      </w:r>
    </w:p>
    <w:p>
      <w:pPr>
        <w:spacing w:after="0" w:line="220" w:lineRule="exact"/>
        <w:rPr>
          <w:rFonts w:ascii="Arial" w:cs="Arial" w:eastAsia="Arial" w:hAnsi="Arial"/>
          <w:sz w:val="18"/>
          <w:szCs w:val="18"/>
          <w:color w:val="auto"/>
        </w:rPr>
      </w:pPr>
    </w:p>
    <w:p>
      <w:pPr>
        <w:ind w:left="720" w:hanging="4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Appeal rejection decision to purchase committee, and</w:t>
      </w:r>
    </w:p>
    <w:p>
      <w:pPr>
        <w:spacing w:after="0" w:line="220" w:lineRule="exact"/>
        <w:rPr>
          <w:rFonts w:ascii="Arial" w:cs="Arial" w:eastAsia="Arial" w:hAnsi="Arial"/>
          <w:sz w:val="18"/>
          <w:szCs w:val="18"/>
          <w:color w:val="auto"/>
        </w:rPr>
      </w:pPr>
    </w:p>
    <w:p>
      <w:pPr>
        <w:ind w:left="720" w:hanging="4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 to secondary investors.</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purchase commitments have expired and other alternatives to remedy are exhausted, which could be earlier than the six-month time period, the loans are repurchased and transferred to the long-term investment portfolio at the lower of cost or fair value and previously recorded mortgage fee income that was to be received from a third-party investor is written off against the loan loss reserve.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Lower of Cost or Fair Value</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Cost for loans held for sale is equal to the amount paid to the warehouse bank and the amount originally funded by the Company. Fair value is often difficult to determine, but is based on the following:</w:t>
      </w:r>
    </w:p>
    <w:p>
      <w:pPr>
        <w:spacing w:after="0" w:line="228" w:lineRule="exact"/>
        <w:rPr>
          <w:sz w:val="20"/>
          <w:szCs w:val="20"/>
          <w:color w:val="auto"/>
        </w:rPr>
      </w:pPr>
    </w:p>
    <w:p>
      <w:pPr>
        <w:ind w:left="700" w:hanging="40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loans that are committed, the Company uses the commitment price.</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loans that are non-committed that have an active market, the Company uses the market price.</w:t>
      </w:r>
    </w:p>
    <w:p>
      <w:pPr>
        <w:spacing w:after="0" w:line="220" w:lineRule="exact"/>
        <w:rPr>
          <w:rFonts w:ascii="Arial" w:cs="Arial" w:eastAsia="Arial" w:hAnsi="Arial"/>
          <w:sz w:val="18"/>
          <w:szCs w:val="18"/>
          <w:color w:val="auto"/>
        </w:rPr>
      </w:pPr>
    </w:p>
    <w:p>
      <w:pPr>
        <w:ind w:left="700" w:hanging="400"/>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loans that are non-committed where there is no market but there is a similar product, the Company uses the market value for the similar product.</w:t>
      </w:r>
    </w:p>
    <w:p>
      <w:pPr>
        <w:spacing w:after="0" w:line="243" w:lineRule="exact"/>
        <w:rPr>
          <w:rFonts w:ascii="Arial" w:cs="Arial" w:eastAsia="Arial" w:hAnsi="Arial"/>
          <w:sz w:val="16"/>
          <w:szCs w:val="16"/>
          <w:color w:val="auto"/>
        </w:rPr>
      </w:pPr>
    </w:p>
    <w:p>
      <w:pPr>
        <w:ind w:left="700" w:right="20" w:hanging="400"/>
        <w:spacing w:after="0" w:line="334"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the loan interest rate.</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risk. In determining the market value on the date of repurchase, the Company considers the total value of all of the loans because any sale of loans would be made as a pool.</w:t>
      </w:r>
    </w:p>
    <w:p>
      <w:pPr>
        <w:spacing w:after="0" w:line="14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majority of loans originated are sold to third-party investors. The amounts expected to be sold to investors are shown on the consolidated balance sheets as loans held for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Reserve</w:t>
      </w:r>
    </w:p>
    <w:p>
      <w:pPr>
        <w:spacing w:after="0" w:line="2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loan loss reserve is an estimate of probable losses at the balance sheet date that the Company will realize in the future on loans held for sale. The Company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ectPr>
          <w:pgSz w:w="11900" w:h="16838" w:orient="portrait"/>
          <w:cols w:equalWidth="0" w:num="1">
            <w:col w:w="11420"/>
          </w:cols>
          <w:pgMar w:left="240" w:top="125" w:right="239" w:bottom="515"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515" w:gutter="0" w:footer="0" w:header="0"/>
          <w:type w:val="continuous"/>
        </w:sectPr>
      </w:pPr>
    </w:p>
    <w:bookmarkStart w:id="44" w:name="page45"/>
    <w:bookmarkEnd w:id="44"/>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completion of a transfer that satisfies the conditions to be accounted for as a sale, the Company initially measures at fair value liabilities incurred in a sale relating to any guarantee or recourse provisions.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more particularly described as follows:</w:t>
      </w:r>
    </w:p>
    <w:p>
      <w:pPr>
        <w:spacing w:after="0" w:line="238" w:lineRule="exact"/>
        <w:rPr>
          <w:sz w:val="20"/>
          <w:szCs w:val="20"/>
          <w:color w:val="auto"/>
        </w:rPr>
      </w:pPr>
    </w:p>
    <w:p>
      <w:pPr>
        <w:ind w:left="640"/>
        <w:spacing w:after="0" w:line="300" w:lineRule="auto"/>
        <w:rPr>
          <w:sz w:val="20"/>
          <w:szCs w:val="20"/>
          <w:color w:val="auto"/>
        </w:rPr>
      </w:pPr>
      <w:r>
        <w:rPr>
          <w:rFonts w:ascii="Arial" w:cs="Arial" w:eastAsia="Arial" w:hAnsi="Arial"/>
          <w:sz w:val="17"/>
          <w:szCs w:val="17"/>
          <w:i w:val="1"/>
          <w:iCs w:val="1"/>
          <w:color w:val="auto"/>
        </w:rPr>
        <w:t xml:space="preserve">Make whole demand </w:t>
      </w:r>
      <w:r>
        <w:rPr>
          <w:rFonts w:ascii="Arial" w:cs="Arial" w:eastAsia="Arial" w:hAnsi="Arial"/>
          <w:sz w:val="17"/>
          <w:szCs w:val="17"/>
          <w:color w:val="auto"/>
        </w:rPr>
        <w:t>– A make whole demand occurs when an investor forecloses on a property and then sells the property. The make whole amount is</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as the difference between the original unpaid principal balance, accrued interest and fees, less the sale proceeds.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Repurchase demand </w:t>
      </w:r>
      <w:r>
        <w:rPr>
          <w:rFonts w:ascii="Arial" w:cs="Arial" w:eastAsia="Arial" w:hAnsi="Arial"/>
          <w:sz w:val="16"/>
          <w:szCs w:val="16"/>
          <w:color w:val="auto"/>
        </w:rPr>
        <w:t>– A repurchase demand usually occurs when there is a significant payment default, error in underwriting or detected loan fraud.</w:t>
      </w:r>
    </w:p>
    <w:p>
      <w:pPr>
        <w:spacing w:after="0" w:line="297" w:lineRule="exact"/>
        <w:rPr>
          <w:sz w:val="20"/>
          <w:szCs w:val="20"/>
          <w:color w:val="auto"/>
        </w:rPr>
      </w:pPr>
    </w:p>
    <w:p>
      <w:pPr>
        <w:ind w:left="640"/>
        <w:spacing w:after="0" w:line="270" w:lineRule="auto"/>
        <w:rPr>
          <w:sz w:val="20"/>
          <w:szCs w:val="20"/>
          <w:color w:val="auto"/>
        </w:rPr>
      </w:pPr>
      <w:r>
        <w:rPr>
          <w:rFonts w:ascii="Arial" w:cs="Arial" w:eastAsia="Arial" w:hAnsi="Arial"/>
          <w:sz w:val="18"/>
          <w:szCs w:val="18"/>
          <w:i w:val="1"/>
          <w:iCs w:val="1"/>
          <w:color w:val="auto"/>
        </w:rPr>
        <w:t xml:space="preserve">Indemnification demand </w:t>
      </w:r>
      <w:r>
        <w:rPr>
          <w:rFonts w:ascii="Arial" w:cs="Arial" w:eastAsia="Arial" w:hAnsi="Arial"/>
          <w:sz w:val="18"/>
          <w:szCs w:val="18"/>
          <w:color w:val="auto"/>
        </w:rPr>
        <w:t>– On certain loans the Company has negotiated a set fee that is to be paid in lieu of repurchase. The fee varies by investor and</w:t>
      </w:r>
      <w:r>
        <w:rPr>
          <w:rFonts w:ascii="Arial" w:cs="Arial" w:eastAsia="Arial" w:hAnsi="Arial"/>
          <w:sz w:val="18"/>
          <w:szCs w:val="18"/>
          <w:i w:val="1"/>
          <w:iCs w:val="1"/>
          <w:color w:val="auto"/>
        </w:rPr>
        <w:t xml:space="preserve"> </w:t>
      </w:r>
      <w:r>
        <w:rPr>
          <w:rFonts w:ascii="Arial" w:cs="Arial" w:eastAsia="Arial" w:hAnsi="Arial"/>
          <w:sz w:val="18"/>
          <w:szCs w:val="18"/>
          <w:color w:val="auto"/>
        </w:rPr>
        <w:t>by loan product type.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the allowance for loan losses and the loan loss reserve represent probable loan losses incurred as of the balance sheet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the Loan Loss Reserve is included in Note 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Assets</w:t>
      </w: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Restricted assets are assets held in a trust account for future mortuary services and merchandise and consist of cash and cash equivalents; participations in mortgage loans held for investment with Security National Life Insurance Company (“Security National Life”); mutual funds carried at estimated fair value; equity securities carried at estimated fair value; and a surplus note with Security National Life (which is eliminated in consolidation). Restricted assets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fund its medical benefit safe-harbor limit based on 35% of the qualified direct costs for the preceding year, and has included this amount as a component of restricted cash.</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Perpetual Care Trust Investments</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Cemetery endowment care trusts have been set up for four of the six cemeteries owned by the Company. Of the six cemeteries owned by the Company, four cemeteries are endowment care properties. Under endowment care arrangements a portion of the price for each lot sold is withheld and invested in a portfolio of investments similar to those described in the prior paragraph. The earnings stream from the investments is designed to fund future maintenance and upkeep of the cemetery.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Land and Improvements</w:t>
      </w:r>
    </w:p>
    <w:p>
      <w:pPr>
        <w:spacing w:after="0" w:line="27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development of a cemetery involves not only the initial acquisition of raw land but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 and Value of Business Acquired</w:t>
      </w: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follows GAAP when accounting for DAC on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written-off. Modifications that result in a contract that is substantially unchanged from the replaced contract are accounted for as a continuation of the replaced contract.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Value of business acquired is the present value of estimated future profits of the acquired business and is amortized similar to deferred policy acquisition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 Service Rights (“MSR”) arise from contractual agreements between the Company and third-party investors (or their agents) when mortgage loans are sold. Under these contracts, the Company is obligated to retain and provide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0.250%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subsequent accounting for MSRs is based on the class of MSRs. The Company has identified two classes of MSRs: MSRs backed by mortgage loans with initial term of 30 years and MSRs backed by mortgage loans with initial term of 15 years. The Company distinguishes between these classes of MSRs due to their differing sensitivities to change in value as the result of changes in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Long-lived assets to be held and used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No impairment of long-lived assets has been recognized in the accompanying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Mortgage Banking Derivatives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 Commitments</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Call and Put Option Derivatives</w:t>
      </w:r>
    </w:p>
    <w:p>
      <w:pPr>
        <w:spacing w:after="0" w:line="2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sale of the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 and Loan Losses and Impaired Loans</w:t>
      </w:r>
    </w:p>
    <w:p>
      <w:pPr>
        <w:spacing w:after="0" w:line="27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Company records an allowance and recognizes an expense for potential losses from mortgage loans held for investment, other investments and receivables in accordance with GAAP.</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See the schedules in Note 2 for additional information.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38"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and second mortgages on the unit. The borrower’s ability to repay is sensitive to the life events and general economic condition of the region. Where loan to values exceed 80%, the loan is generally guaranteed by private mortgage insurance, FHA or VA.</w:t>
      </w:r>
    </w:p>
    <w:p>
      <w:pPr>
        <w:spacing w:after="0" w:line="23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Policy Benefits and Unpaid Claims</w:t>
      </w: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Future policy benefit reserves for traditional life insurance are computed using a net level method, including assumptions as to investment yields, mortality, morbidity, withdrawals, and other assumptions based on the life insurance subsidiaries’ experience, modified as necessary to give effect to anticipated trends and to include provisions for possible unfavorable deviations. Such liabilities are, for some plans, graded to equal statutory values or cash values at or prior to maturity.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24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3% to 6.5%.</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Insurance</w:t>
      </w:r>
    </w:p>
    <w:p>
      <w:pPr>
        <w:spacing w:after="0" w:line="27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Participating business constituted 2% of insurance in force for the years ended 2018 and 2017. The provision for policyholders’ dividends included in policyholder obligations is based on dividend scales anticipated by management. Amounts to be paid are determined by the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Insurance Premiums and Other Considerations</w:t>
      </w:r>
    </w:p>
    <w:p>
      <w:pPr>
        <w:spacing w:after="0" w:line="2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Premiums and other consideration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recognized when earned and consist of amounts assessed against policyholder account balances during the period for policy administration charges and surrender charges.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the procedure of reinsuring risks in excess of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22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Pre-need Sales and Costs</w:t>
      </w:r>
    </w:p>
    <w:p>
      <w:pPr>
        <w:spacing w:after="0" w:line="27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i w:val="1"/>
          <w:iCs w:val="1"/>
          <w:color w:val="auto"/>
        </w:rPr>
        <w:t xml:space="preserve">Pre-need contract sales of funeral services and caskets </w:t>
      </w:r>
      <w:r>
        <w:rPr>
          <w:rFonts w:ascii="Arial" w:cs="Arial" w:eastAsia="Arial" w:hAnsi="Arial"/>
          <w:sz w:val="18"/>
          <w:szCs w:val="18"/>
          <w:color w:val="auto"/>
        </w:rPr>
        <w:t>- revenue and costs associated with the sales of pre-need funeral services and caskets are deferred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obligations are fulfilled (services are performed or the caskets are delivered).</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of cemetery interment rights (cemetery burial property) </w:t>
      </w:r>
      <w:r>
        <w:rPr>
          <w:rFonts w:ascii="Arial" w:cs="Arial" w:eastAsia="Arial" w:hAnsi="Arial"/>
          <w:sz w:val="18"/>
          <w:szCs w:val="18"/>
          <w:color w:val="auto"/>
        </w:rPr>
        <w:t>- revenue and costs associated with the sale of cemetery interment rights are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retail land sales provisions based on GAAP. Under GAAP, recognition of revenue and associated costs from constructed cemetery property must be deferred until 10% of the sales price has been collected.</w:t>
      </w:r>
    </w:p>
    <w:p>
      <w:pPr>
        <w:spacing w:after="0" w:line="23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i w:val="1"/>
          <w:iCs w:val="1"/>
          <w:color w:val="auto"/>
        </w:rPr>
        <w:t xml:space="preserve">Pre-need contract sales of cemetery merchandise (primarily markers and vaults) </w:t>
      </w:r>
      <w:r>
        <w:rPr>
          <w:rFonts w:ascii="Arial" w:cs="Arial" w:eastAsia="Arial" w:hAnsi="Arial"/>
          <w:sz w:val="18"/>
          <w:szCs w:val="18"/>
          <w:color w:val="auto"/>
        </w:rPr>
        <w:t>- revenue and costs associated with the sale of pre-need cemetery merchandise</w:t>
      </w:r>
      <w:r>
        <w:rPr>
          <w:rFonts w:ascii="Arial" w:cs="Arial" w:eastAsia="Arial" w:hAnsi="Arial"/>
          <w:sz w:val="18"/>
          <w:szCs w:val="18"/>
          <w:i w:val="1"/>
          <w:iCs w:val="1"/>
          <w:color w:val="auto"/>
        </w:rPr>
        <w:t xml:space="preserve"> </w:t>
      </w:r>
      <w:r>
        <w:rPr>
          <w:rFonts w:ascii="Arial" w:cs="Arial" w:eastAsia="Arial" w:hAnsi="Arial"/>
          <w:sz w:val="18"/>
          <w:szCs w:val="18"/>
          <w:color w:val="auto"/>
        </w:rPr>
        <w:t>is deferred until the merchandise is delivered.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Pre-need contract sales of cemetery services (primarily merchandise delivery, installation fees and burial opening and closing fees) </w:t>
      </w:r>
      <w:r>
        <w:rPr>
          <w:rFonts w:ascii="Arial" w:cs="Arial" w:eastAsia="Arial" w:hAnsi="Arial"/>
          <w:sz w:val="18"/>
          <w:szCs w:val="18"/>
          <w:color w:val="auto"/>
        </w:rPr>
        <w:t>- revenue and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sales of pre-need cemetery services are deferred until the services are performed.</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Prearranged funeral and pre-need cemetery customer acquisition costs </w:t>
      </w:r>
      <w:r>
        <w:rPr>
          <w:rFonts w:ascii="Arial" w:cs="Arial" w:eastAsia="Arial" w:hAnsi="Arial"/>
          <w:sz w:val="18"/>
          <w:szCs w:val="18"/>
          <w:color w:val="auto"/>
        </w:rPr>
        <w:t>- costs incurred related to obtaining new pre-need contract cemetery and prearranged</w:t>
      </w:r>
      <w:r>
        <w:rPr>
          <w:rFonts w:ascii="Arial" w:cs="Arial" w:eastAsia="Arial" w:hAnsi="Arial"/>
          <w:sz w:val="18"/>
          <w:szCs w:val="18"/>
          <w:i w:val="1"/>
          <w:iCs w:val="1"/>
          <w:color w:val="auto"/>
        </w:rPr>
        <w:t xml:space="preserve"> </w:t>
      </w:r>
      <w:r>
        <w:rPr>
          <w:rFonts w:ascii="Arial" w:cs="Arial" w:eastAsia="Arial" w:hAnsi="Arial"/>
          <w:sz w:val="18"/>
          <w:szCs w:val="18"/>
          <w:color w:val="auto"/>
        </w:rPr>
        <w:t>funeral services are accounted for under the guidance of the provisions based on GAAP. Obtaining costs, which include only costs that vary with and are primarily related to the acquisition of new pre-need cemetery and prearranged funeral services, are deferred until the merchandise is delivered or services are performed.</w:t>
      </w:r>
    </w:p>
    <w:p>
      <w:pPr>
        <w:spacing w:after="0" w:line="24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Revenues and costs for at</w:t>
      </w:r>
      <w:r>
        <w:rPr>
          <w:rFonts w:ascii="MS PGothic" w:cs="MS PGothic" w:eastAsia="MS PGothic" w:hAnsi="MS PGothic"/>
          <w:sz w:val="18"/>
          <w:szCs w:val="18"/>
          <w:color w:val="auto"/>
        </w:rPr>
        <w:t>‑</w:t>
      </w:r>
      <w:r>
        <w:rPr>
          <w:rFonts w:ascii="Arial" w:cs="Arial" w:eastAsia="Arial" w:hAnsi="Arial"/>
          <w:sz w:val="18"/>
          <w:szCs w:val="18"/>
          <w:color w:val="auto"/>
        </w:rPr>
        <w:t>need sales are recorded when a valid contract exists, the services are performed, collection is reasonably assured and there are no significant obligations remaining.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 No impairment of goodwill has been recognized in the accompanying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are established for uncertain tax positions expected to be taken in income tax returns when such positions are judged to meet the “more-likely-than-not” threshold based on the technical merits of the positions. Estimated interest and penalties related to uncertain tax penalties are included as a component of other expenses.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27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computes earnings per share which requires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Basic and diluted earnings per share amounts have been adjusted retroactively for the effect of annual stock dividends.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8"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For a description of the geographic concentration risk regarding mortgage loans held for investment and real estate held for investment, refer to Note 2 of the Notes to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advertising costs as incurred.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u w:val="single" w:color="auto"/>
          <w:color w:val="auto"/>
        </w:rPr>
        <w:t>S</w:t>
      </w:r>
      <w:r>
        <w:rPr>
          <w:rFonts w:ascii="Arial" w:cs="Arial" w:eastAsia="Arial" w:hAnsi="Arial"/>
          <w:sz w:val="18"/>
          <w:szCs w:val="18"/>
          <w:u w:val="single" w:color="auto"/>
          <w:color w:val="auto"/>
        </w:rPr>
        <w:t>ignificant Accounting Policies</w:t>
      </w:r>
      <w:r>
        <w:rPr>
          <w:rFonts w:ascii="Arial" w:cs="Arial" w:eastAsia="Arial" w:hAnsi="Arial"/>
          <w:sz w:val="18"/>
          <w:szCs w:val="18"/>
          <w:color w:val="auto"/>
        </w:rPr>
        <w:t xml:space="preserv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2018</w:t>
      </w:r>
    </w:p>
    <w:p>
      <w:pPr>
        <w:spacing w:after="0" w:line="2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u w:val="single" w:color="auto"/>
          <w:color w:val="auto"/>
        </w:rPr>
        <w:t>Accounting Standards Update (“ASU”) No. 2017-01: “Business Combinations (Topic 805): Clarifying the Definition of a Business”</w:t>
      </w:r>
      <w:r>
        <w:rPr>
          <w:rFonts w:ascii="Arial" w:cs="Arial" w:eastAsia="Arial" w:hAnsi="Arial"/>
          <w:sz w:val="16"/>
          <w:szCs w:val="16"/>
          <w:color w:val="auto"/>
        </w:rPr>
        <w:t xml:space="preserve"> – Issued in January 2017, ASU 2017-01 intends to clarify the definition of a business with the objective of adding guidance to assist entities with evaluating whether transactions should be accounted for as acquisitions (or disposals) of assets or businesses. Under the current implementation guidance in Topic 805, there are three elements of a business: inputs, processes, and outputs. While an integrated set of assets and activities, collectively referred to as a “set,” that is a business usually has outputs, outputs are not required to be present. ASU 2017-01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While the Company’s acquisitions have historically been classified as either business combinations or asset acquisitions, certain acquisitions that were classified as business combinations by the Company would have been considered asset acquisitions under the new standard. As a result, transaction costs may be capitalized more often since the Company expects some of its future acquisitions to be classified as asset acquisitions under this new standard. ASU 2017-01 was adopted by the Company on January 1, 2018 and it will be applied prospectively to transactions occurring after the adoption date, as applicable.</w:t>
      </w:r>
    </w:p>
    <w:p>
      <w:pPr>
        <w:spacing w:after="0" w:line="22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u w:val="single" w:color="auto"/>
          <w:color w:val="auto"/>
        </w:rPr>
        <w:t>ASU No. 2016-18: “Statement of Cash Flows (Topic 230): Restricted Cash”</w:t>
      </w:r>
      <w:r>
        <w:rPr>
          <w:rFonts w:ascii="Arial" w:cs="Arial" w:eastAsia="Arial" w:hAnsi="Arial"/>
          <w:sz w:val="16"/>
          <w:szCs w:val="16"/>
          <w:color w:val="auto"/>
        </w:rPr>
        <w:t xml:space="preserve"> – Issued in November 2016, ASU 2016-18 requires restricted cash and cash equivalents to be included with cash and cash equivalents in the consolidated statement of cash flows and disclose the nature of the restrictions on cash and cash equivalents. The Company currently discloses the restrictions on cash and cash equivalents in Note 8 of the Notes to Consolidated Financial Statements in the Company’s Annual Report on Form 10-K and will continue these disclosures. Note 8 also discloses the components of the Company’s restricted assets and cemetery perpetual care trust investments which include restricted cash and cash equivalents. ASU 2016-18 was adopted by the Company on January 1, 2018. The Company previously presented changes in restricted cash and cash equivalents under investing activities on the consolidated statements of cash flows. Upon adoption of ASU 2016-18, the Company amended the presentation in the consolidated statements of cash flows to include the restricted cash and cash equivalents with cash and cash equivalents and retrospectively reclassified all periods presented. The amounts of restricted cash and cash equivalents reclassified are summarized in the reconciliation at the bottom of the consolidated statement of cash flows. The adoption of this standard does not impact the Company’s total cash and cash equivalents but is a change in presentation within the consolidated statements of cash flows.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u w:val="single" w:color="auto"/>
          <w:color w:val="auto"/>
        </w:rPr>
        <w:t>ASU No. 2016-01: “Financial Instruments – Overall (Topic 825-10)”</w:t>
      </w:r>
      <w:r>
        <w:rPr>
          <w:rFonts w:ascii="Arial" w:cs="Arial" w:eastAsia="Arial" w:hAnsi="Arial"/>
          <w:sz w:val="17"/>
          <w:szCs w:val="17"/>
          <w:color w:val="auto"/>
        </w:rPr>
        <w:t xml:space="preserve"> – Issued in January 2016, ASU 2016-01 changes the accounting for non-consolidated equity investments that are not accounted for under the equity method of accounting by requiring changes in fair value to be recognized in income. The Company adopted this standard on January 1, 2018 using the modified retrospective approach with the cumulative effect of the adoption made to the balance sheet as of the date of adoption. Thus, the adoption resulted in a reclassification of the related accumulated net unrealized gains of $603,170 included in accumulated other comprehensive income as of December 31, 2017 to retained earnings. Under previous guidance, changes in fair value for investments of this nature were recognized in accumulated other comprehensive income as a component of stockholders’ equity. Additionally, ASU 2016-01 simplifies the impairment assessment of equity investments without readily determinable fair values; requires entities to use the exit price when estimating the fair value of financial instruments; and modifies various presentation disclosure requirements for financial instruments. The Company holds equity securities that were previously measured at fair value with changes in fair value recognized through other comprehensive income. Upon adoption of ASU 2016-01 the Company now recognizes the changes in the fair value of these equity securities through earnings as part of gains on investments and other assets on the condensed consolidated statements of earnings, thus increasing the volatility of the Company’s earnings. The adoption of this standard does not significantly affect the Company’s comprehensive income or stockholders’ equity.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00" w:hanging="293"/>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ASU No. 2014-09: “Revenue from Contracts with Customers (Topic 606)”</w:t>
      </w:r>
      <w:r>
        <w:rPr>
          <w:rFonts w:ascii="Arial" w:cs="Arial" w:eastAsia="Arial" w:hAnsi="Arial"/>
          <w:sz w:val="17"/>
          <w:szCs w:val="17"/>
          <w:color w:val="auto"/>
        </w:rPr>
        <w:t xml:space="preserve"> - Issued in May 2014, ASU 2014-09 supersedes the revenue recognition requirements in ASC Topic 605, “Revenue Recognition”. ASU 2014-09 clarifies the principles for recognizing revenue in order to improve comparability of revenue recognition practices across entities and industries. ASU 2014-09 provides guidance to assist in the identification of contracts with customers and separate performance obligations within those contracts, the determination and allocation of the transaction price to those identified performance obligations and the recognition of revenue when a performance obligation has been satisfied. ASU 2014-09 also requires disclosures regarding the nature, amount, timing, and uncertainty of revenues and cash flows from contracts with customers. Premiums and related fees from insurance contracts and mortgage banking revenues are excluded from the scope of this new guidance.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adopted this standard on January 1, 2018 using a modified retrospective approach. No cumulative effect adjustment was made to beginning retained earnings. The Company’s revenues from contracts with customers that are subject to ASU 2014-09 include revenues on mortuary and cemetery contracts, which is less than 5% of the Company’s total revenues. The recognition and measurement of these items did not change as a result of the Company’s adoption of ASU 2014-09 and thus the adoption of ASU 2014-09 does not significantly impact the Company’s condensed consolidated statements of earnings or condensed consolidated statements of cash flows. The Company reclassified $856,479 of amounts due from customers for unfulfilled performance obligations on cancelable pre-need contracts from Receivables, net to Deferred pre-need cemetery and mortuary contract revenues on the Company’s condensed consolidated balance sheets.</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standard primarily impacts the manner in which the Company recognizes a) certain nonrefundable up-front fees and b) incremental costs to acquire new pre-need funeral trust contracts and pre-need and at-need cemetery contracts (i.e., selling costs). The nonrefundable fees will continue to be deferred and recognized as revenue when the underlying goods and services are delivered to the customer. The incremental selling costs will continue to be deferred and amortized by specific identification to the delivery of the underlying goods and services. Additionally, the amounts due from customers for undelivered performance obligations on cancelable pre-need contracts represent contract assets, which are required to be netted with deferred pre-need cemetery and mortuary contract revenues, instead of receivables on the Company’s consolidated balance sheets.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2019</w:t>
      </w: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ASU No. 2016-02: “Leases (Topic 842)”</w:t>
      </w:r>
      <w:r>
        <w:rPr>
          <w:rFonts w:ascii="Arial" w:cs="Arial" w:eastAsia="Arial" w:hAnsi="Arial"/>
          <w:sz w:val="18"/>
          <w:szCs w:val="18"/>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method or a straight-line basis over the term of the leases. The FASB further clarified ASU 2016-02 and provided targeted improvements by issuing ASU 2018-01, ASU 2018-10, ASU 2018-11 and ASU 2018-20.</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will recognize a right-of-use asset and related lease liability for approximately $12,076,000 on January 1, 2019. The right-of-use asset will be presented on the line item Property and equipment, net on the consolidated balance sheets. The lease liability will be presented on the line item Other liabilities and accrued expenses on the consolidated balance sheets. Interest expense on finance leases will be presented on the line item Interest expense on the consolidated statements of earnings. Amortization of the right-of-use assets for finance leases will be presented on the line item Depreciation on property and equipment on the consolidated statements of earnings. Lease expense for operating leases will be presented on the line item Rent and rent related expenses on the consolidated statements of earnings. Required disclosures will also be provided in the notes to consolidated financial statements. This standard did not impact the Company’s accounting for leases where the Company is the lessor.</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240" w:hanging="233"/>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7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ASU No. 2016-13: “Financial Instruments – Credit Losses (Topic 326)”</w:t>
      </w:r>
      <w:r>
        <w:rPr>
          <w:rFonts w:ascii="Arial" w:cs="Arial" w:eastAsia="Arial" w:hAnsi="Arial"/>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The new authoritative guidance will be effective for the Company on January 1, 2020. The Company is in the process of evaluating the potential impact of this standard.</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ASU No. 2018-13: “Fair Value Measurement (Topic 820): Disclosure Framework-Changes to the Disclosure Requirements for Fair Value Measurement”</w:t>
      </w:r>
      <w:r>
        <w:rPr>
          <w:rFonts w:ascii="Arial" w:cs="Arial" w:eastAsia="Arial" w:hAnsi="Arial"/>
          <w:sz w:val="18"/>
          <w:szCs w:val="18"/>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This new authoritative guidance will be effective for the Company on January 1, 2020. The Company is in the process of evaluating the potential impact of this standard, which is not expected to materially impact the Company’s financial statements.</w:t>
      </w:r>
    </w:p>
    <w:p>
      <w:pPr>
        <w:spacing w:after="0" w:line="2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u w:val="single" w:color="auto"/>
          <w:color w:val="auto"/>
        </w:rPr>
        <w:t>ASU No. 2018-12: “Financial Services – Insurance (Topic 944): Targeted Improvements to the Accounting for Long-Duration Contracts”</w:t>
      </w:r>
      <w:r>
        <w:rPr>
          <w:rFonts w:ascii="Arial" w:cs="Arial" w:eastAsia="Arial" w:hAnsi="Arial"/>
          <w:sz w:val="16"/>
          <w:szCs w:val="16"/>
          <w:color w:val="auto"/>
        </w:rPr>
        <w:t xml:space="preserve"> – Issued in August 2018, ASU 2018-12 is intended to improve the timeliness of recognizing changes in the liability for future policy benefits and modify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This new authoritative guidance will be effective for the Company on January 1, 2021. The Company is in the process of evaluating the potential impact of this standard.</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center"/>
        <w:ind w:left="1380" w:right="1680"/>
        <w:spacing w:after="0" w:line="259" w:lineRule="auto"/>
        <w:rPr>
          <w:sz w:val="20"/>
          <w:szCs w:val="20"/>
          <w:color w:val="auto"/>
        </w:rPr>
      </w:pPr>
      <w:r>
        <w:rPr>
          <w:rFonts w:ascii="Arial" w:cs="Arial" w:eastAsia="Arial" w:hAnsi="Arial"/>
          <w:sz w:val="18"/>
          <w:szCs w:val="18"/>
          <w:color w:val="auto"/>
        </w:rPr>
        <w:t>SECURITY NATIONAL FINANCIAL CORPORATION AND SUBSIDIARIES Notes to Consolidated Financial Statements Years Ended December 31, 2018 and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6"/>
          </w:tcPr>
          <w:p>
            <w:pPr>
              <w:spacing w:after="0"/>
              <w:rPr>
                <w:sz w:val="20"/>
                <w:szCs w:val="20"/>
                <w:color w:val="auto"/>
              </w:rPr>
            </w:pPr>
            <w:r>
              <w:rPr>
                <w:rFonts w:ascii="Arial" w:cs="Arial" w:eastAsia="Arial" w:hAnsi="Arial"/>
                <w:sz w:val="18"/>
                <w:szCs w:val="18"/>
                <w:color w:val="auto"/>
              </w:rPr>
              <w:t>2) Investments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940" w:type="dxa"/>
            <w:vAlign w:val="bottom"/>
            <w:gridSpan w:val="6"/>
          </w:tcPr>
          <w:p>
            <w:pPr>
              <w:spacing w:after="0"/>
              <w:rPr>
                <w:sz w:val="20"/>
                <w:szCs w:val="20"/>
                <w:color w:val="auto"/>
              </w:rPr>
            </w:pPr>
            <w:r>
              <w:rPr>
                <w:rFonts w:ascii="Arial" w:cs="Arial" w:eastAsia="Arial" w:hAnsi="Arial"/>
                <w:sz w:val="18"/>
                <w:szCs w:val="18"/>
                <w:color w:val="auto"/>
                <w:w w:val="89"/>
              </w:rPr>
              <w:t>The Company’s investments as of December 31, 2018 are summarized as follows: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Amortized</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Unrealized</w:t>
            </w:r>
          </w:p>
        </w:tc>
        <w:tc>
          <w:tcPr>
            <w:tcW w:w="16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Cost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8"/>
                <w:szCs w:val="18"/>
                <w:color w:val="auto"/>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Losses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8"/>
                <w:szCs w:val="18"/>
                <w:color w:val="auto"/>
                <w:w w:val="88"/>
              </w:rPr>
              <w:t>December 31, 2018:</w:t>
            </w:r>
          </w:p>
        </w:tc>
        <w:tc>
          <w:tcPr>
            <w:tcW w:w="3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ind w:left="40"/>
              <w:spacing w:after="0"/>
              <w:rPr>
                <w:sz w:val="20"/>
                <w:szCs w:val="20"/>
                <w:color w:val="auto"/>
              </w:rPr>
            </w:pPr>
            <w:r>
              <w:rPr>
                <w:rFonts w:ascii="Arial" w:cs="Arial" w:eastAsia="Arial" w:hAnsi="Arial"/>
                <w:sz w:val="18"/>
                <w:szCs w:val="18"/>
                <w:color w:val="auto"/>
                <w:w w:val="97"/>
              </w:rPr>
              <w:t>Fixed maturity securities held to maturity carried at amortized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ind w:left="4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U.S. Treasury securities and obligations of U.S. Government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52,017,683</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(727,798)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51,554,776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157,639,860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7,002,864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(3,704,137)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160,938,587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15,358,746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(308,864)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15,277,280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fixed maturity securities held to maturity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232,078,723</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7,529,330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(4,857,195)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234,750,858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6,312,158</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(1,176,075)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5,558,611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equity securities at estimated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6,312,158</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(1,176,075)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5,558,611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89,935,600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71,366,544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27,785,927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Unamortized deferred loan fees,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(1,275,030)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(1,347,972)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186,465,069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Real estate held for investment - net of accumulated depreciation: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29,507,431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92,050,791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real estate held for investment</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121,558,222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Insurance assignments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35,239,396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Home Loan Bank stock (1)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3,497,762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(1,092,528)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policy loans and other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46,617,655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4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Accured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3,566,146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4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595,844,426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$708,700 of Membership stock and $1,840,000 of Activity stock due to short-term borrowings.</w:t>
      </w:r>
    </w:p>
    <w:p>
      <w:pPr>
        <w:sectPr>
          <w:pgSz w:w="11900" w:h="16838" w:orient="portrait"/>
          <w:cols w:equalWidth="0" w:num="1">
            <w:col w:w="10280"/>
          </w:cols>
          <w:pgMar w:left="240" w:top="125" w:right="13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type w:val="continuous"/>
        </w:sectPr>
      </w:pPr>
    </w:p>
    <w:bookmarkStart w:id="55" w:name="page56"/>
    <w:bookmarkEnd w:id="55"/>
    <w:p>
      <w:pPr>
        <w:jc w:val="center"/>
        <w:ind w:right="-113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Years Ended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6"/>
          </w:tcPr>
          <w:p>
            <w:pPr>
              <w:spacing w:after="0"/>
              <w:rPr>
                <w:sz w:val="20"/>
                <w:szCs w:val="20"/>
                <w:color w:val="auto"/>
              </w:rPr>
            </w:pPr>
            <w:r>
              <w:rPr>
                <w:rFonts w:ascii="Arial" w:cs="Arial" w:eastAsia="Arial" w:hAnsi="Arial"/>
                <w:sz w:val="18"/>
                <w:szCs w:val="18"/>
                <w:color w:val="auto"/>
              </w:rPr>
              <w:t>2) Investments (Continued)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940" w:type="dxa"/>
            <w:vAlign w:val="bottom"/>
            <w:gridSpan w:val="6"/>
          </w:tcPr>
          <w:p>
            <w:pPr>
              <w:spacing w:after="0"/>
              <w:rPr>
                <w:sz w:val="20"/>
                <w:szCs w:val="20"/>
                <w:color w:val="auto"/>
              </w:rPr>
            </w:pPr>
            <w:r>
              <w:rPr>
                <w:rFonts w:ascii="Arial" w:cs="Arial" w:eastAsia="Arial" w:hAnsi="Arial"/>
                <w:sz w:val="18"/>
                <w:szCs w:val="18"/>
                <w:color w:val="auto"/>
                <w:w w:val="89"/>
              </w:rPr>
              <w:t>The Company’s investments as of December 31, 2017 are summarized as follows: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Amortized</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Unrealized</w:t>
            </w:r>
          </w:p>
        </w:tc>
        <w:tc>
          <w:tcPr>
            <w:tcW w:w="16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Cost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Losses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8"/>
                <w:szCs w:val="18"/>
                <w:color w:val="auto"/>
                <w:w w:val="88"/>
              </w:rPr>
              <w:t>December 31, 2017:</w:t>
            </w:r>
          </w:p>
        </w:tc>
        <w:tc>
          <w:tcPr>
            <w:tcW w:w="3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w w:val="97"/>
              </w:rPr>
              <w:t>Fixed maturity securities held to maturity carried at amortized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w w:val="94"/>
              </w:rPr>
              <w:t>U.S. Treasury securities and obligations of U.S. Government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54,077,069</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(579,423)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53,709,470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5,843,176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158,350,727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14,336,452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(1,007,504)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171,679,675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9,503,016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Redeemable preferred stock</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623,635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maturity securities held to maturity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228,397,623</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14,921,048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(1,820,262)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241,498,409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6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6,002,931</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(632,669)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6,037,855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equity securities at estimated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6,002,931</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(632,669)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6,037,855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6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102,527,111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50,157,533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54,954,865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Unamortized deferred loan fees,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(1,659,828)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Less: Allowance for loan losses</w:t>
            </w: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(1,768,796)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204,210,885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6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0"/>
              </w:rPr>
              <w:t>Real estate held for investment - net of accumulated depreciation: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68,329,917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72,968,789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real estate held for investment</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141,298,706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6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6,531,352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Insurance assignments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36,301,739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stock (1)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3,219,622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Allowance for doubtful accounts</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(846,641)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policy loans and other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45,895,472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6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Accured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3,644,077</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60" w:type="dxa"/>
            <w:vAlign w:val="bottom"/>
            <w:vMerge w:val="restart"/>
          </w:tcPr>
          <w:p>
            <w:pPr>
              <w:spacing w:after="0"/>
              <w:rPr>
                <w:sz w:val="17"/>
                <w:szCs w:val="17"/>
                <w:color w:val="auto"/>
              </w:rPr>
            </w:pPr>
          </w:p>
        </w:tc>
        <w:tc>
          <w:tcPr>
            <w:tcW w:w="8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629,484,618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20" w:type="dxa"/>
            <w:vAlign w:val="bottom"/>
            <w:gridSpan w:val="4"/>
          </w:tcPr>
          <w:p>
            <w:pPr>
              <w:ind w:left="20"/>
              <w:spacing w:after="0"/>
              <w:rPr>
                <w:sz w:val="20"/>
                <w:szCs w:val="20"/>
                <w:color w:val="auto"/>
              </w:rPr>
            </w:pPr>
            <w:r>
              <w:rPr>
                <w:rFonts w:ascii="Arial" w:cs="Arial" w:eastAsia="Arial" w:hAnsi="Arial"/>
                <w:sz w:val="18"/>
                <w:szCs w:val="18"/>
                <w:color w:val="auto"/>
              </w:rPr>
              <w:t>(1) Membership stock of $689,400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5" w:right="1379" w:bottom="942" w:gutter="0" w:footer="0" w:header="0"/>
        </w:sect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0280"/>
          </w:cols>
          <w:pgMar w:left="240" w:top="125" w:right="1379" w:bottom="942"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summarize unrealized losses on fixed maturities securities, which are carried at amortized cost, at December 31, 2018 and 2017. The unrealized losses were primarily related to interest rate fluctuations. The tables set forth unrealized losses by duration with the fair value of the related fixed maturity securities: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Arial" w:cs="Arial" w:eastAsia="Arial" w:hAnsi="Arial"/>
                <w:sz w:val="18"/>
                <w:szCs w:val="18"/>
                <w:color w:val="auto"/>
                <w:w w:val="89"/>
              </w:rPr>
              <w:t>Losses for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6"/>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More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Twelve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91"/>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1"/>
              </w:rPr>
              <w:t>Months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Fair Value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4"/>
              </w:rPr>
              <w:t>Months</w:t>
            </w:r>
          </w:p>
        </w:tc>
        <w:tc>
          <w:tcPr>
            <w:tcW w:w="16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7"/>
              </w:rPr>
              <w:t>Fair Value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580" w:type="dxa"/>
            <w:vAlign w:val="bottom"/>
            <w:gridSpan w:val="3"/>
          </w:tcPr>
          <w:p>
            <w:pPr>
              <w:spacing w:after="0" w:line="174" w:lineRule="exact"/>
              <w:rPr>
                <w:sz w:val="20"/>
                <w:szCs w:val="20"/>
                <w:color w:val="auto"/>
              </w:rPr>
            </w:pPr>
            <w:r>
              <w:rPr>
                <w:rFonts w:ascii="Arial" w:cs="Arial" w:eastAsia="Arial" w:hAnsi="Arial"/>
                <w:sz w:val="18"/>
                <w:szCs w:val="18"/>
                <w:color w:val="auto"/>
              </w:rPr>
              <w:t>At December 31, 2018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auto"/>
            </w:tcBorders>
            <w:vMerge w:val="restart"/>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5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Obligations of U.S. Government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39,930,052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40,625,915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tcPr>
          <w:p>
            <w:pPr>
              <w:spacing w:after="0" w:line="200" w:lineRule="exact"/>
              <w:rPr>
                <w:sz w:val="20"/>
                <w:szCs w:val="20"/>
                <w:color w:val="auto"/>
              </w:rPr>
            </w:pPr>
            <w:r>
              <w:rPr>
                <w:rFonts w:ascii="Arial" w:cs="Arial" w:eastAsia="Arial" w:hAnsi="Arial"/>
                <w:sz w:val="18"/>
                <w:szCs w:val="18"/>
                <w:color w:val="auto"/>
                <w:w w:val="94"/>
              </w:rPr>
              <w:t>Obligations of States and Political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80" w:type="dxa"/>
            <w:vAlign w:val="bottom"/>
            <w:gridSpan w:val="3"/>
          </w:tcPr>
          <w:p>
            <w:pPr>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1,791,257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2,889,517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4,680,774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61,090,431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1,189,588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11,767,349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3,704,137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72,857,780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tcPr>
          <w:p>
            <w:pPr>
              <w:spacing w:after="0" w:line="200" w:lineRule="exact"/>
              <w:rPr>
                <w:sz w:val="20"/>
                <w:szCs w:val="20"/>
                <w:color w:val="auto"/>
              </w:rPr>
            </w:pPr>
            <w:r>
              <w:rPr>
                <w:rFonts w:ascii="Arial" w:cs="Arial" w:eastAsia="Arial" w:hAnsi="Arial"/>
                <w:sz w:val="18"/>
                <w:szCs w:val="18"/>
                <w:color w:val="auto"/>
                <w:w w:val="94"/>
              </w:rPr>
              <w:t>Mortgage and other asset-backed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80" w:type="dxa"/>
            <w:vAlign w:val="bottom"/>
            <w:gridSpan w:val="3"/>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1,705,296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228,968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2,690,065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308,864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4,395,361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Total unrealized losses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2,616,732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65,372,847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2,240,463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57,276,983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4,857,195</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122,649,830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560" w:type="dxa"/>
            <w:vAlign w:val="bottom"/>
            <w:gridSpan w:val="2"/>
          </w:tcPr>
          <w:p>
            <w:pPr>
              <w:spacing w:after="0" w:line="174" w:lineRule="exact"/>
              <w:rPr>
                <w:sz w:val="20"/>
                <w:szCs w:val="20"/>
                <w:color w:val="auto"/>
              </w:rPr>
            </w:pPr>
            <w:r>
              <w:rPr>
                <w:rFonts w:ascii="Arial" w:cs="Arial" w:eastAsia="Arial" w:hAnsi="Arial"/>
                <w:sz w:val="18"/>
                <w:szCs w:val="18"/>
                <w:color w:val="auto"/>
              </w:rPr>
              <w:t>At December 31, 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560" w:type="dxa"/>
            <w:vAlign w:val="bottom"/>
            <w:gridSpan w:val="2"/>
          </w:tcPr>
          <w:p>
            <w:pPr>
              <w:spacing w:after="0" w:line="200" w:lineRule="exact"/>
              <w:rPr>
                <w:sz w:val="20"/>
                <w:szCs w:val="20"/>
                <w:color w:val="auto"/>
              </w:rPr>
            </w:pPr>
            <w:r>
              <w:rPr>
                <w:rFonts w:ascii="Arial" w:cs="Arial" w:eastAsia="Arial" w:hAnsi="Arial"/>
                <w:sz w:val="18"/>
                <w:szCs w:val="18"/>
                <w:color w:val="auto"/>
              </w:rPr>
              <w:t>U.S. Treasury Securities and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80" w:type="dxa"/>
            <w:vAlign w:val="bottom"/>
            <w:gridSpan w:val="3"/>
          </w:tcPr>
          <w:p>
            <w:pPr>
              <w:spacing w:after="0"/>
              <w:rPr>
                <w:sz w:val="20"/>
                <w:szCs w:val="20"/>
                <w:color w:val="auto"/>
              </w:rPr>
            </w:pPr>
            <w:r>
              <w:rPr>
                <w:rFonts w:ascii="Arial" w:cs="Arial" w:eastAsia="Arial" w:hAnsi="Arial"/>
                <w:sz w:val="18"/>
                <w:szCs w:val="18"/>
                <w:color w:val="auto"/>
                <w:w w:val="98"/>
              </w:rPr>
              <w:t>Obligations  of U.S. Government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80" w:type="dxa"/>
            <w:vAlign w:val="bottom"/>
            <w:gridSpan w:val="3"/>
          </w:tcPr>
          <w:p>
            <w:pPr>
              <w:spacing w:after="0"/>
              <w:rPr>
                <w:sz w:val="20"/>
                <w:szCs w:val="20"/>
                <w:color w:val="auto"/>
              </w:rPr>
            </w:pPr>
            <w:r>
              <w:rPr>
                <w:rFonts w:ascii="Arial" w:cs="Arial" w:eastAsia="Arial" w:hAnsi="Arial"/>
                <w:sz w:val="18"/>
                <w:szCs w:val="18"/>
                <w:color w:val="auto"/>
              </w:rPr>
              <w:t>Agencies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51,606,699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643,380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52,250,079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Obligations of States and Political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Subdivisions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2,225,021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2,439,903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167,786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11,551,865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13,193,258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1,007,504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24,745,123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Mortgage and other asset-backed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2,516,660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1,676,494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4,193,154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757,039</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65,901,527</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1,063,223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17,738,153</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1,820,262</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83,639,680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361 securities with fair value of 96.2% of amortized cost at December 31, 2018. There were 141 securities with fair value of 97.9% of amortized cost at December 31, 2017. During the years ended December 31, 2018 and 2017, an other than temporary decline in fair value resulted in the recognition of credit losses on fixed maturity securities of $-0- and $493,371, respectively.</w:t>
      </w:r>
    </w:p>
    <w:p>
      <w:pPr>
        <w:spacing w:after="0" w:line="23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ectPr>
          <w:pgSz w:w="11900" w:h="16838" w:orient="portrait"/>
          <w:cols w:equalWidth="0" w:num="1">
            <w:col w:w="11420"/>
          </w:cols>
          <w:pgMar w:left="240" w:top="125"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amortized cost and estimated fair value of fixed maturity securities at December 31, 2018, by contractual maturity, are shown below. Expected maturities may differ from contractual maturities because certain borrowers may have the right to call or prepay obligations with or without call or prepayment penalties.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3"/>
              </w:rPr>
              <w:t>Amortized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8"/>
                <w:szCs w:val="18"/>
                <w:color w:val="auto"/>
              </w:rPr>
              <w:t>Held to Maturity:</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in 1 year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17,363,658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17,513,419</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Due in 2-5 years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66,215,222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66,479,844</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in 5-10 years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66,450,299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65,793,696</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Due in more than 10 years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66,587,601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69,586,644</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15,358,746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15,277,280</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Redeemable preferred stock</w:t>
            </w:r>
          </w:p>
        </w:tc>
        <w:tc>
          <w:tcPr>
            <w:tcW w:w="2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99,975</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4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held to maturity</w:t>
            </w:r>
          </w:p>
        </w:tc>
        <w:tc>
          <w:tcPr>
            <w:tcW w:w="2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232,078,723</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234,750,858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member of the Federal Home Loan Bank of Des Moines (“FHLB”). The Company currently has deposited a total of $50,000,000, par value, of United States Treasury fixed maturity securities with the FHLB. These securities will generate interest income for the Company and will be available to use as collateral on any cash borrowings from the FHLB. As of December 31, 2018, the Company owed $46,000,000 to the FHLB. This amount owed was paid in January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tables summarize unrealized losses on equity securities that were carried at estimated fair value based on quoted trading prices at December 31, 2017. The unrealized losses were primarily the result of decreases in fair value in the retail, industrial and energy sectors. The tables set forth unrealized losses by duration and number of investment positions, together with the fair value of the related equity securities available for sale in a loss position:</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Arial" w:cs="Arial" w:eastAsia="Arial" w:hAnsi="Arial"/>
                <w:sz w:val="18"/>
                <w:szCs w:val="18"/>
                <w:color w:val="auto"/>
                <w:w w:val="89"/>
              </w:rPr>
              <w:t>Losses for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31"/>
              <w:spacing w:after="0"/>
              <w:rPr>
                <w:sz w:val="20"/>
                <w:szCs w:val="20"/>
                <w:color w:val="auto"/>
              </w:rPr>
            </w:pPr>
            <w:r>
              <w:rPr>
                <w:rFonts w:ascii="Arial" w:cs="Arial" w:eastAsia="Arial" w:hAnsi="Arial"/>
                <w:sz w:val="18"/>
                <w:szCs w:val="18"/>
                <w:color w:val="auto"/>
                <w:w w:val="89"/>
              </w:rPr>
              <w:t>Losses for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31"/>
              <w:spacing w:after="0"/>
              <w:rPr>
                <w:sz w:val="20"/>
                <w:szCs w:val="20"/>
                <w:color w:val="auto"/>
              </w:rPr>
            </w:pPr>
            <w:r>
              <w:rPr>
                <w:rFonts w:ascii="Arial" w:cs="Arial" w:eastAsia="Arial" w:hAnsi="Arial"/>
                <w:sz w:val="18"/>
                <w:szCs w:val="18"/>
                <w:color w:val="auto"/>
                <w:w w:val="87"/>
              </w:rPr>
              <w:t>Less than</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No.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31"/>
              <w:spacing w:after="0"/>
              <w:rPr>
                <w:sz w:val="20"/>
                <w:szCs w:val="20"/>
                <w:color w:val="auto"/>
              </w:rPr>
            </w:pPr>
            <w:r>
              <w:rPr>
                <w:rFonts w:ascii="Arial" w:cs="Arial" w:eastAsia="Arial" w:hAnsi="Arial"/>
                <w:sz w:val="18"/>
                <w:szCs w:val="18"/>
                <w:color w:val="auto"/>
                <w:w w:val="91"/>
              </w:rPr>
              <w:t>More than</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71"/>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31"/>
              <w:spacing w:after="0"/>
              <w:rPr>
                <w:sz w:val="20"/>
                <w:szCs w:val="20"/>
                <w:color w:val="auto"/>
              </w:rPr>
            </w:pPr>
            <w:r>
              <w:rPr>
                <w:rFonts w:ascii="Arial" w:cs="Arial" w:eastAsia="Arial" w:hAnsi="Arial"/>
                <w:sz w:val="18"/>
                <w:szCs w:val="18"/>
                <w:color w:val="auto"/>
                <w:w w:val="91"/>
              </w:rPr>
              <w:t>Twelve</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1"/>
              <w:spacing w:after="0"/>
              <w:rPr>
                <w:sz w:val="20"/>
                <w:szCs w:val="20"/>
                <w:color w:val="auto"/>
              </w:rPr>
            </w:pPr>
            <w:r>
              <w:rPr>
                <w:rFonts w:ascii="Arial" w:cs="Arial" w:eastAsia="Arial" w:hAnsi="Arial"/>
                <w:sz w:val="18"/>
                <w:szCs w:val="18"/>
                <w:color w:val="auto"/>
                <w:w w:val="91"/>
              </w:rPr>
              <w:t>Twelve</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1"/>
              </w:rPr>
              <w:t>Months</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Positions</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1"/>
              </w:rPr>
              <w:t>Months</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Positions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4"/>
              </w:rPr>
              <w:t>Losses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gridSpan w:val="3"/>
          </w:tcPr>
          <w:p>
            <w:pPr>
              <w:spacing w:after="0" w:line="174" w:lineRule="exact"/>
              <w:rPr>
                <w:sz w:val="20"/>
                <w:szCs w:val="20"/>
                <w:color w:val="auto"/>
              </w:rPr>
            </w:pPr>
            <w:r>
              <w:rPr>
                <w:rFonts w:ascii="Arial" w:cs="Arial" w:eastAsia="Arial" w:hAnsi="Arial"/>
                <w:sz w:val="18"/>
                <w:szCs w:val="18"/>
                <w:color w:val="auto"/>
              </w:rPr>
              <w:t>At December 31, 2017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Total unrealized losses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213,097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419,572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632,669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20" w:type="dxa"/>
            <w:vAlign w:val="bottom"/>
            <w:vMerge w:val="continue"/>
          </w:tcPr>
          <w:p>
            <w:pPr>
              <w:spacing w:after="0"/>
              <w:rPr>
                <w:sz w:val="21"/>
                <w:szCs w:val="21"/>
                <w:color w:val="auto"/>
              </w:rPr>
            </w:pPr>
          </w:p>
        </w:tc>
        <w:tc>
          <w:tcPr>
            <w:tcW w:w="37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847,718</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1,329,213</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2,176,931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average market value of the equity securities available for sale was 77.5% of the original investment as of December 31, 2017. The intent of the Company is to retain equity securities for a period of time sufficient to allow for the recovery in fair value. However, the Company may sell equity securities during a period in which the fair value has declined below the amount of the original investment. In certain situations, new factors, including changes in the business environment, can change the Company’s previous intent to continue holding a security.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for equity securities are based on quoted market prices.</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Note 1 regarding the adoption of ASU 2016-01 on January 1, 2018. The Company now recognizes the changes (unrealized gains and losses) in the fair value of these equity securities through earnings as part of gains on investments and other assets on the consolidated statements of earnings instead of other comprehensive income on the consolidated balance sheets.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 Company’s net realized gains and losses from sales, calls, and maturities, and other than temporary impairments from investments and other assets for the years ended December 31 are summarized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20" w:type="dxa"/>
            <w:vAlign w:val="bottom"/>
            <w:gridSpan w:val="2"/>
          </w:tcPr>
          <w:p>
            <w:pPr>
              <w:spacing w:after="0"/>
              <w:rPr>
                <w:sz w:val="20"/>
                <w:szCs w:val="20"/>
                <w:color w:val="auto"/>
              </w:rPr>
            </w:pPr>
            <w:r>
              <w:rPr>
                <w:rFonts w:ascii="Arial" w:cs="Arial" w:eastAsia="Arial" w:hAnsi="Arial"/>
                <w:sz w:val="18"/>
                <w:szCs w:val="18"/>
                <w:color w:val="auto"/>
              </w:rPr>
              <w:t>Fixed maturity securities held to maturity: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realized gains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522,937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Gross realized losses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(669,303)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(893,567)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than temporary impairments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(493,371)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Gross realized gains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realized losses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Other than temporary impairments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(280,968)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during 2018 on securities sold in 2018 (1)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(173,413)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Unrealized losses on securities held at the end of the period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(1,053,756)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realized gains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26,553,814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3,410,076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Gross realized losses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(1,239,100)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1"/>
              </w:rPr>
              <w:t>(5,734,648)</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23,941,179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(3,722,821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 Based on losses since the last reporting period</w:t>
      </w:r>
    </w:p>
    <w:p>
      <w:pPr>
        <w:spacing w:after="0" w:line="274"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auto"/>
        </w:rPr>
        <w:t>The net realized gains and losses on the sale of securities are recorded on the trade date, and the cost of the securities sold is determined using the specific identification method.</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 for disposals of securities classified as held to maturity was $5,808,244 and $2,932,961, for the years ended December 31, 2018 and 2017, respectively. The net realized loss related to these disposals was $268,823 and $463,892, for the years ended December 31, 2018 and 2017, respectively. Although the intent is to buy and hold a bond to maturity, the Company will sell a bond prior to maturity if conditions have changed within the entity that issued the bond to increase the risk of default to an unacceptable level.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gridSpan w:val="2"/>
          </w:tcPr>
          <w:p>
            <w:pPr>
              <w:spacing w:after="0"/>
              <w:rPr>
                <w:sz w:val="20"/>
                <w:szCs w:val="20"/>
                <w:color w:val="auto"/>
              </w:rPr>
            </w:pPr>
            <w:r>
              <w:rPr>
                <w:rFonts w:ascii="Arial" w:cs="Arial" w:eastAsia="Arial" w:hAnsi="Arial"/>
                <w:sz w:val="18"/>
                <w:szCs w:val="18"/>
                <w:color w:val="auto"/>
                <w:w w:val="99"/>
              </w:rPr>
              <w:t>Major categories of net investment income for the years ended December 31, are as follows:</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11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740" w:type="dxa"/>
            <w:vAlign w:val="bottom"/>
            <w:gridSpan w:val="2"/>
          </w:tcPr>
          <w:p>
            <w:pPr>
              <w:jc w:val="right"/>
              <w:ind w:right="2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1020" w:type="dxa"/>
            <w:vAlign w:val="bottom"/>
            <w:gridSpan w:val="2"/>
          </w:tcPr>
          <w:p>
            <w:pPr>
              <w:jc w:val="right"/>
              <w:ind w:right="21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7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$ 10,041,349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$ 10,626,400</w:t>
            </w:r>
          </w:p>
        </w:tc>
        <w:tc>
          <w:tcPr>
            <w:tcW w:w="80" w:type="dxa"/>
            <w:vAlign w:val="bottom"/>
            <w:shd w:val="clear" w:color="auto" w:fill="CCEEFF"/>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securities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233,555</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245,490</w:t>
            </w:r>
          </w:p>
        </w:tc>
        <w:tc>
          <w:tcPr>
            <w:tcW w:w="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18,716,226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12,749,000</w:t>
            </w:r>
          </w:p>
        </w:tc>
        <w:tc>
          <w:tcPr>
            <w:tcW w:w="80" w:type="dxa"/>
            <w:vAlign w:val="bottom"/>
            <w:shd w:val="clear" w:color="auto" w:fill="CCEEFF"/>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8,375,257</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11,453,525</w:t>
            </w:r>
          </w:p>
        </w:tc>
        <w:tc>
          <w:tcPr>
            <w:tcW w:w="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488,561</w:t>
            </w:r>
          </w:p>
        </w:tc>
        <w:tc>
          <w:tcPr>
            <w:tcW w:w="80" w:type="dxa"/>
            <w:vAlign w:val="bottom"/>
            <w:shd w:val="clear" w:color="auto" w:fill="CCEEFF"/>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Insurance assignments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14,771,336</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13,289,818</w:t>
            </w:r>
          </w:p>
        </w:tc>
        <w:tc>
          <w:tcPr>
            <w:tcW w:w="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105,218</w:t>
            </w:r>
          </w:p>
        </w:tc>
        <w:tc>
          <w:tcPr>
            <w:tcW w:w="80" w:type="dxa"/>
            <w:vAlign w:val="bottom"/>
            <w:shd w:val="clear" w:color="auto" w:fill="CCEEFF"/>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1,264,611</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543,528</w:t>
            </w:r>
          </w:p>
        </w:tc>
        <w:tc>
          <w:tcPr>
            <w:tcW w:w="8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7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54,039,853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49,501,540</w:t>
            </w:r>
          </w:p>
        </w:tc>
        <w:tc>
          <w:tcPr>
            <w:tcW w:w="80" w:type="dxa"/>
            <w:vAlign w:val="bottom"/>
            <w:shd w:val="clear" w:color="auto" w:fill="CCEEFF"/>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Investment expenses</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(14,126,586)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(14,438,572)</w:t>
            </w:r>
          </w:p>
        </w:tc>
      </w:tr>
      <w:tr>
        <w:trPr>
          <w:trHeight w:val="254"/>
        </w:trPr>
        <w:tc>
          <w:tcPr>
            <w:tcW w:w="116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$ 39,913,267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$ 35,062,968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Net investment income includes net investment income earned by the restricted assets of the cemeteries and mortuaries of $386,659 and $501,227 for the years ended December 31, 2018 and 2017,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 received under short-term leases.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Securities on deposit for regulatory authorities as required by law amounted to $9,220,520 and $9,264,977 at December 31, 2018 and 2017, respectively. The restricted securities are included in various assets under investments on the accompanying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w:t>
      </w:r>
    </w:p>
    <w:p>
      <w:pPr>
        <w:spacing w:after="0" w:line="2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continues to strategically deploy resources into real estate to match the income and yield durations of its primary obligations. The sources for these real estate assets come through its various business segments in the form of acquisition, development and mortgage foreclosures. The Company reports real estate held for investment pursuant to the accounting policy discussed in Note 1 of the 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currently owns and operates 11 commercial properties in 4 states. These properties include industrial warehouses, office buildings, retail centers, a restaurant, and includes the redevelopment and expansion of its corporate campus (“Center53”) in Salt Lake City, Utah. The Company also holds undeveloped land that may be used for future commercial developments. The Company does use debt in strategic cases to leverage established yields or to acquire a higher quality or different class of asset.</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aggregated net ending balance of commercial real estate that serves as collateral for bank borrowings was approximately $84,880,000 and $64,704,000 as of December 31, 2018 and 2017, respectively. The associated bank loan carrying values totaled approximately $52,237,000 and $40,994,000 as of December 31, 2018 and 2017, respectively.</w:t>
      </w:r>
    </w:p>
    <w:p>
      <w:pPr>
        <w:spacing w:after="0" w:line="238"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During the years ended December 31, 2018 and 2017, the Company recorded impairment losses on commercial real estate held for investment of $-0- and $5,350,967, respectively. These impairment losses are included in gains (losses) on investment and other assets on the consolidated statements of earnings.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in commercial real estate for the years ended December 31, is summarized as follows: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8"/>
                <w:szCs w:val="18"/>
                <w:color w:val="auto"/>
              </w:rPr>
              <w:t>Net Ending Balance</w:t>
            </w:r>
          </w:p>
        </w:tc>
        <w:tc>
          <w:tcPr>
            <w:tcW w:w="48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color w:val="auto"/>
              </w:rPr>
              <w:t>Total Square Footage</w:t>
            </w:r>
          </w:p>
        </w:tc>
        <w:tc>
          <w:tcPr>
            <w:tcW w:w="6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9"/>
                <w:szCs w:val="19"/>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color w:val="auto"/>
              </w:rPr>
              <w:t>2018</w:t>
            </w:r>
          </w:p>
        </w:tc>
        <w:tc>
          <w:tcPr>
            <w:tcW w:w="1320" w:type="dxa"/>
            <w:vAlign w:val="bottom"/>
            <w:gridSpan w:val="3"/>
          </w:tcPr>
          <w:p>
            <w:pPr>
              <w:jc w:val="right"/>
              <w:ind w:right="291"/>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Arkansas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96,169</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Kansas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6,861,898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222,679</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467,694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493,197</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7,063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3,329,948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3,725,039</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33,821</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New Mexico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81,080,251</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61,108,384</w:t>
            </w:r>
          </w:p>
        </w:tc>
        <w:tc>
          <w:tcPr>
            <w:tcW w:w="4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502,129</w:t>
            </w:r>
          </w:p>
        </w:tc>
        <w:tc>
          <w:tcPr>
            <w:tcW w:w="30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433,244</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92,050,791</w:t>
            </w:r>
          </w:p>
        </w:tc>
        <w:tc>
          <w:tcPr>
            <w:tcW w:w="360" w:type="dxa"/>
            <w:vAlign w:val="bottom"/>
          </w:tcPr>
          <w:p>
            <w:pPr>
              <w:spacing w:after="0"/>
              <w:rPr>
                <w:sz w:val="18"/>
                <w:szCs w:val="18"/>
                <w:color w:val="auto"/>
              </w:rPr>
            </w:pPr>
          </w:p>
        </w:tc>
        <w:tc>
          <w:tcPr>
            <w:tcW w:w="220" w:type="dxa"/>
            <w:vAlign w:val="bottom"/>
            <w:gridSpan w:val="2"/>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72,968,789</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765,692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700,007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left="1400" w:hanging="252"/>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Vacant Land</w:t>
      </w:r>
    </w:p>
    <w:p>
      <w:pPr>
        <w:spacing w:after="0" w:line="19" w:lineRule="exact"/>
        <w:rPr>
          <w:rFonts w:ascii="Arial" w:cs="Arial" w:eastAsia="Arial" w:hAnsi="Arial"/>
          <w:sz w:val="18"/>
          <w:szCs w:val="18"/>
          <w:color w:val="auto"/>
        </w:rPr>
      </w:pPr>
    </w:p>
    <w:p>
      <w:pPr>
        <w:ind w:left="1400" w:hanging="252"/>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53rd Center completed in July 2017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SNRE manages 78 residential properties in 7 states across the United States.</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net ending balance of residential real estate that serves as collateral for a bank borrowing was approximately $-0- and $34,431,000, as of December 31, 2018 and 2017, respectively. The associated bank loan carrying value was approximately $-0- and $26,773,000 as of December 31, 2018 and 2017, respectively. This bank borrowing related to the Company’s Dry Creek at East Village apartment complex which was sold in March 2018.</w:t>
      </w:r>
    </w:p>
    <w:p>
      <w:pPr>
        <w:spacing w:after="0" w:line="20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During the years ended December 31, 2018 and 2017, the Company recorded impairment losses on residential real estate held for investment of $486,457 and $114,052, respectively. These impairment losses are included in gains (losses) on investment and other assets on the consolidated statements of earnings.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is approximately $23,532,000 and $33,372,000 as of December 31, 2018 and 2017,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in residential real estate for the years ended December 31, is summarized as follows: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Net Ending Balance</w:t>
            </w:r>
          </w:p>
        </w:tc>
        <w:tc>
          <w:tcPr>
            <w:tcW w:w="8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217,105</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California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2,644,321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5,463,878</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6,534,277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7,000,684</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Hawaii</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712,286</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Oklahoma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Texas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139,174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509,011</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19,598,218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54,113,272</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Washington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476,181</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286,181</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29,507,431</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68,329,917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Currently, the Company occupies nearly 70,000 square feet, or 10% of the overall commercial real estate holdings.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real estate owned and occupied by the Company is summarized as follows: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Square</w:t>
            </w: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Footage</w:t>
            </w: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Occupied by</w:t>
            </w: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8"/>
              </w:rPr>
              <w:t>Approximate</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the</w:t>
            </w:r>
          </w:p>
        </w:tc>
      </w:tr>
      <w:tr>
        <w:trPr>
          <w:trHeight w:val="235"/>
        </w:trPr>
        <w:tc>
          <w:tcPr>
            <w:tcW w:w="372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Business Segment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Square Footage</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Company</w:t>
            </w:r>
          </w:p>
        </w:tc>
      </w:tr>
      <w:tr>
        <w:trPr>
          <w:trHeight w:val="199"/>
        </w:trPr>
        <w:tc>
          <w:tcPr>
            <w:tcW w:w="20" w:type="dxa"/>
            <w:vAlign w:val="bottom"/>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3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3"/>
              </w:rPr>
              <w:t>Corporate Offices, Life Insurance and</w:t>
            </w: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5300</w:t>
            </w: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360 West, Salt Lake City, UT (1)</w:t>
            </w: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Cemetery/Mortuary Operations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5201</w:t>
            </w:r>
          </w:p>
        </w:tc>
        <w:tc>
          <w:tcPr>
            <w:tcW w:w="3340" w:type="dxa"/>
            <w:vAlign w:val="bottom"/>
          </w:tcPr>
          <w:p>
            <w:pPr>
              <w:ind w:left="20"/>
              <w:spacing w:after="0"/>
              <w:rPr>
                <w:sz w:val="20"/>
                <w:szCs w:val="20"/>
                <w:color w:val="auto"/>
              </w:rPr>
            </w:pPr>
            <w:r>
              <w:rPr>
                <w:rFonts w:ascii="Arial" w:cs="Arial" w:eastAsia="Arial" w:hAnsi="Arial"/>
                <w:sz w:val="18"/>
                <w:szCs w:val="18"/>
                <w:color w:val="auto"/>
              </w:rPr>
              <w:t>Green Street, Salt Lake City, UT</w:t>
            </w: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Mortgage Operations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36,899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4"/>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1044</w:t>
            </w: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River Oaks Dr., Flowood, MS</w:t>
            </w: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Life Insurance Operations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121 West Election Road, Draper, UT</w:t>
            </w: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Mortgage Sales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78,978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This asset is included in property and equipment on the consolidated balance sheets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reports mortgage loans held for investment pursuant to the accounting policy discussed in Note 1 of the Notes to Consolidated Financial Statements.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Mortgage loans consist of first and second mortgages. The mortgage loans bear interest at rates ranging from 2.0 % to 10.5%, maturity dates range from three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December 31, 2018, the Company had 48%, 14%, 13%, 6% and 6% of its mortgage loans from borrowers located in the states of Utah, Florida, Texas, California and Nevada, respectively.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Company establishes a valuation allowance for credit losses in its portfolio. The following is a summary of the allowance for loan losses as a contra-asset account for the periods presented:</w:t>
      </w: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Allowance for Credit Losses and Recorded Investment in Mortgage Loans Held for Investment</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Residential</w:t>
            </w:r>
          </w:p>
        </w:tc>
        <w:tc>
          <w:tcPr>
            <w:tcW w:w="10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200" w:type="dxa"/>
            <w:vAlign w:val="bottom"/>
            <w:gridSpan w:val="3"/>
          </w:tcPr>
          <w:p>
            <w:pPr>
              <w:jc w:val="right"/>
              <w:ind w:right="3840"/>
              <w:spacing w:after="0" w:line="174" w:lineRule="exact"/>
              <w:rPr>
                <w:sz w:val="20"/>
                <w:szCs w:val="20"/>
                <w:color w:val="auto"/>
              </w:rPr>
            </w:pPr>
            <w:r>
              <w:rPr>
                <w:rFonts w:ascii="Arial" w:cs="Arial" w:eastAsia="Arial" w:hAnsi="Arial"/>
                <w:sz w:val="18"/>
                <w:szCs w:val="18"/>
                <w:b w:val="1"/>
                <w:bCs w:val="1"/>
                <w:color w:val="auto"/>
                <w:w w:val="84"/>
              </w:rPr>
              <w:t>2018</w:t>
            </w:r>
          </w:p>
        </w:tc>
        <w:tc>
          <w:tcPr>
            <w:tcW w:w="6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1,546,447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Charge-offs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Provision</w:t>
            </w: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(415,099)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(415,099)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1,125,623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35,220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1,347,972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74,185</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1,051,438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35,220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1,273,787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Mortgage loans: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27,785,927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89,935,600</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71,366,544</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189,088,071</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2,939,651</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3,638,824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27,589,745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86,995,949</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70,863,553</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185,449,247</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180" w:type="dxa"/>
            <w:vAlign w:val="bottom"/>
            <w:gridSpan w:val="2"/>
            <w:shd w:val="clear" w:color="auto" w:fill="CCEEFF"/>
          </w:tcPr>
          <w:p>
            <w:pPr>
              <w:jc w:val="right"/>
              <w:ind w:right="3840"/>
              <w:spacing w:after="0" w:line="174" w:lineRule="exact"/>
              <w:rPr>
                <w:sz w:val="20"/>
                <w:szCs w:val="20"/>
                <w:color w:val="auto"/>
              </w:rPr>
            </w:pPr>
            <w:r>
              <w:rPr>
                <w:rFonts w:ascii="Arial" w:cs="Arial" w:eastAsia="Arial" w:hAnsi="Arial"/>
                <w:sz w:val="18"/>
                <w:szCs w:val="18"/>
                <w:b w:val="1"/>
                <w:bCs w:val="1"/>
                <w:color w:val="auto"/>
                <w:w w:val="79"/>
              </w:rPr>
              <w:t>2017</w:t>
            </w:r>
          </w:p>
        </w:tc>
        <w:tc>
          <w:tcPr>
            <w:tcW w:w="6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Allowance for credit losses: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1,461,540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1,748,783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Charge-offs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(351,357)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(64,894)</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(416,251)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Provision</w:t>
            </w:r>
          </w:p>
        </w:tc>
        <w:tc>
          <w:tcPr>
            <w:tcW w:w="6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436,264</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436,264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1,546,447</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35,220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1,768,796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237,560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237,560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1,308,887</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35,220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1,531,236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Mortgage loans: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54,954,865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102,527,111</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50,157,533</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207,639,509</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4,923,552</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461,834</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5,385,386</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54,954,865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97,603,559</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49,695,699</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202,254,123</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ind w:left="300"/>
              <w:spacing w:after="0"/>
              <w:rPr>
                <w:sz w:val="20"/>
                <w:szCs w:val="20"/>
                <w:color w:val="auto"/>
              </w:rPr>
            </w:pPr>
            <w:r>
              <w:rPr>
                <w:rFonts w:ascii="Arial" w:cs="Arial" w:eastAsia="Arial" w:hAnsi="Arial"/>
                <w:sz w:val="14"/>
                <w:szCs w:val="14"/>
                <w:color w:val="auto"/>
              </w:rPr>
              <w:t>59</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280" w:hanging="273"/>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aging of mortgage loans held for investment for the periods presented.</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Age Analysis of Past Due Mortgage Loans Held for Investment</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In Process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Greater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Total</w:t>
            </w:r>
          </w:p>
        </w:tc>
        <w:tc>
          <w:tcPr>
            <w:tcW w:w="6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Allowance</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deferred</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30-59 Days</w:t>
            </w:r>
          </w:p>
        </w:tc>
        <w:tc>
          <w:tcPr>
            <w:tcW w:w="1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5"/>
              </w:rPr>
              <w:t>60-89 Days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Than</w:t>
            </w:r>
          </w:p>
        </w:tc>
        <w:tc>
          <w:tcPr>
            <w:tcW w:w="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Foreclosure</w:t>
            </w:r>
          </w:p>
        </w:tc>
        <w:tc>
          <w:tcPr>
            <w:tcW w:w="10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Total Past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Mortgage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for Loan</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loan fees,</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Mortgage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w w:val="86"/>
              </w:rPr>
              <w:t>Past Due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Past Due</w:t>
            </w:r>
          </w:p>
        </w:tc>
        <w:tc>
          <w:tcPr>
            <w:tcW w:w="60" w:type="dxa"/>
            <w:vAlign w:val="bottom"/>
          </w:tcPr>
          <w:p>
            <w:pPr>
              <w:spacing w:after="0"/>
              <w:rPr>
                <w:sz w:val="20"/>
                <w:szCs w:val="20"/>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90 Days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31"/>
              <w:spacing w:after="0"/>
              <w:rPr>
                <w:sz w:val="20"/>
                <w:szCs w:val="20"/>
                <w:color w:val="auto"/>
              </w:rPr>
            </w:pPr>
            <w:r>
              <w:rPr>
                <w:rFonts w:ascii="Arial" w:cs="Arial" w:eastAsia="Arial" w:hAnsi="Arial"/>
                <w:sz w:val="18"/>
                <w:szCs w:val="18"/>
                <w:color w:val="auto"/>
                <w:w w:val="87"/>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Due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net</w:t>
            </w:r>
          </w:p>
        </w:tc>
        <w:tc>
          <w:tcPr>
            <w:tcW w:w="10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174"/>
        </w:trPr>
        <w:tc>
          <w:tcPr>
            <w:tcW w:w="360" w:type="dxa"/>
            <w:vAlign w:val="bottom"/>
            <w:gridSpan w:val="2"/>
          </w:tcPr>
          <w:p>
            <w:pPr>
              <w:spacing w:after="0" w:line="174" w:lineRule="exact"/>
              <w:rPr>
                <w:sz w:val="20"/>
                <w:szCs w:val="20"/>
                <w:color w:val="auto"/>
              </w:rPr>
            </w:pPr>
            <w:r>
              <w:rPr>
                <w:rFonts w:ascii="Arial" w:cs="Arial" w:eastAsia="Arial" w:hAnsi="Arial"/>
                <w:sz w:val="18"/>
                <w:szCs w:val="18"/>
                <w:b w:val="1"/>
                <w:bCs w:val="1"/>
                <w:color w:val="auto"/>
                <w:w w:val="84"/>
              </w:rPr>
              <w:t>2018</w:t>
            </w:r>
          </w:p>
        </w:tc>
        <w:tc>
          <w:tcPr>
            <w:tcW w:w="6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4,588,424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196,182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4,784,606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23,001,321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27,785,927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27,630,801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9,899,380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2,312,252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1,715,362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1,224,289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15,151,283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74,784,317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89,935,600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(1,125,623)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(862,411)</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87,947,566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Construction</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502,991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502,991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70,863,553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71,366,544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(35,220)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(444,622)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70,886,702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14,487,804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2,312,252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1,911,544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1,727,280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20,438,880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168,649,191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189,088,071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(1,347,972)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(1,275,030)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186,465,069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6"/>
                <w:szCs w:val="16"/>
                <w:color w:val="auto"/>
              </w:rPr>
            </w:pPr>
          </w:p>
        </w:tc>
        <w:tc>
          <w:tcPr>
            <w:tcW w:w="340" w:type="dxa"/>
            <w:vAlign w:val="bottom"/>
            <w:tcBorders>
              <w:bottom w:val="single" w:sz="8" w:color="auto"/>
            </w:tcBorders>
            <w:shd w:val="clear" w:color="auto" w:fill="CCEEFF"/>
          </w:tcPr>
          <w:p>
            <w:pPr>
              <w:spacing w:after="0" w:line="174" w:lineRule="exact"/>
              <w:rPr>
                <w:sz w:val="20"/>
                <w:szCs w:val="20"/>
                <w:color w:val="auto"/>
              </w:rPr>
            </w:pPr>
            <w:r>
              <w:rPr>
                <w:rFonts w:ascii="Arial" w:cs="Arial" w:eastAsia="Arial" w:hAnsi="Arial"/>
                <w:sz w:val="18"/>
                <w:szCs w:val="18"/>
                <w:b w:val="1"/>
                <w:bCs w:val="1"/>
                <w:color w:val="auto"/>
                <w:w w:val="79"/>
              </w:rPr>
              <w:t>2017</w:t>
            </w: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Commercial</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7"/>
              </w:rPr>
              <w:t>1,943,495</w:t>
            </w:r>
          </w:p>
        </w:tc>
        <w:tc>
          <w:tcPr>
            <w:tcW w:w="220" w:type="dxa"/>
            <w:vAlign w:val="bottom"/>
            <w:tcBorders>
              <w:top w:val="single" w:sz="8" w:color="CCEEFF"/>
            </w:tcBorders>
            <w:gridSpan w:val="2"/>
          </w:tcPr>
          <w:p>
            <w:pPr>
              <w:ind w:left="14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9"/>
              </w:rPr>
              <w:t>1,943,495</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97"/>
              </w:rPr>
              <w:t>53,011,370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97"/>
              </w:rPr>
              <w:t>54,954,865</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(187,129)</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(67,411)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7"/>
              </w:rPr>
              <w:t>54,700,325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6,613,479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495,347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3,591,333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1,332,219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12,032,378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90,494,733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102,527,111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(1,546,447)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(1,164,130)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99,816,534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80" w:type="dxa"/>
            <w:vAlign w:val="bottom"/>
            <w:gridSpan w:val="2"/>
          </w:tcPr>
          <w:p>
            <w:pPr>
              <w:spacing w:after="0" w:line="200" w:lineRule="exact"/>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00" w:type="dxa"/>
            <w:vAlign w:val="bottom"/>
            <w:gridSpan w:val="3"/>
          </w:tcPr>
          <w:p>
            <w:pPr>
              <w:spacing w:after="0"/>
              <w:rPr>
                <w:sz w:val="20"/>
                <w:szCs w:val="20"/>
                <w:color w:val="auto"/>
              </w:rPr>
            </w:pPr>
            <w:r>
              <w:rPr>
                <w:rFonts w:ascii="Arial" w:cs="Arial" w:eastAsia="Arial" w:hAnsi="Arial"/>
                <w:sz w:val="18"/>
                <w:szCs w:val="18"/>
                <w:color w:val="auto"/>
                <w:w w:val="96"/>
              </w:rPr>
              <w:t>Construction</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461,834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461,834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49,695,699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50,157,533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(35,220)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(428,287)</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49,694,026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8,556,974</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495,347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4,053,167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1,332,219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14,437,707</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193,201,802</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207,639,509</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(1,768,796)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(1,659,828)</w:t>
            </w: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204,210,885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4820" w:firstLine="7"/>
        <w:spacing w:after="0" w:line="270"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was not any interest income recognized on loans past due greater than 90 days or in foreclosure.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Impaired Mortgage Loans Held for Investment</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631"/>
              <w:spacing w:after="0"/>
              <w:rPr>
                <w:sz w:val="20"/>
                <w:szCs w:val="20"/>
                <w:color w:val="auto"/>
              </w:rPr>
            </w:pPr>
            <w:r>
              <w:rPr>
                <w:rFonts w:ascii="Arial" w:cs="Arial" w:eastAsia="Arial" w:hAnsi="Arial"/>
                <w:sz w:val="18"/>
                <w:szCs w:val="18"/>
                <w:color w:val="auto"/>
                <w:w w:val="98"/>
              </w:rPr>
              <w:t>Impaired Loans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740" w:type="dxa"/>
            <w:vAlign w:val="bottom"/>
            <w:gridSpan w:val="6"/>
          </w:tcPr>
          <w:p>
            <w:pPr>
              <w:jc w:val="right"/>
              <w:ind w:right="251"/>
              <w:spacing w:after="0"/>
              <w:rPr>
                <w:sz w:val="20"/>
                <w:szCs w:val="20"/>
                <w:color w:val="auto"/>
              </w:rPr>
            </w:pPr>
            <w:r>
              <w:rPr>
                <w:rFonts w:ascii="Arial" w:cs="Arial" w:eastAsia="Arial" w:hAnsi="Arial"/>
                <w:sz w:val="18"/>
                <w:szCs w:val="18"/>
                <w:color w:val="auto"/>
              </w:rPr>
              <w:t>Years Ended 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4"/>
              </w:rPr>
              <w:t>Unpaid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96"/>
              </w:rPr>
              <w:t>Interest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1"/>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w w:val="93"/>
              </w:rPr>
              <w:t>Related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98"/>
              </w:rPr>
              <w:t>Income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Investment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9"/>
              </w:rPr>
              <w:t>Allowance</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Recognized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80" w:type="dxa"/>
            <w:vAlign w:val="bottom"/>
            <w:gridSpan w:val="3"/>
          </w:tcPr>
          <w:p>
            <w:pPr>
              <w:jc w:val="right"/>
              <w:ind w:right="2720"/>
              <w:spacing w:after="0" w:line="174" w:lineRule="exact"/>
              <w:rPr>
                <w:sz w:val="20"/>
                <w:szCs w:val="20"/>
                <w:color w:val="auto"/>
              </w:rPr>
            </w:pPr>
            <w:r>
              <w:rPr>
                <w:rFonts w:ascii="Arial" w:cs="Arial" w:eastAsia="Arial" w:hAnsi="Arial"/>
                <w:sz w:val="18"/>
                <w:szCs w:val="18"/>
                <w:b w:val="1"/>
                <w:bCs w:val="1"/>
                <w:color w:val="auto"/>
                <w:w w:val="84"/>
              </w:rPr>
              <w:t>2018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80" w:type="dxa"/>
            <w:vAlign w:val="bottom"/>
            <w:gridSpan w:val="3"/>
          </w:tcPr>
          <w:p>
            <w:pPr>
              <w:spacing w:after="0"/>
              <w:rPr>
                <w:sz w:val="20"/>
                <w:szCs w:val="20"/>
                <w:color w:val="auto"/>
              </w:rPr>
            </w:pPr>
            <w:r>
              <w:rPr>
                <w:rFonts w:ascii="Arial" w:cs="Arial" w:eastAsia="Arial" w:hAnsi="Arial"/>
                <w:sz w:val="18"/>
                <w:szCs w:val="18"/>
                <w:color w:val="auto"/>
              </w:rPr>
              <w:t>With no related allowance recorded: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Residential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1,612,164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1,612,164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2,423,135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Commercial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1,327,487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1,543,416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Residential construction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Residential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2,939,651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2,939,651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3,966,551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060" w:type="dxa"/>
            <w:vAlign w:val="bottom"/>
            <w:gridSpan w:val="2"/>
            <w:shd w:val="clear" w:color="auto" w:fill="CCEEFF"/>
          </w:tcPr>
          <w:p>
            <w:pPr>
              <w:jc w:val="right"/>
              <w:ind w:right="2720"/>
              <w:spacing w:after="0" w:line="174" w:lineRule="exact"/>
              <w:rPr>
                <w:sz w:val="20"/>
                <w:szCs w:val="20"/>
                <w:color w:val="auto"/>
              </w:rPr>
            </w:pPr>
            <w:r>
              <w:rPr>
                <w:rFonts w:ascii="Arial" w:cs="Arial" w:eastAsia="Arial" w:hAnsi="Arial"/>
                <w:sz w:val="18"/>
                <w:szCs w:val="18"/>
                <w:b w:val="1"/>
                <w:bCs w:val="1"/>
                <w:color w:val="auto"/>
                <w:w w:val="79"/>
              </w:rPr>
              <w:t>2017</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Residential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3,322,552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3,322,552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3,290,094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Commercial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1,350,115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Residential construction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Residential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4,923,552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4,923,552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4,640,209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 Profile Based on Performance Status</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performing and non-performing mortgage loans held for investment were as follows:</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Mortgage Loans Held for Investment Credit Exposure</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Credit Risk Profile Based on Payment Activity</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Years Ended December 31</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0"/>
                <w:szCs w:val="20"/>
                <w:color w:val="auto"/>
              </w:rPr>
            </w:pPr>
          </w:p>
        </w:tc>
        <w:tc>
          <w:tcPr>
            <w:tcW w:w="19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Residential Construction</w:t>
            </w:r>
          </w:p>
        </w:tc>
        <w:tc>
          <w:tcPr>
            <w:tcW w:w="12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76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Performing $27,589,745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$54,954,865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$86,995,949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97,603,559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$70,863,553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$49,695,699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$185,449,247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$202,254,123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 w:type="dxa"/>
            <w:vAlign w:val="bottom"/>
          </w:tcPr>
          <w:p>
            <w:pPr>
              <w:spacing w:after="0" w:line="200" w:lineRule="exact"/>
              <w:rPr>
                <w:sz w:val="20"/>
                <w:szCs w:val="20"/>
                <w:color w:val="auto"/>
              </w:rPr>
            </w:pPr>
            <w:r>
              <w:rPr>
                <w:rFonts w:ascii="Arial" w:cs="Arial" w:eastAsia="Arial" w:hAnsi="Arial"/>
                <w:sz w:val="18"/>
                <w:szCs w:val="18"/>
                <w:color w:val="auto"/>
              </w:rPr>
              <w:t>Non-</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80" w:type="dxa"/>
            <w:vAlign w:val="bottom"/>
            <w:gridSpan w:val="2"/>
          </w:tcPr>
          <w:p>
            <w:pPr>
              <w:spacing w:after="0"/>
              <w:rPr>
                <w:sz w:val="20"/>
                <w:szCs w:val="20"/>
                <w:color w:val="auto"/>
              </w:rPr>
            </w:pPr>
            <w:r>
              <w:rPr>
                <w:rFonts w:ascii="Arial" w:cs="Arial" w:eastAsia="Arial" w:hAnsi="Arial"/>
                <w:sz w:val="18"/>
                <w:szCs w:val="18"/>
                <w:color w:val="auto"/>
                <w:w w:val="99"/>
              </w:rPr>
              <w:t>performing</w:t>
            </w:r>
          </w:p>
        </w:tc>
        <w:tc>
          <w:tcPr>
            <w:tcW w:w="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196,182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2,939,651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4,923,552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502,991</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461,834</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3,638,824</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27,785,927</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54,954,865</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89,935,600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102,527,111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71,366,544</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50,157,533</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189,088,071</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207,639,509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Non-Accrual Mortgage Loans Held for Investment</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Once a loan is past due 90 days, it is the policy of the Company to end the accrual of interest income on the loan and write off any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$151,000 and $204,000 as of December 31, 2018 and 2017,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mortgage loans held for investment on a non-accrual status for the periods presented.</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8"/>
                <w:szCs w:val="18"/>
                <w:color w:val="auto"/>
                <w:w w:val="90"/>
              </w:rPr>
              <w:t>Mortgage Loans on Non-</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4"/>
          </w:tcPr>
          <w:p>
            <w:pPr>
              <w:jc w:val="center"/>
              <w:ind w:right="11"/>
              <w:spacing w:after="0"/>
              <w:rPr>
                <w:sz w:val="20"/>
                <w:szCs w:val="20"/>
                <w:color w:val="auto"/>
              </w:rPr>
            </w:pPr>
            <w:r>
              <w:rPr>
                <w:rFonts w:ascii="Arial" w:cs="Arial" w:eastAsia="Arial" w:hAnsi="Arial"/>
                <w:sz w:val="18"/>
                <w:szCs w:val="18"/>
                <w:color w:val="auto"/>
                <w:w w:val="85"/>
              </w:rPr>
              <w:t>accrual Status</w:t>
            </w:r>
          </w:p>
        </w:tc>
        <w:tc>
          <w:tcPr>
            <w:tcW w:w="8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7"/>
              </w:rPr>
              <w:t>Years Ended December 31</w:t>
            </w:r>
          </w:p>
        </w:tc>
        <w:tc>
          <w:tcPr>
            <w:tcW w:w="8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2,939,651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4,923,552</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461,834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3,638,824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5,385,386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Amounts Due</w:t>
      </w:r>
    </w:p>
    <w:p>
      <w:pPr>
        <w:spacing w:after="0" w:line="27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amortized cost and contractual payments on mortgage loans held for investment by category as of December 31, 2018 are shown below. Expected principal payments may differ from contractual obligations because certain borrowers may elect to pay off mortgage obligations with or without early payment penalties.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2"/>
              </w:rPr>
              <w:t>Amounts</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Amounts</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Amounts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8"/>
              </w:rPr>
              <w:t>Due in</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Due in</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Due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6"/>
              </w:rPr>
              <w:t>1 Year</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 Years</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89,935,600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8,208,938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$ 35,797,902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$ 45,928,760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71,366,544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63,117,270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8,249,274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27,785,927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24,274,744</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805,176</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2,706,007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189,088,071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95,600,952</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44,852,352</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48,634,767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20" w:type="dxa"/>
            <w:vAlign w:val="bottom"/>
            <w:vMerge w:val="restart"/>
          </w:tcPr>
          <w:p>
            <w:pPr>
              <w:jc w:val="right"/>
              <w:ind w:right="140"/>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3"/>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right="9500" w:firstLine="7"/>
        <w:spacing w:after="0" w:line="635" w:lineRule="auto"/>
        <w:tabs>
          <w:tab w:leader="none" w:pos="30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Loans Held for Sale Fair Value Option Election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originated after July 1, 2017.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Interest income is recorded based on the contractual terms of the loan and in accordance with the Company’s policy on mortgage loans held for investment and is included in mortgage fee income on the consolidated statement of earnings. None of these loans are 90 or more days past due nor on nonaccrual status as of December 31, 2018. See Note 17 of the Notes to Consolidated Financial Statements for additional disclosures regarding loans held for sale.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As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5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$133,414,188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131,663,946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129,233,411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4,546,907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for the years ended December 31, are as follows: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27,429,237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40,434,686</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6,156,796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7,089,025</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80,416,718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108,756,613</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(404,773)</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(4,812,743)</w:t>
            </w: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3,736,209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4,180,777</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(1,148,334)</w:t>
            </w: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(1,851,187)</w:t>
            </w:r>
          </w:p>
        </w:tc>
      </w:tr>
      <w:tr>
        <w:trPr>
          <w:trHeight w:val="254"/>
        </w:trPr>
        <w:tc>
          <w:tcPr>
            <w:tcW w:w="20" w:type="dxa"/>
            <w:vAlign w:val="bottom"/>
          </w:tcPr>
          <w:p>
            <w:pPr>
              <w:spacing w:after="0"/>
              <w:rPr>
                <w:sz w:val="22"/>
                <w:szCs w:val="22"/>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116,185,853</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153,797,171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Reserve</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4"/>
          </w:tcPr>
          <w:p>
            <w:pPr>
              <w:spacing w:after="0"/>
              <w:rPr>
                <w:sz w:val="20"/>
                <w:szCs w:val="20"/>
                <w:color w:val="auto"/>
              </w:rPr>
            </w:pPr>
            <w:r>
              <w:rPr>
                <w:rFonts w:ascii="Arial" w:cs="Arial" w:eastAsia="Arial" w:hAnsi="Arial"/>
                <w:sz w:val="18"/>
                <w:szCs w:val="18"/>
                <w:color w:val="auto"/>
              </w:rPr>
              <w:t>3)  Loans Held for Sale (Continued)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8200" w:type="dxa"/>
            <w:vAlign w:val="bottom"/>
            <w:gridSpan w:val="4"/>
          </w:tcPr>
          <w:p>
            <w:pPr>
              <w:spacing w:after="0"/>
              <w:rPr>
                <w:sz w:val="20"/>
                <w:szCs w:val="20"/>
                <w:color w:val="auto"/>
              </w:rPr>
            </w:pPr>
            <w:r>
              <w:rPr>
                <w:rFonts w:ascii="Arial" w:cs="Arial" w:eastAsia="Arial" w:hAnsi="Arial"/>
                <w:sz w:val="18"/>
                <w:szCs w:val="18"/>
                <w:color w:val="auto"/>
                <w:w w:val="92"/>
              </w:rPr>
              <w:t>The following is a summary of the loan loss reserve which is included in other liabilities and accrued expenses: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2,571,524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Provision for current loan originations (1)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1,148,334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1,851,187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Charge-offs, net of recaptured amounts</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(114,989)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4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3,604,869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2,571,524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Included in Mortgage fee income</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believes the loan loss reserve represents probable loan losses incurred as of the balance sheet date. Actual loan loss experience could change, 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3"/>
          </w:tcPr>
          <w:p>
            <w:pPr>
              <w:spacing w:after="0"/>
              <w:rPr>
                <w:sz w:val="20"/>
                <w:szCs w:val="20"/>
                <w:color w:val="auto"/>
              </w:rPr>
            </w:pPr>
            <w:r>
              <w:rPr>
                <w:rFonts w:ascii="Arial" w:cs="Arial" w:eastAsia="Arial" w:hAnsi="Arial"/>
                <w:sz w:val="18"/>
                <w:szCs w:val="18"/>
                <w:color w:val="auto"/>
              </w:rPr>
              <w:t>4)  Receivables</w:t>
            </w: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0" w:type="dxa"/>
            <w:vAlign w:val="bottom"/>
            <w:tcBorders>
              <w:left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560" w:type="dxa"/>
            <w:vAlign w:val="bottom"/>
            <w:gridSpan w:val="3"/>
          </w:tcPr>
          <w:p>
            <w:pPr>
              <w:spacing w:after="0"/>
              <w:rPr>
                <w:sz w:val="20"/>
                <w:szCs w:val="20"/>
                <w:color w:val="auto"/>
              </w:rPr>
            </w:pPr>
            <w:r>
              <w:rPr>
                <w:rFonts w:ascii="Arial" w:cs="Arial" w:eastAsia="Arial" w:hAnsi="Arial"/>
                <w:sz w:val="18"/>
                <w:szCs w:val="18"/>
                <w:color w:val="auto"/>
              </w:rPr>
              <w:t>Receivables consist of the following:</w:t>
            </w: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contracts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2,816,225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3,608,379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Receivables from sales agents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3,079,688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3,528,703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4,559,272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4,851,305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receivables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10,455,185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11,988,387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(1,519,842)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(1,544,518)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3400" w:type="dxa"/>
            <w:vAlign w:val="bottom"/>
            <w:tcBorders>
              <w:left w:val="single" w:sz="8" w:color="CCEEFF"/>
            </w:tcBorders>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receivables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8,935,343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10,443,869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40" w:type="dxa"/>
            <w:vAlign w:val="bottom"/>
            <w:vMerge w:val="restart"/>
          </w:tcPr>
          <w:p>
            <w:pPr>
              <w:jc w:val="right"/>
              <w:ind w:right="2340"/>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6"/>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4"/>
          </w:tcPr>
          <w:p>
            <w:pPr>
              <w:spacing w:after="0"/>
              <w:rPr>
                <w:sz w:val="20"/>
                <w:szCs w:val="20"/>
                <w:color w:val="auto"/>
              </w:rPr>
            </w:pPr>
            <w:r>
              <w:rPr>
                <w:rFonts w:ascii="Arial" w:cs="Arial" w:eastAsia="Arial" w:hAnsi="Arial"/>
                <w:sz w:val="18"/>
                <w:szCs w:val="18"/>
                <w:color w:val="auto"/>
              </w:rPr>
              <w:t>5)  Value of Business Acquired and Goodwill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3000" w:type="dxa"/>
            <w:vAlign w:val="bottom"/>
            <w:gridSpan w:val="2"/>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3"/>
        </w:trPr>
        <w:tc>
          <w:tcPr>
            <w:tcW w:w="8180" w:type="dxa"/>
            <w:vAlign w:val="bottom"/>
            <w:gridSpan w:val="4"/>
          </w:tcPr>
          <w:p>
            <w:pPr>
              <w:spacing w:after="0"/>
              <w:rPr>
                <w:sz w:val="20"/>
                <w:szCs w:val="20"/>
                <w:color w:val="auto"/>
              </w:rPr>
            </w:pPr>
            <w:r>
              <w:rPr>
                <w:rFonts w:ascii="Arial" w:cs="Arial" w:eastAsia="Arial" w:hAnsi="Arial"/>
                <w:sz w:val="18"/>
                <w:szCs w:val="18"/>
                <w:color w:val="auto"/>
              </w:rPr>
              <w:t>Information with regard to value of business acquired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9"/>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6"/>
          </w:tcPr>
          <w:p>
            <w:pPr>
              <w:jc w:val="right"/>
              <w:ind w:right="620"/>
              <w:spacing w:after="0"/>
              <w:rPr>
                <w:sz w:val="20"/>
                <w:szCs w:val="20"/>
                <w:color w:val="auto"/>
              </w:rPr>
            </w:pPr>
            <w:r>
              <w:rPr>
                <w:rFonts w:ascii="Arial" w:cs="Arial" w:eastAsia="Arial" w:hAnsi="Arial"/>
                <w:sz w:val="18"/>
                <w:szCs w:val="18"/>
                <w:color w:val="auto"/>
              </w:rPr>
              <w:t>December 31</w:t>
            </w: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6,588,759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7,570,300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Value of business acquired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Imputed interest at 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39,767</w:t>
            </w:r>
          </w:p>
        </w:tc>
        <w:tc>
          <w:tcPr>
            <w:tcW w:w="80" w:type="dxa"/>
            <w:vAlign w:val="bottom"/>
            <w:shd w:val="clear" w:color="auto" w:fill="CCEEFF"/>
          </w:tcPr>
          <w:p>
            <w:pPr>
              <w:spacing w:after="0"/>
              <w:rPr>
                <w:sz w:val="18"/>
                <w:szCs w:val="18"/>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(1,244,691)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(1,021,308)</w:t>
            </w: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amortization charged to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(823,569)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(981,541)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5,765,190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6,588,759</w:t>
            </w:r>
          </w:p>
        </w:tc>
        <w:tc>
          <w:tcPr>
            <w:tcW w:w="8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Presuming no additional acquisitions, net amortization charged to income is expected to approximate $821,000, $737,000, $685,000, $637,000, and $593,000 for the years 2019 through 2023. Actual amortization may vary based on changes in assumptions or experience. As of December 31, 2018, value of business acquired is being amortized over a weighted average life of 6.2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regard to goodwill acquired is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Goodwill of $2,765,570 is not amortized but tested annually for impairment. The annual impairment tests resulted in no impairment of goodwill.</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gridSpan w:val="4"/>
          </w:tcPr>
          <w:p>
            <w:pPr>
              <w:spacing w:after="0"/>
              <w:rPr>
                <w:sz w:val="20"/>
                <w:szCs w:val="20"/>
                <w:color w:val="auto"/>
              </w:rPr>
            </w:pPr>
            <w:r>
              <w:rPr>
                <w:rFonts w:ascii="Arial" w:cs="Arial" w:eastAsia="Arial" w:hAnsi="Arial"/>
                <w:sz w:val="18"/>
                <w:szCs w:val="18"/>
                <w:color w:val="auto"/>
              </w:rPr>
              <w:t>The carrying value of the Company’s intangible asset is as follows: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68"/>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7"/>
          </w:tcPr>
          <w:p>
            <w:pPr>
              <w:jc w:val="right"/>
              <w:ind w:right="380"/>
              <w:spacing w:after="0"/>
              <w:rPr>
                <w:sz w:val="20"/>
                <w:szCs w:val="20"/>
                <w:color w:val="auto"/>
              </w:rPr>
            </w:pPr>
            <w:r>
              <w:rPr>
                <w:rFonts w:ascii="Arial" w:cs="Arial" w:eastAsia="Arial" w:hAnsi="Arial"/>
                <w:sz w:val="18"/>
                <w:szCs w:val="18"/>
                <w:color w:val="auto"/>
              </w:rPr>
              <w:t>December 31</w:t>
            </w:r>
          </w:p>
        </w:tc>
      </w:tr>
      <w:tr>
        <w:trPr>
          <w:trHeight w:val="235"/>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840" w:type="dxa"/>
            <w:vAlign w:val="bottom"/>
            <w:gridSpan w:val="6"/>
          </w:tcPr>
          <w:p>
            <w:pPr>
              <w:jc w:val="right"/>
              <w:ind w:right="780"/>
              <w:spacing w:after="0"/>
              <w:rPr>
                <w:sz w:val="20"/>
                <w:szCs w:val="20"/>
                <w:color w:val="auto"/>
              </w:rPr>
            </w:pPr>
            <w:r>
              <w:rPr>
                <w:rFonts w:ascii="Arial" w:cs="Arial" w:eastAsia="Arial" w:hAnsi="Arial"/>
                <w:sz w:val="18"/>
                <w:szCs w:val="18"/>
                <w:color w:val="auto"/>
              </w:rPr>
              <w:t>Useful Life</w:t>
            </w:r>
          </w:p>
        </w:tc>
        <w:tc>
          <w:tcPr>
            <w:tcW w:w="980" w:type="dxa"/>
            <w:vAlign w:val="bottom"/>
            <w:gridSpan w:val="3"/>
          </w:tcPr>
          <w:p>
            <w:pPr>
              <w:jc w:val="right"/>
              <w:ind w:right="411"/>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 finite life - customer lists</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years</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(34,611)</w:t>
            </w:r>
          </w:p>
        </w:tc>
        <w:tc>
          <w:tcPr>
            <w:tcW w:w="80" w:type="dxa"/>
            <w:vAlign w:val="bottom"/>
          </w:tcPr>
          <w:p>
            <w:pPr>
              <w:spacing w:after="0"/>
              <w:rPr>
                <w:sz w:val="19"/>
                <w:szCs w:val="19"/>
                <w:color w:val="auto"/>
              </w:rPr>
            </w:pPr>
          </w:p>
        </w:tc>
      </w:tr>
      <w:tr>
        <w:trPr>
          <w:trHeight w:val="254"/>
        </w:trPr>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855,389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434"/>
        </w:trPr>
        <w:tc>
          <w:tcPr>
            <w:tcW w:w="7340" w:type="dxa"/>
            <w:vAlign w:val="bottom"/>
            <w:gridSpan w:val="4"/>
          </w:tcPr>
          <w:p>
            <w:pPr>
              <w:spacing w:after="0"/>
              <w:rPr>
                <w:sz w:val="20"/>
                <w:szCs w:val="20"/>
                <w:color w:val="auto"/>
              </w:rPr>
            </w:pPr>
            <w:r>
              <w:rPr>
                <w:rFonts w:ascii="Arial" w:cs="Arial" w:eastAsia="Arial" w:hAnsi="Arial"/>
                <w:sz w:val="18"/>
                <w:szCs w:val="18"/>
                <w:color w:val="auto"/>
              </w:rPr>
              <w:t>6)  Property and Equipment</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9"/>
        </w:trPr>
        <w:tc>
          <w:tcPr>
            <w:tcW w:w="7340" w:type="dxa"/>
            <w:vAlign w:val="bottom"/>
            <w:gridSpan w:val="4"/>
          </w:tcPr>
          <w:p>
            <w:pPr>
              <w:spacing w:after="0"/>
              <w:rPr>
                <w:sz w:val="20"/>
                <w:szCs w:val="20"/>
                <w:color w:val="auto"/>
              </w:rPr>
            </w:pPr>
            <w:r>
              <w:rPr>
                <w:rFonts w:ascii="Arial" w:cs="Arial" w:eastAsia="Arial" w:hAnsi="Arial"/>
                <w:sz w:val="18"/>
                <w:szCs w:val="18"/>
                <w:color w:val="auto"/>
              </w:rPr>
              <w:t>The cost of property and equipment is summarized below:</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9"/>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8"/>
          </w:tcPr>
          <w:p>
            <w:pPr>
              <w:jc w:val="right"/>
              <w:ind w:right="640"/>
              <w:spacing w:after="0"/>
              <w:rPr>
                <w:sz w:val="20"/>
                <w:szCs w:val="20"/>
                <w:color w:val="auto"/>
              </w:rPr>
            </w:pPr>
            <w:r>
              <w:rPr>
                <w:rFonts w:ascii="Arial" w:cs="Arial" w:eastAsia="Arial" w:hAnsi="Arial"/>
                <w:sz w:val="18"/>
                <w:szCs w:val="18"/>
                <w:color w:val="auto"/>
                <w:w w:val="94"/>
              </w:rPr>
              <w:t>December 31</w:t>
            </w: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ind w:right="222"/>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2017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7,775,922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8,689,302</w:t>
            </w:r>
          </w:p>
        </w:tc>
        <w:tc>
          <w:tcPr>
            <w:tcW w:w="80" w:type="dxa"/>
            <w:vAlign w:val="bottom"/>
            <w:shd w:val="clear" w:color="auto" w:fill="CCEEFF"/>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80" w:type="dxa"/>
            <w:vAlign w:val="bottom"/>
            <w:gridSpan w:val="2"/>
          </w:tcPr>
          <w:p>
            <w:pPr>
              <w:ind w:left="40"/>
              <w:spacing w:after="0"/>
              <w:rPr>
                <w:sz w:val="20"/>
                <w:szCs w:val="20"/>
                <w:color w:val="auto"/>
              </w:rPr>
            </w:pPr>
            <w:r>
              <w:rPr>
                <w:rFonts w:ascii="Arial" w:cs="Arial" w:eastAsia="Arial" w:hAnsi="Arial"/>
                <w:sz w:val="18"/>
                <w:szCs w:val="18"/>
                <w:color w:val="auto"/>
              </w:rPr>
              <w:t>Furniture and equipment</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16,731,457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16,952,404</w:t>
            </w:r>
          </w:p>
        </w:tc>
        <w:tc>
          <w:tcPr>
            <w:tcW w:w="80" w:type="dxa"/>
            <w:vAlign w:val="bottom"/>
          </w:tcPr>
          <w:p>
            <w:pPr>
              <w:spacing w:after="0"/>
              <w:rPr>
                <w:sz w:val="19"/>
                <w:szCs w:val="19"/>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24,507,379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25,641,706</w:t>
            </w:r>
          </w:p>
        </w:tc>
        <w:tc>
          <w:tcPr>
            <w:tcW w:w="80" w:type="dxa"/>
            <w:vAlign w:val="bottom"/>
            <w:shd w:val="clear" w:color="auto" w:fill="CCEEFF"/>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8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1840" w:type="dxa"/>
            <w:vAlign w:val="bottom"/>
            <w:gridSpan w:val="6"/>
          </w:tcPr>
          <w:p>
            <w:pPr>
              <w:jc w:val="right"/>
              <w:ind w:right="40"/>
              <w:spacing w:after="0"/>
              <w:rPr>
                <w:sz w:val="20"/>
                <w:szCs w:val="20"/>
                <w:color w:val="auto"/>
              </w:rPr>
            </w:pPr>
            <w:r>
              <w:rPr>
                <w:rFonts w:ascii="Arial" w:cs="Arial" w:eastAsia="Arial" w:hAnsi="Arial"/>
                <w:sz w:val="18"/>
                <w:szCs w:val="18"/>
                <w:color w:val="auto"/>
              </w:rPr>
              <w:t>(17,496,601)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(17,572,326)</w:t>
            </w:r>
          </w:p>
        </w:tc>
      </w:tr>
      <w:tr>
        <w:trPr>
          <w:trHeight w:val="254"/>
        </w:trPr>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7,010,778</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8,069,380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for the years ended December 31, 2018 and 2017 was $1,867,001 and $2,220,693, respectively. During 2017, the Company transferred $643,329 of land from cemetery land and improvements to property and equipment. This transfer is shown as a non cash item on the consolidated statements of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69" w:name="page70"/>
    <w:bookmarkEnd w:id="69"/>
    <w:p>
      <w:pPr>
        <w:jc w:val="center"/>
        <w:ind w:right="-113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Years Ended December 31,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4"/>
          </w:tcPr>
          <w:p>
            <w:pPr>
              <w:spacing w:after="0"/>
              <w:rPr>
                <w:sz w:val="20"/>
                <w:szCs w:val="20"/>
                <w:color w:val="auto"/>
              </w:rPr>
            </w:pPr>
            <w:r>
              <w:rPr>
                <w:rFonts w:ascii="Arial" w:cs="Arial" w:eastAsia="Arial" w:hAnsi="Arial"/>
                <w:sz w:val="18"/>
                <w:szCs w:val="18"/>
                <w:color w:val="auto"/>
              </w:rPr>
              <w:t>7)  Bank and Other Loans Payable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8000" w:type="dxa"/>
            <w:vAlign w:val="bottom"/>
            <w:gridSpan w:val="4"/>
          </w:tcPr>
          <w:p>
            <w:pPr>
              <w:spacing w:after="0"/>
              <w:rPr>
                <w:sz w:val="20"/>
                <w:szCs w:val="20"/>
                <w:color w:val="auto"/>
              </w:rPr>
            </w:pPr>
            <w:r>
              <w:rPr>
                <w:rFonts w:ascii="Arial" w:cs="Arial" w:eastAsia="Arial" w:hAnsi="Arial"/>
                <w:sz w:val="18"/>
                <w:szCs w:val="18"/>
                <w:color w:val="auto"/>
              </w:rPr>
              <w:t>Bank and other loans payable are summarized as follows: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6.50% note payable in monthly installments of $1,702 including principal and interest,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collateralized by real property, paid in full in February 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3.85% fixed note payable in monthly installments of $85,419 including principal and interest,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collateralized by shares of Security National Life Insurance Company stock, paid in full in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January 2018.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8"/>
              </w:rPr>
              <w:t>2.25% above 90 day LIBOR rate note payable in monthly installments of approximately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$125,000, collateralized by real property, paid in full in March 2018.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26,773,058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2.25% above the monthly LIBOR rate plus 1/16th of the monthly LIBOR rate note payable in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monthly principal payments of $13,167 plus interest, collateralized by real property with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book value of approximately $4,350,000, due September 2021.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2,817,775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2,975,781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4.27% fixed note payable in monthly installments of $53,881 including principal and interest,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collateralized by shares of Security National Life Insurance Company stock, due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November 2021.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1,817,905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2,372,690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4.40% fixed note payable in monthly installments of $46,825 including principal and interest,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1"/>
              </w:rPr>
              <w:t>collateralized by real property with a book value of approximately $12,479,000, due January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5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7,492,140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7,712,854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4.329% fixed note payable in monthly installments of $9,775 including principal and interest,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collateralized by real property with a book value of approximately $3,596,000, due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September 2025.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2"/>
              </w:rPr>
              <w:t>2.5% above the monthly LIBOR rate plus 1/16th of the monthly LIBOR rate construction loan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payable, collateralized by real property with a book value of approximately $46,093,000, due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August 2019.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30,796,861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28,343,684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9"/>
              </w:rPr>
              <w:t>4.7865% fixed interest only note payable in monthly installments, collateralized by real</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with a book value of approximately $18,362,000, due June 2028.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1 month LIBOR rate plus 3% loan purchase agreement with a warehouse line availability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$100,000,000, matures June 2019.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60,438,156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61,298,220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1 month LIBOR rate plus 3% loan purchase agreement with a warehouse line availability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$100,000,000, matures September 2019.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25,680,649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25,538,378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short-term borrowings (1)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47,250,000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loans payable</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Total bank and other loans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187,521,188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157,450,925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Less current installments</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165,219,632</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88,437,940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Bank and other loans, excluding current installments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22,301,556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69,012,985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Federal Home Loan Bank and Revolving Lines of Credit</w:t>
      </w:r>
    </w:p>
    <w:p>
      <w:pPr>
        <w:sectPr>
          <w:pgSz w:w="11900" w:h="16838" w:orient="portrait"/>
          <w:cols w:equalWidth="0" w:num="1">
            <w:col w:w="10280"/>
          </w:cols>
          <w:pgMar w:left="240" w:top="365" w:right="13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0280"/>
          </w:cols>
          <w:pgMar w:left="240" w:top="365" w:right="137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Bank and Other Loans Payable</w:t>
      </w:r>
      <w:r>
        <w:rPr>
          <w:rFonts w:ascii="Arial" w:cs="Arial" w:eastAsia="Arial" w:hAnsi="Arial"/>
          <w:sz w:val="18"/>
          <w:szCs w:val="18"/>
          <w:color w:val="auto"/>
        </w:rPr>
        <w:t xml:space="preserve">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 Membership</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Federal Home Loan Banks (“the FHLBs”) are a group of cooperatives that lending institutions use to finance housing and economic development in local communities. The Company is a member of the FHLB based in Des Moines, Iowa. As a member of the FHLB, the Company is required to maintain a minimum investment in capital stock of the FHLB of Des Moines and may pledge collateral to the bank for advances of funds to be used in its operations.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2018, the amount available for additional FHLB borrowings was approximately $534,579, compared with $47,252,871 at December 31, 2017. United States Treasury fixed maturity securities with a carrying value of $49,342,210 at December 31, 2018 have been pledged at the FHLB of Des Moines as collateral for current and potential borrowings compared with $49,892,726 at December 31, 2017. At December 31, 2018, the Company had $46,000,000 of short-term FHLB borrowings outstanding and no long-term FHLB borrowings outstanding. These borrowings bear interest at 2.58% as of December 31, 2018. At December 31, 2018, the Company’s total investment in FHLB stock was $2,548,700 compared with $689,400 at December 31, 2017. The Company’s increased investment in FHLB stock was a result of its increase in short-term FHLB borrowings during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Lines of Credit</w:t>
      </w:r>
    </w:p>
    <w:p>
      <w:pPr>
        <w:spacing w:after="0" w:line="2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 $2,000,000 revolving line-of-credit with a bank with interest payable at the prime rate minus .75%, secured by the capital stock of Security National Life and maturing September 30, 2019, renewable annually. At December 31, 2018, the Company was contingently liable under a standby letter of credit aggregating $625,405, to be used as collateral to cover any contingency related to additional risk assessments pertaining to the Company's captive insurance program and under a standby letter of credit aggregating $48,220 issued as a security deposit to guarantee payment of final bills for electric and gas utility services for a commercial real estate property owned by the Company in Wichita, Kansas. These standby letters of credit will draw on the line of credit if necessary. The Company does not expect any material losses to result from the issuance of the standby letter of credit because claims are not expected to exceed premiums paid. As of December 31, 2018, there were no amounts outstanding under the revolving line-of-credit.</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also has a $2,500,000 revolving line-of-credit with a bank with interest payable at the overnight LIBOR rate plus 2.25% maturing September 30, 2019. As of December 31, 2018, there was $1,250,000 outstanding under the revolving line-of-credit.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Warehouse Lines of Credit</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its subsidiary SecurityNational Mortgage, has a $100,000,000 line of credit with Wells Fargo Bank N.A. The agreement charges interest at the 1-Month LIBOR rate plus 3% and matures on June 16, 2019. SecurityNational Mortgage is required to maintain an adjusted tangible net worth of $19,000,000, unrestricted cash of $10,000,000, indebtedness to adjusted tangible net worth of 12:1, liquidity overhead coverage of 1.75:1, and a quarterly gross profit of at least $1.</w:t>
      </w:r>
    </w:p>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through its subsidiary SecurityNational Mortgage, also uses a line of credit with Texas Capital Bank N.A. This agreement with the bank allows SecurityNational Mortgage to borrow up to $100,000,000 for the sole purpose of funding mortgage loans. SecurityNational Mortgage is currently approved to borrow $30,000,000 of the $100,000,000 available. The agreement charges interest at the 1-Month LIBOR rate plus 3% and matures on September 7, 2019. The Company is required to maintain an adjusted tangible net worth of $70,000,000, unrestricted cash of $15,000,000, and no two consecutive quarters with a net loss. The Company obtained a waiver from Texas Capital Bank as SecurityNational Mortgage did not meet the requirement of no two consecutive quarters with a loss at December 31, 2018.</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agreements for both warehouse lines include cross default provisions in that a covenant violation under one agreement constitutes a covenant violation under the other agreement. SecurityNational Mortgage requested and received a waiver from Wells Fargo in regard to its covenant violation with Texas Capital Bank. SecurityNational Mortgage anticipates that it will not meet the profitability covenant with Texas Capital Bank at the end of the first quarter of 2019, which will trigger a default with Wells Fargo under the cross default provisions, and will seek new waivers at that time. In the unlikely event the Company is required to repay both warehouse lines, the Company has sufficient cash and borrowing capacity to do so and to continue to fund its origination activities through the other internal funding sources.</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SecurityNational Mortgage believes that it has taken appropriate actions to return to meeting all the covenant requirements of Texas Capital Bank and that it will continue to meet the financial covenant requirements of Wells Fargo. The current outstanding amounts on both warehouse lines are shown in the current portion of the maturity table listed below.</w:t>
      </w:r>
    </w:p>
    <w:p>
      <w:pPr>
        <w:sectPr>
          <w:pgSz w:w="11900" w:h="16838" w:orient="portrait"/>
          <w:cols w:equalWidth="0" w:num="1">
            <w:col w:w="11420"/>
          </w:cols>
          <w:pgMar w:left="240" w:top="125"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900" w:type="dxa"/>
            <w:vAlign w:val="bottom"/>
          </w:tcPr>
          <w:p>
            <w:pPr>
              <w:jc w:val="center"/>
              <w:ind w:left="271"/>
              <w:spacing w:after="0"/>
              <w:rPr>
                <w:sz w:val="20"/>
                <w:szCs w:val="20"/>
                <w:color w:val="auto"/>
              </w:rPr>
            </w:pPr>
            <w:r>
              <w:rPr>
                <w:rFonts w:ascii="Arial" w:cs="Arial" w:eastAsia="Arial" w:hAnsi="Arial"/>
                <w:sz w:val="18"/>
                <w:szCs w:val="18"/>
                <w:color w:val="auto"/>
                <w:w w:val="96"/>
              </w:rPr>
              <w:t>SECURITY NATIONAL FINANCIAL CORPORATION</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900" w:type="dxa"/>
            <w:vAlign w:val="bottom"/>
          </w:tcPr>
          <w:p>
            <w:pPr>
              <w:jc w:val="center"/>
              <w:ind w:left="291"/>
              <w:spacing w:after="0"/>
              <w:rPr>
                <w:sz w:val="20"/>
                <w:szCs w:val="20"/>
                <w:color w:val="auto"/>
              </w:rPr>
            </w:pPr>
            <w:r>
              <w:rPr>
                <w:rFonts w:ascii="Arial" w:cs="Arial" w:eastAsia="Arial" w:hAnsi="Arial"/>
                <w:sz w:val="18"/>
                <w:szCs w:val="18"/>
                <w:color w:val="auto"/>
                <w:w w:val="96"/>
              </w:rPr>
              <w:t>AND SUBSIDIARIES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900" w:type="dxa"/>
            <w:vAlign w:val="bottom"/>
          </w:tcPr>
          <w:p>
            <w:pPr>
              <w:jc w:val="center"/>
              <w:ind w:left="291"/>
              <w:spacing w:after="0"/>
              <w:rPr>
                <w:sz w:val="20"/>
                <w:szCs w:val="20"/>
                <w:color w:val="auto"/>
              </w:rPr>
            </w:pPr>
            <w:r>
              <w:rPr>
                <w:rFonts w:ascii="Arial" w:cs="Arial" w:eastAsia="Arial" w:hAnsi="Arial"/>
                <w:sz w:val="18"/>
                <w:szCs w:val="18"/>
                <w:color w:val="auto"/>
                <w:w w:val="89"/>
              </w:rPr>
              <w:t>Notes to Consolidated Financial Statements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900" w:type="dxa"/>
            <w:vAlign w:val="bottom"/>
          </w:tcPr>
          <w:p>
            <w:pPr>
              <w:jc w:val="center"/>
              <w:ind w:left="291"/>
              <w:spacing w:after="0"/>
              <w:rPr>
                <w:sz w:val="20"/>
                <w:szCs w:val="20"/>
                <w:color w:val="auto"/>
              </w:rPr>
            </w:pPr>
            <w:r>
              <w:rPr>
                <w:rFonts w:ascii="Arial" w:cs="Arial" w:eastAsia="Arial" w:hAnsi="Arial"/>
                <w:sz w:val="18"/>
                <w:szCs w:val="18"/>
                <w:color w:val="auto"/>
                <w:w w:val="87"/>
              </w:rPr>
              <w:t>Years Ended December 31, 2018 and 2017</w:t>
            </w: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8480" w:type="dxa"/>
            <w:vAlign w:val="bottom"/>
            <w:gridSpan w:val="4"/>
          </w:tcPr>
          <w:p>
            <w:pPr>
              <w:spacing w:after="0"/>
              <w:rPr>
                <w:sz w:val="20"/>
                <w:szCs w:val="20"/>
                <w:color w:val="auto"/>
              </w:rPr>
            </w:pPr>
            <w:r>
              <w:rPr>
                <w:rFonts w:ascii="Arial" w:cs="Arial" w:eastAsia="Arial" w:hAnsi="Arial"/>
                <w:sz w:val="18"/>
                <w:szCs w:val="18"/>
                <w:color w:val="auto"/>
              </w:rPr>
              <w:t>7)  Bank and Other Loans Payable (Continued)</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8480" w:type="dxa"/>
            <w:vAlign w:val="bottom"/>
            <w:gridSpan w:val="4"/>
          </w:tcPr>
          <w:p>
            <w:pPr>
              <w:spacing w:after="0"/>
              <w:rPr>
                <w:sz w:val="20"/>
                <w:szCs w:val="20"/>
                <w:color w:val="auto"/>
              </w:rPr>
            </w:pPr>
            <w:r>
              <w:rPr>
                <w:rFonts w:ascii="Arial" w:cs="Arial" w:eastAsia="Arial" w:hAnsi="Arial"/>
                <w:sz w:val="18"/>
                <w:szCs w:val="18"/>
                <w:color w:val="auto"/>
              </w:rPr>
              <w:t>The following tabulation shows the combined maturities of bank and other loans payable:</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 w:type="dxa"/>
            <w:vAlign w:val="bottom"/>
            <w:vMerge w:val="restart"/>
          </w:tcPr>
          <w:p>
            <w:pPr>
              <w:spacing w:after="0"/>
              <w:rPr>
                <w:sz w:val="23"/>
                <w:szCs w:val="23"/>
                <w:color w:val="auto"/>
              </w:rPr>
            </w:pPr>
          </w:p>
        </w:tc>
        <w:tc>
          <w:tcPr>
            <w:tcW w:w="840" w:type="dxa"/>
            <w:vAlign w:val="bottom"/>
            <w:vMerge w:val="restart"/>
          </w:tcPr>
          <w:p>
            <w:pPr>
              <w:spacing w:after="0"/>
              <w:rPr>
                <w:sz w:val="23"/>
                <w:szCs w:val="23"/>
                <w:color w:val="auto"/>
              </w:rPr>
            </w:pPr>
          </w:p>
        </w:tc>
        <w:tc>
          <w:tcPr>
            <w:tcW w:w="14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9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165,219,632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2020</w:t>
            </w:r>
          </w:p>
        </w:tc>
        <w:tc>
          <w:tcPr>
            <w:tcW w:w="59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1,080,597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3,451,136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2022</w:t>
            </w:r>
          </w:p>
        </w:tc>
        <w:tc>
          <w:tcPr>
            <w:tcW w:w="59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321,182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9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17,092,499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187,521,188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 2018 and 2017 was $6,956,707 and $6,037,332, respectively.</w:t>
      </w:r>
    </w:p>
    <w:p>
      <w:pPr>
        <w:spacing w:after="0" w:line="3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Cemetery Perpetual Care Trust Investments and Obligation and Restricted Assets</w:t>
      </w:r>
    </w:p>
    <w:p>
      <w:pPr>
        <w:spacing w:after="0" w:line="2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8"/>
          <w:szCs w:val="18"/>
          <w:i w:val="1"/>
          <w:iCs w:val="1"/>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gridSpan w:val="2"/>
          </w:tcPr>
          <w:p>
            <w:pPr>
              <w:spacing w:after="0"/>
              <w:rPr>
                <w:sz w:val="20"/>
                <w:szCs w:val="20"/>
                <w:color w:val="auto"/>
              </w:rPr>
            </w:pPr>
            <w:r>
              <w:rPr>
                <w:rFonts w:ascii="Arial" w:cs="Arial" w:eastAsia="Arial" w:hAnsi="Arial"/>
                <w:sz w:val="18"/>
                <w:szCs w:val="18"/>
                <w:color w:val="auto"/>
              </w:rPr>
              <w:t>The components of the cemetery perpetual care investments and obligation are as follows: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11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1,557,506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997,498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Fixed maturity securities, held to maturity, at amortized cost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990,390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943,211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Participating interests in mortgage loans held for investment with Security National Life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1,304,620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1,996,411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7040" w:type="dxa"/>
            <w:vAlign w:val="bottom"/>
          </w:tcPr>
          <w:p>
            <w:pPr>
              <w:spacing w:after="0" w:line="200" w:lineRule="exact"/>
              <w:rPr>
                <w:sz w:val="20"/>
                <w:szCs w:val="20"/>
                <w:color w:val="auto"/>
              </w:rPr>
            </w:pPr>
            <w:r>
              <w:rPr>
                <w:rFonts w:ascii="Arial" w:cs="Arial" w:eastAsia="Arial" w:hAnsi="Arial"/>
                <w:sz w:val="18"/>
                <w:szCs w:val="18"/>
                <w:color w:val="auto"/>
                <w:w w:val="97"/>
              </w:rPr>
              <w:t>Note receivables from Cottonwood Mortuary Singing Hills Cemetery and Memorial Estates</w:t>
            </w: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1,606,155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1,667,621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eliminated in consolidation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cemetery perpetual care trust investments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5,942,024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6,291,184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Cemetery perpetual care obligation</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(3,821,979)</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(3,710,740)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16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 investments in excess of trust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2,120,045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2,580,444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3"/>
        </w:trPr>
        <w:tc>
          <w:tcPr>
            <w:tcW w:w="8200" w:type="dxa"/>
            <w:vAlign w:val="bottom"/>
            <w:gridSpan w:val="2"/>
          </w:tcPr>
          <w:p>
            <w:pPr>
              <w:jc w:val="right"/>
              <w:ind w:right="233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280" w:hanging="273"/>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r>
        <w:rPr>
          <w:rFonts w:ascii="Arial" w:cs="Arial" w:eastAsia="Arial" w:hAnsi="Arial"/>
          <w:sz w:val="18"/>
          <w:szCs w:val="18"/>
          <w:color w:val="auto"/>
        </w:rPr>
        <w:t xml:space="preserve"> (Continued)</w:t>
      </w:r>
    </w:p>
    <w:p>
      <w:pPr>
        <w:spacing w:after="0" w:line="27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2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fund its medical benefit safe-harbor limit based on 35% of the qualified direct costs for the preceding year, and has included this amount as a component of restricted cash. These restricted cash items are for the Company’s life insurance and mortgage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gridSpan w:val="2"/>
          </w:tcPr>
          <w:p>
            <w:pPr>
              <w:spacing w:after="0"/>
              <w:rPr>
                <w:sz w:val="20"/>
                <w:szCs w:val="20"/>
                <w:color w:val="auto"/>
              </w:rPr>
            </w:pPr>
            <w:r>
              <w:rPr>
                <w:rFonts w:ascii="Arial" w:cs="Arial" w:eastAsia="Arial" w:hAnsi="Arial"/>
                <w:sz w:val="18"/>
                <w:szCs w:val="18"/>
                <w:color w:val="auto"/>
              </w:rPr>
              <w:t>Restricted assets are summarized as follows: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89"/>
        </w:trPr>
        <w:tc>
          <w:tcPr>
            <w:tcW w:w="1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7,179,225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8,188,764</w:t>
            </w:r>
          </w:p>
        </w:tc>
        <w:tc>
          <w:tcPr>
            <w:tcW w:w="80" w:type="dxa"/>
            <w:vAlign w:val="bottom"/>
            <w:shd w:val="clear" w:color="auto" w:fill="CCEEFF"/>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Mutual funds, at estimated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677,795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715,952</w:t>
            </w:r>
          </w:p>
        </w:tc>
        <w:tc>
          <w:tcPr>
            <w:tcW w:w="8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held to maturity, at amortized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1,258,397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1,130,088</w:t>
            </w:r>
          </w:p>
        </w:tc>
        <w:tc>
          <w:tcPr>
            <w:tcW w:w="80" w:type="dxa"/>
            <w:vAlign w:val="bottom"/>
            <w:shd w:val="clear" w:color="auto" w:fill="CCEEFF"/>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Equity securities, at estimated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94,006</w:t>
            </w:r>
          </w:p>
        </w:tc>
        <w:tc>
          <w:tcPr>
            <w:tcW w:w="8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Participating interests in mortgage loans held for investment with Security National Life</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1,799,267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1,701,811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7020" w:type="dxa"/>
            <w:vAlign w:val="bottom"/>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10,981,562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11,830,621</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1140" w:right="1260" w:firstLine="8"/>
        <w:spacing w:after="0" w:line="270" w:lineRule="auto"/>
        <w:tabs>
          <w:tab w:leader="none" w:pos="13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Including cash and cash equivalents of $5,668,580 and $6,392,283 as of December 31, 2018 and 2017, respectively, for the life insurance and mortgage segments.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 surplus note receivable in the amount of $4,000,000 at December 31, 2018 and 2017, from Security National Life, was eliminated in consolidation.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See Notes 1 and 17 for additional information regarding restricted assets.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73" w:name="page74"/>
    <w:bookmarkEnd w:id="73"/>
    <w:p>
      <w:pPr>
        <w:jc w:val="center"/>
        <w:ind w:right="-113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Years Ended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4"/>
          </w:tcPr>
          <w:p>
            <w:pPr>
              <w:spacing w:after="0"/>
              <w:rPr>
                <w:sz w:val="20"/>
                <w:szCs w:val="20"/>
                <w:color w:val="auto"/>
              </w:rPr>
            </w:pPr>
            <w:r>
              <w:rPr>
                <w:rFonts w:ascii="Arial" w:cs="Arial" w:eastAsia="Arial" w:hAnsi="Arial"/>
                <w:sz w:val="18"/>
                <w:szCs w:val="18"/>
                <w:color w:val="auto"/>
              </w:rPr>
              <w:t>9)  Income Taxes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7880" w:type="dxa"/>
            <w:vAlign w:val="bottom"/>
            <w:gridSpan w:val="4"/>
          </w:tcPr>
          <w:p>
            <w:pPr>
              <w:spacing w:after="0"/>
              <w:rPr>
                <w:sz w:val="20"/>
                <w:szCs w:val="20"/>
                <w:color w:val="auto"/>
              </w:rPr>
            </w:pPr>
            <w:r>
              <w:rPr>
                <w:rFonts w:ascii="Arial" w:cs="Arial" w:eastAsia="Arial" w:hAnsi="Arial"/>
                <w:sz w:val="18"/>
                <w:szCs w:val="18"/>
                <w:color w:val="auto"/>
              </w:rPr>
              <w:t>The Company’s income tax liability (benefit) is summarized as follows: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8"/>
          </w:tcPr>
          <w:p>
            <w:pPr>
              <w:jc w:val="right"/>
              <w:ind w:right="542"/>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15,649,198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18,255,537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$ 16,122,998</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17,332,783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7880" w:type="dxa"/>
            <w:vAlign w:val="bottom"/>
            <w:gridSpan w:val="4"/>
          </w:tcPr>
          <w:p>
            <w:pPr>
              <w:spacing w:after="0"/>
              <w:rPr>
                <w:sz w:val="20"/>
                <w:szCs w:val="20"/>
                <w:color w:val="auto"/>
              </w:rPr>
            </w:pPr>
            <w:r>
              <w:rPr>
                <w:rFonts w:ascii="Arial" w:cs="Arial" w:eastAsia="Arial" w:hAnsi="Arial"/>
                <w:sz w:val="18"/>
                <w:szCs w:val="18"/>
                <w:color w:val="auto"/>
                <w:w w:val="92"/>
              </w:rPr>
              <w:t>Significant components of the Company’s deferred tax (assets) and liabilities are approximately as follows: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8"/>
          </w:tcPr>
          <w:p>
            <w:pPr>
              <w:jc w:val="right"/>
              <w:ind w:right="562"/>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7560" w:type="dxa"/>
            <w:vAlign w:val="bottom"/>
            <w:gridSpan w:val="3"/>
          </w:tcPr>
          <w:p>
            <w:pPr>
              <w:ind w:left="8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policy benefits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(8,293,592)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(6,803,339)</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Loan loss reserve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(938,496)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(697,779)</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premium</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(823,299)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(886,706)</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Available for sale securities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(366,279)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(237,677)</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(593,272)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(631,892)</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(1,677,118)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(1,600,401)</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 obligations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(610,769)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(627,193)</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(185,557)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(276,127)</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shd w:val="clear" w:color="auto" w:fill="CCEEFF"/>
          </w:tcPr>
          <w:p>
            <w:pPr>
              <w:spacing w:after="0"/>
              <w:rPr>
                <w:sz w:val="19"/>
                <w:szCs w:val="19"/>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(13,488,382</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9"/>
                <w:szCs w:val="19"/>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(11,761,114</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4"/>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Deferred policy acquisition costs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15,255,960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13,700,093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Basis difference in property and equipment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4,309,162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6,110,374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Value of business acquired</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1,210,690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1,383,639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6,267,373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6,978,067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Trusts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1,064,387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1,066,438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on unrealized appreciation</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1,030,008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778,040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29,137,580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30,016,651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$ 15,649,198</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$ 18,255,537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$5,701,565 and $581,556 in income taxes for the years ended December 31, 2018 and 2017, respectively.</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4"/>
          </w:tcPr>
          <w:p>
            <w:pPr>
              <w:spacing w:after="0"/>
              <w:rPr>
                <w:sz w:val="20"/>
                <w:szCs w:val="20"/>
                <w:color w:val="auto"/>
              </w:rPr>
            </w:pPr>
            <w:r>
              <w:rPr>
                <w:rFonts w:ascii="Arial" w:cs="Arial" w:eastAsia="Arial" w:hAnsi="Arial"/>
                <w:sz w:val="18"/>
                <w:szCs w:val="18"/>
                <w:color w:val="auto"/>
              </w:rPr>
              <w:t>9)  Income Taxes (Continued)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200" w:type="dxa"/>
            <w:vAlign w:val="bottom"/>
            <w:gridSpan w:val="4"/>
          </w:tcPr>
          <w:p>
            <w:pPr>
              <w:spacing w:after="0"/>
              <w:rPr>
                <w:sz w:val="20"/>
                <w:szCs w:val="20"/>
                <w:color w:val="auto"/>
              </w:rPr>
            </w:pPr>
            <w:r>
              <w:rPr>
                <w:rFonts w:ascii="Arial" w:cs="Arial" w:eastAsia="Arial" w:hAnsi="Arial"/>
                <w:sz w:val="18"/>
                <w:szCs w:val="18"/>
                <w:color w:val="auto"/>
                <w:w w:val="96"/>
              </w:rPr>
              <w:t>The Company’s income tax expense (benefit) is summarized as follows for the years ended December 31: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880" w:type="dxa"/>
            <w:vAlign w:val="bottom"/>
            <w:gridSpan w:val="3"/>
          </w:tcPr>
          <w:p>
            <w:pPr>
              <w:ind w:left="82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6,933,145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7,099,712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(1,838,947)</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(7,811,030)</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(766,454)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9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(2,605,401)</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(7,752,028)</w:t>
            </w:r>
          </w:p>
        </w:tc>
        <w:tc>
          <w:tcPr>
            <w:tcW w:w="0" w:type="dxa"/>
            <w:vAlign w:val="bottom"/>
          </w:tcPr>
          <w:p>
            <w:pPr>
              <w:spacing w:after="0"/>
              <w:rPr>
                <w:sz w:val="1"/>
                <w:szCs w:val="1"/>
                <w:color w:val="auto"/>
              </w:rPr>
            </w:pPr>
          </w:p>
        </w:tc>
      </w:tr>
      <w:tr>
        <w:trPr>
          <w:trHeight w:val="214"/>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4,494,311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(6,580,822)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80" w:type="dxa"/>
            <w:vAlign w:val="bottom"/>
            <w:gridSpan w:val="3"/>
            <w:vMerge w:val="restart"/>
          </w:tcPr>
          <w:p>
            <w:pPr>
              <w:ind w:left="820"/>
              <w:spacing w:after="0"/>
              <w:rPr>
                <w:sz w:val="20"/>
                <w:szCs w:val="20"/>
                <w:color w:val="auto"/>
              </w:rPr>
            </w:pPr>
            <w:r>
              <w:rPr>
                <w:rFonts w:ascii="Arial" w:cs="Arial" w:eastAsia="Arial" w:hAnsi="Arial"/>
                <w:sz w:val="18"/>
                <w:szCs w:val="18"/>
                <w:color w:val="auto"/>
                <w:w w:val="90"/>
              </w:rPr>
              <w:t>The reconciliation of income tax expense (benefit) at the U.S. federal statutory rates is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320" w:type="dxa"/>
            <w:vAlign w:val="bottom"/>
          </w:tcPr>
          <w:p>
            <w:pPr>
              <w:spacing w:after="0"/>
              <w:rPr>
                <w:sz w:val="24"/>
                <w:szCs w:val="24"/>
                <w:color w:val="auto"/>
              </w:rPr>
            </w:pPr>
          </w:p>
        </w:tc>
        <w:tc>
          <w:tcPr>
            <w:tcW w:w="78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right"/>
              <w:ind w:right="13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Computed expense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5,497,882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2,560,918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State tax expense, net of federal tax benefit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(473,911)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(431,802)</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Change in tax law</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(8,973,722)</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(529,660)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9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4,494,311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(6,580,822)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effective tax rate for the years ended December 31, 2018 and 2017 was 17.2% and (87.4%), respectively. The Company’s effective tax rate reflects the reduction of the U.S. federal statutory corporate income tax rate from 35% to 21% beginning January 1, 2018 and differs from the 21% statutory rate partly due to its provision for state income taxes. The effective tax rate for 2017 included a benefit that primarily related to a re-measurement of deferred tax assets and liabilities taking the Tax Act’s newly enacted tax rate into account.</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Company had no significant unrecognized tax benefits. As of December 31, 2018, the Company does not expect any material changes to the estimated amount of unrecognized tax benefits in the next twelve months. Federal and state income tax returns for 2015 through 2018 are subject to examination by taxing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Losses and Tax Credit Carryforwards: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920" w:type="dxa"/>
            <w:vAlign w:val="bottom"/>
            <w:gridSpan w:val="3"/>
          </w:tcPr>
          <w:p>
            <w:pPr>
              <w:jc w:val="center"/>
              <w:ind w:right="3600"/>
              <w:spacing w:after="0"/>
              <w:rPr>
                <w:sz w:val="20"/>
                <w:szCs w:val="20"/>
                <w:color w:val="auto"/>
              </w:rPr>
            </w:pPr>
            <w:r>
              <w:rPr>
                <w:rFonts w:ascii="Arial" w:cs="Arial" w:eastAsia="Arial" w:hAnsi="Arial"/>
                <w:sz w:val="18"/>
                <w:szCs w:val="18"/>
                <w:color w:val="auto"/>
                <w:w w:val="92"/>
              </w:rPr>
              <w:t>Year of Expiration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tcPr>
          <w:p>
            <w:pPr>
              <w:spacing w:after="0"/>
              <w:rPr>
                <w:sz w:val="18"/>
                <w:szCs w:val="18"/>
                <w:color w:val="auto"/>
              </w:rPr>
            </w:pPr>
          </w:p>
        </w:tc>
        <w:tc>
          <w:tcPr>
            <w:tcW w:w="4660" w:type="dxa"/>
            <w:vAlign w:val="bottom"/>
            <w:gridSpan w:val="2"/>
            <w:shd w:val="clear" w:color="auto" w:fill="CCEEFF"/>
          </w:tcPr>
          <w:p>
            <w:pPr>
              <w:jc w:val="center"/>
              <w:ind w:left="3253"/>
              <w:spacing w:after="0"/>
              <w:rPr>
                <w:sz w:val="20"/>
                <w:szCs w:val="20"/>
                <w:color w:val="auto"/>
              </w:rPr>
            </w:pPr>
            <w:r>
              <w:rPr>
                <w:rFonts w:ascii="Arial" w:cs="Arial" w:eastAsia="Arial" w:hAnsi="Arial"/>
                <w:sz w:val="18"/>
                <w:szCs w:val="18"/>
                <w:color w:val="auto"/>
                <w:w w:val="89"/>
              </w:rPr>
              <w:t>2019</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660" w:type="dxa"/>
            <w:vAlign w:val="bottom"/>
            <w:gridSpan w:val="2"/>
          </w:tcPr>
          <w:p>
            <w:pPr>
              <w:jc w:val="center"/>
              <w:ind w:left="3253"/>
              <w:spacing w:after="0"/>
              <w:rPr>
                <w:sz w:val="20"/>
                <w:szCs w:val="20"/>
                <w:color w:val="auto"/>
              </w:rPr>
            </w:pPr>
            <w:r>
              <w:rPr>
                <w:rFonts w:ascii="Arial" w:cs="Arial" w:eastAsia="Arial" w:hAnsi="Arial"/>
                <w:sz w:val="18"/>
                <w:szCs w:val="18"/>
                <w:color w:val="auto"/>
                <w:w w:val="89"/>
              </w:rPr>
              <w:t>2020</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114,601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660" w:type="dxa"/>
            <w:vAlign w:val="bottom"/>
            <w:gridSpan w:val="2"/>
            <w:shd w:val="clear" w:color="auto" w:fill="CCEEFF"/>
          </w:tcPr>
          <w:p>
            <w:pPr>
              <w:jc w:val="center"/>
              <w:ind w:left="3253"/>
              <w:spacing w:after="0"/>
              <w:rPr>
                <w:sz w:val="20"/>
                <w:szCs w:val="20"/>
                <w:color w:val="auto"/>
              </w:rPr>
            </w:pPr>
            <w:r>
              <w:rPr>
                <w:rFonts w:ascii="Arial" w:cs="Arial" w:eastAsia="Arial" w:hAnsi="Arial"/>
                <w:sz w:val="18"/>
                <w:szCs w:val="18"/>
                <w:color w:val="auto"/>
                <w:w w:val="89"/>
              </w:rPr>
              <w:t>2021</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660" w:type="dxa"/>
            <w:vAlign w:val="bottom"/>
            <w:gridSpan w:val="2"/>
          </w:tcPr>
          <w:p>
            <w:pPr>
              <w:jc w:val="center"/>
              <w:ind w:left="3253"/>
              <w:spacing w:after="0"/>
              <w:rPr>
                <w:sz w:val="20"/>
                <w:szCs w:val="20"/>
                <w:color w:val="auto"/>
              </w:rPr>
            </w:pPr>
            <w:r>
              <w:rPr>
                <w:rFonts w:ascii="Arial" w:cs="Arial" w:eastAsia="Arial" w:hAnsi="Arial"/>
                <w:sz w:val="18"/>
                <w:szCs w:val="18"/>
                <w:color w:val="auto"/>
                <w:w w:val="89"/>
              </w:rPr>
              <w:t>2022</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660" w:type="dxa"/>
            <w:vAlign w:val="bottom"/>
            <w:gridSpan w:val="2"/>
            <w:shd w:val="clear" w:color="auto" w:fill="CCEEFF"/>
          </w:tcPr>
          <w:p>
            <w:pPr>
              <w:jc w:val="center"/>
              <w:ind w:left="3253"/>
              <w:spacing w:after="0"/>
              <w:rPr>
                <w:sz w:val="20"/>
                <w:szCs w:val="20"/>
                <w:color w:val="auto"/>
              </w:rPr>
            </w:pPr>
            <w:r>
              <w:rPr>
                <w:rFonts w:ascii="Arial" w:cs="Arial" w:eastAsia="Arial" w:hAnsi="Arial"/>
                <w:sz w:val="18"/>
                <w:szCs w:val="18"/>
                <w:color w:val="auto"/>
                <w:w w:val="89"/>
              </w:rPr>
              <w:t>2023</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81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Thereafter up through 2037</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2,012,371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2,258,673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gridSpan w:val="2"/>
            <w:vMerge w:val="restart"/>
          </w:tcPr>
          <w:p>
            <w:pPr>
              <w:jc w:val="right"/>
              <w:spacing w:after="0"/>
              <w:rPr>
                <w:sz w:val="20"/>
                <w:szCs w:val="20"/>
                <w:color w:val="auto"/>
              </w:rPr>
            </w:pPr>
            <w:r>
              <w:rPr>
                <w:rFonts w:ascii="Arial" w:cs="Arial" w:eastAsia="Arial" w:hAnsi="Arial"/>
                <w:sz w:val="14"/>
                <w:szCs w:val="14"/>
                <w:color w:val="auto"/>
              </w:rPr>
              <w:t>71</w:t>
            </w: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6"/>
        </w:trPr>
        <w:tc>
          <w:tcPr>
            <w:tcW w:w="1160" w:type="dxa"/>
            <w:vAlign w:val="bottom"/>
          </w:tcPr>
          <w:p>
            <w:pPr>
              <w:spacing w:after="0"/>
              <w:rPr>
                <w:sz w:val="24"/>
                <w:szCs w:val="24"/>
                <w:color w:val="auto"/>
              </w:rPr>
            </w:pPr>
          </w:p>
        </w:tc>
        <w:tc>
          <w:tcPr>
            <w:tcW w:w="4660" w:type="dxa"/>
            <w:vAlign w:val="bottom"/>
            <w:gridSpan w:val="2"/>
            <w:vMerge w:val="continue"/>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procedure of reinsuring risks in excess of a specified limit, which ranged from $25,000 to $100,000 during the years 2018 and 2017. The Company is liable for these amounts in the event such reinsurers are unable to pay their portion of the claims. The Company has also assumed insurance from other companies having insurance in force amounting to approximately $103,000,000 and approximately $106,000,000 at December 31, 2018 and 2017,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7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Future loan losses can be extremely difficult to estimate. However, management believes that the Company’s reserve methodology and its current practice of property preservation allow it to estimate potential losses on loans sold. The estimated liability for indemnification losses is included in other liabilities and accrued expenses and, as of December 31, 2018 and 2017, the balances were $3,605,000 and $2,575,000,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Holdings Litigation – Delaware and New York</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are permitted to file a joint reply to Lehman Holdings’ response no later than November 26, 2018. The motions to file appeals were consolidated before Valerie Caproni, U.S. District Court Judge, Case No. 18-cv-8986. Case No. 18-mc-00392 is also before Judge Caproni.</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1, 2018, Lehman Holdings filed a motion for leave to file Third Amended Complaints against numerous defendants including SecurityNational Mortgage. In addition to the Fannie Mae and Freddie Mac related loans, the amendments/supplements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alternate dispute resolution procedures to take place, including potential mediation. Over objections, at a hearing on October 29, 2018, the Court granted Lehman Holdings’ motion to amend/supplement its complaints adding the RMBS loans, and also to mandate alternative dispute resolution procedures affecting many defendants, including SecurityNational Mortgage.</w:t>
      </w:r>
    </w:p>
    <w:p>
      <w:pPr>
        <w:spacing w:after="0" w:line="2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with the Second Amended Complaint remaining the same. The RMBS Complaint seeks alleged damages relating to obligations under alleged contractual indemnification provisions in an amount to be determined at trial, reasonable interest, costs and expenses incurred by LBHI in enforcing alleged obligations, including attorneys' fees and costs and any expert witness fees incurred in litigation; and such other relief as the Court deems just and proper. SecurityNational Mortgage denies any liability to Lehman Holdings and intends to vigorously protect and defend its position.</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Non-Cancelable Leases</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leases office space and equipment under various non-cancelable agreements. Minimum lease payments under these non-cancelable operating leases as of December 31, 2018, are approximately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14"/>
        </w:trPr>
        <w:tc>
          <w:tcPr>
            <w:tcW w:w="6300" w:type="dxa"/>
            <w:vAlign w:val="bottom"/>
            <w:gridSpan w:val="3"/>
          </w:tcPr>
          <w:p>
            <w:pPr>
              <w:jc w:val="center"/>
              <w:ind w:left="1611"/>
              <w:spacing w:after="0"/>
              <w:rPr>
                <w:sz w:val="20"/>
                <w:szCs w:val="20"/>
                <w:color w:val="auto"/>
              </w:rPr>
            </w:pPr>
            <w:r>
              <w:rPr>
                <w:rFonts w:ascii="Arial" w:cs="Arial" w:eastAsia="Arial" w:hAnsi="Arial"/>
                <w:sz w:val="18"/>
                <w:szCs w:val="18"/>
                <w:color w:val="auto"/>
                <w:w w:val="88"/>
              </w:rPr>
              <w:t>Years Ending</w:t>
            </w: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8"/>
        </w:trPr>
        <w:tc>
          <w:tcPr>
            <w:tcW w:w="3520" w:type="dxa"/>
            <w:vAlign w:val="bottom"/>
          </w:tcPr>
          <w:p>
            <w:pPr>
              <w:spacing w:after="0"/>
              <w:rPr>
                <w:sz w:val="16"/>
                <w:szCs w:val="16"/>
                <w:color w:val="auto"/>
              </w:rPr>
            </w:pPr>
          </w:p>
        </w:tc>
        <w:tc>
          <w:tcPr>
            <w:tcW w:w="2780" w:type="dxa"/>
            <w:vAlign w:val="bottom"/>
            <w:gridSpan w:val="2"/>
          </w:tcPr>
          <w:p>
            <w:pPr>
              <w:jc w:val="center"/>
              <w:ind w:right="1800"/>
              <w:spacing w:after="0" w:line="188" w:lineRule="exact"/>
              <w:rPr>
                <w:sz w:val="20"/>
                <w:szCs w:val="20"/>
                <w:color w:val="auto"/>
              </w:rPr>
            </w:pPr>
            <w:r>
              <w:rPr>
                <w:rFonts w:ascii="Arial" w:cs="Arial" w:eastAsia="Arial" w:hAnsi="Arial"/>
                <w:sz w:val="18"/>
                <w:szCs w:val="18"/>
                <w:color w:val="auto"/>
                <w:w w:val="86"/>
              </w:rPr>
              <w:t>December 31</w:t>
            </w: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4480" w:type="dxa"/>
            <w:vAlign w:val="bottom"/>
            <w:gridSpan w:val="2"/>
            <w:shd w:val="clear" w:color="auto" w:fill="CCEEFF"/>
          </w:tcPr>
          <w:p>
            <w:pPr>
              <w:jc w:val="center"/>
              <w:ind w:left="3431"/>
              <w:spacing w:after="0"/>
              <w:rPr>
                <w:sz w:val="20"/>
                <w:szCs w:val="20"/>
                <w:color w:val="auto"/>
              </w:rPr>
            </w:pPr>
            <w:r>
              <w:rPr>
                <w:rFonts w:ascii="Arial" w:cs="Arial" w:eastAsia="Arial" w:hAnsi="Arial"/>
                <w:sz w:val="18"/>
                <w:szCs w:val="18"/>
                <w:color w:val="auto"/>
                <w:w w:val="89"/>
              </w:rPr>
              <w:t>2019</w:t>
            </w:r>
          </w:p>
        </w:tc>
        <w:tc>
          <w:tcPr>
            <w:tcW w:w="18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5,579,386</w:t>
            </w:r>
          </w:p>
        </w:tc>
        <w:tc>
          <w:tcPr>
            <w:tcW w:w="80" w:type="dxa"/>
            <w:vAlign w:val="bottom"/>
            <w:shd w:val="clear" w:color="auto" w:fill="CCEEFF"/>
          </w:tcPr>
          <w:p>
            <w:pPr>
              <w:spacing w:after="0"/>
              <w:rPr>
                <w:sz w:val="18"/>
                <w:szCs w:val="18"/>
                <w:color w:val="auto"/>
              </w:rPr>
            </w:pPr>
          </w:p>
        </w:tc>
      </w:tr>
      <w:tr>
        <w:trPr>
          <w:trHeight w:val="214"/>
        </w:trPr>
        <w:tc>
          <w:tcPr>
            <w:tcW w:w="4480" w:type="dxa"/>
            <w:vAlign w:val="bottom"/>
            <w:gridSpan w:val="2"/>
          </w:tcPr>
          <w:p>
            <w:pPr>
              <w:jc w:val="center"/>
              <w:ind w:left="3431"/>
              <w:spacing w:after="0"/>
              <w:rPr>
                <w:sz w:val="20"/>
                <w:szCs w:val="20"/>
                <w:color w:val="auto"/>
              </w:rPr>
            </w:pPr>
            <w:r>
              <w:rPr>
                <w:rFonts w:ascii="Arial" w:cs="Arial" w:eastAsia="Arial" w:hAnsi="Arial"/>
                <w:sz w:val="18"/>
                <w:szCs w:val="18"/>
                <w:color w:val="auto"/>
                <w:w w:val="89"/>
              </w:rPr>
              <w:t>2020</w:t>
            </w:r>
          </w:p>
        </w:tc>
        <w:tc>
          <w:tcPr>
            <w:tcW w:w="1820" w:type="dxa"/>
            <w:vAlign w:val="bottom"/>
          </w:tcPr>
          <w:p>
            <w:pPr>
              <w:spacing w:after="0"/>
              <w:rPr>
                <w:sz w:val="18"/>
                <w:szCs w:val="18"/>
                <w:color w:val="auto"/>
              </w:rPr>
            </w:pP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3,417,632</w:t>
            </w:r>
          </w:p>
        </w:tc>
        <w:tc>
          <w:tcPr>
            <w:tcW w:w="80" w:type="dxa"/>
            <w:vAlign w:val="bottom"/>
          </w:tcPr>
          <w:p>
            <w:pPr>
              <w:spacing w:after="0"/>
              <w:rPr>
                <w:sz w:val="18"/>
                <w:szCs w:val="18"/>
                <w:color w:val="auto"/>
              </w:rPr>
            </w:pPr>
          </w:p>
        </w:tc>
      </w:tr>
      <w:tr>
        <w:trPr>
          <w:trHeight w:val="214"/>
        </w:trPr>
        <w:tc>
          <w:tcPr>
            <w:tcW w:w="4480" w:type="dxa"/>
            <w:vAlign w:val="bottom"/>
            <w:gridSpan w:val="2"/>
            <w:shd w:val="clear" w:color="auto" w:fill="CCEEFF"/>
          </w:tcPr>
          <w:p>
            <w:pPr>
              <w:jc w:val="center"/>
              <w:ind w:left="3431"/>
              <w:spacing w:after="0"/>
              <w:rPr>
                <w:sz w:val="20"/>
                <w:szCs w:val="20"/>
                <w:color w:val="auto"/>
              </w:rPr>
            </w:pPr>
            <w:r>
              <w:rPr>
                <w:rFonts w:ascii="Arial" w:cs="Arial" w:eastAsia="Arial" w:hAnsi="Arial"/>
                <w:sz w:val="18"/>
                <w:szCs w:val="18"/>
                <w:color w:val="auto"/>
                <w:w w:val="89"/>
              </w:rPr>
              <w:t>2021</w:t>
            </w:r>
          </w:p>
        </w:tc>
        <w:tc>
          <w:tcPr>
            <w:tcW w:w="18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1,838,767</w:t>
            </w:r>
          </w:p>
        </w:tc>
        <w:tc>
          <w:tcPr>
            <w:tcW w:w="80" w:type="dxa"/>
            <w:vAlign w:val="bottom"/>
            <w:shd w:val="clear" w:color="auto" w:fill="CCEEFF"/>
          </w:tcPr>
          <w:p>
            <w:pPr>
              <w:spacing w:after="0"/>
              <w:rPr>
                <w:sz w:val="18"/>
                <w:szCs w:val="18"/>
                <w:color w:val="auto"/>
              </w:rPr>
            </w:pPr>
          </w:p>
        </w:tc>
      </w:tr>
      <w:tr>
        <w:trPr>
          <w:trHeight w:val="214"/>
        </w:trPr>
        <w:tc>
          <w:tcPr>
            <w:tcW w:w="4480" w:type="dxa"/>
            <w:vAlign w:val="bottom"/>
            <w:gridSpan w:val="2"/>
          </w:tcPr>
          <w:p>
            <w:pPr>
              <w:jc w:val="center"/>
              <w:ind w:left="3431"/>
              <w:spacing w:after="0"/>
              <w:rPr>
                <w:sz w:val="20"/>
                <w:szCs w:val="20"/>
                <w:color w:val="auto"/>
              </w:rPr>
            </w:pPr>
            <w:r>
              <w:rPr>
                <w:rFonts w:ascii="Arial" w:cs="Arial" w:eastAsia="Arial" w:hAnsi="Arial"/>
                <w:sz w:val="18"/>
                <w:szCs w:val="18"/>
                <w:color w:val="auto"/>
                <w:w w:val="89"/>
              </w:rPr>
              <w:t>2022</w:t>
            </w:r>
          </w:p>
        </w:tc>
        <w:tc>
          <w:tcPr>
            <w:tcW w:w="1820" w:type="dxa"/>
            <w:vAlign w:val="bottom"/>
          </w:tcPr>
          <w:p>
            <w:pPr>
              <w:spacing w:after="0"/>
              <w:rPr>
                <w:sz w:val="18"/>
                <w:szCs w:val="18"/>
                <w:color w:val="auto"/>
              </w:rPr>
            </w:pP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808,846</w:t>
            </w:r>
          </w:p>
        </w:tc>
        <w:tc>
          <w:tcPr>
            <w:tcW w:w="80" w:type="dxa"/>
            <w:vAlign w:val="bottom"/>
          </w:tcPr>
          <w:p>
            <w:pPr>
              <w:spacing w:after="0"/>
              <w:rPr>
                <w:sz w:val="18"/>
                <w:szCs w:val="18"/>
                <w:color w:val="auto"/>
              </w:rPr>
            </w:pPr>
          </w:p>
        </w:tc>
      </w:tr>
      <w:tr>
        <w:trPr>
          <w:trHeight w:val="214"/>
        </w:trPr>
        <w:tc>
          <w:tcPr>
            <w:tcW w:w="4480" w:type="dxa"/>
            <w:vAlign w:val="bottom"/>
            <w:gridSpan w:val="2"/>
            <w:shd w:val="clear" w:color="auto" w:fill="CCEEFF"/>
          </w:tcPr>
          <w:p>
            <w:pPr>
              <w:jc w:val="center"/>
              <w:ind w:left="3431"/>
              <w:spacing w:after="0"/>
              <w:rPr>
                <w:sz w:val="20"/>
                <w:szCs w:val="20"/>
                <w:color w:val="auto"/>
              </w:rPr>
            </w:pPr>
            <w:r>
              <w:rPr>
                <w:rFonts w:ascii="Arial" w:cs="Arial" w:eastAsia="Arial" w:hAnsi="Arial"/>
                <w:sz w:val="18"/>
                <w:szCs w:val="18"/>
                <w:color w:val="auto"/>
                <w:w w:val="89"/>
              </w:rPr>
              <w:t>2023</w:t>
            </w:r>
          </w:p>
        </w:tc>
        <w:tc>
          <w:tcPr>
            <w:tcW w:w="18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689,716</w:t>
            </w:r>
          </w:p>
        </w:tc>
        <w:tc>
          <w:tcPr>
            <w:tcW w:w="80" w:type="dxa"/>
            <w:vAlign w:val="bottom"/>
            <w:shd w:val="clear" w:color="auto" w:fill="CCEEFF"/>
          </w:tcPr>
          <w:p>
            <w:pPr>
              <w:spacing w:after="0"/>
              <w:rPr>
                <w:sz w:val="18"/>
                <w:szCs w:val="18"/>
                <w:color w:val="auto"/>
              </w:rPr>
            </w:pPr>
          </w:p>
        </w:tc>
      </w:tr>
      <w:tr>
        <w:trPr>
          <w:trHeight w:val="220"/>
        </w:trPr>
        <w:tc>
          <w:tcPr>
            <w:tcW w:w="3520" w:type="dxa"/>
            <w:vAlign w:val="bottom"/>
          </w:tcPr>
          <w:p>
            <w:pPr>
              <w:spacing w:after="0"/>
              <w:rPr>
                <w:sz w:val="19"/>
                <w:szCs w:val="19"/>
                <w:color w:val="auto"/>
              </w:rPr>
            </w:pPr>
          </w:p>
        </w:tc>
        <w:tc>
          <w:tcPr>
            <w:tcW w:w="2780" w:type="dxa"/>
            <w:vAlign w:val="bottom"/>
            <w:gridSpan w:val="2"/>
          </w:tcPr>
          <w:p>
            <w:pPr>
              <w:jc w:val="center"/>
              <w:ind w:right="1800"/>
              <w:spacing w:after="0"/>
              <w:rPr>
                <w:sz w:val="20"/>
                <w:szCs w:val="20"/>
                <w:color w:val="auto"/>
              </w:rPr>
            </w:pPr>
            <w:r>
              <w:rPr>
                <w:rFonts w:ascii="Arial" w:cs="Arial" w:eastAsia="Arial" w:hAnsi="Arial"/>
                <w:sz w:val="18"/>
                <w:szCs w:val="18"/>
                <w:color w:val="auto"/>
                <w:w w:val="89"/>
              </w:rPr>
              <w:t>Thereafter</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2,339,371</w:t>
            </w:r>
          </w:p>
        </w:tc>
        <w:tc>
          <w:tcPr>
            <w:tcW w:w="80" w:type="dxa"/>
            <w:vAlign w:val="bottom"/>
          </w:tcPr>
          <w:p>
            <w:pPr>
              <w:spacing w:after="0"/>
              <w:rPr>
                <w:sz w:val="19"/>
                <w:szCs w:val="19"/>
                <w:color w:val="auto"/>
              </w:rPr>
            </w:pPr>
          </w:p>
        </w:tc>
      </w:tr>
      <w:tr>
        <w:trPr>
          <w:trHeight w:val="254"/>
        </w:trPr>
        <w:tc>
          <w:tcPr>
            <w:tcW w:w="35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89"/>
              </w:rPr>
              <w:t>Total</w:t>
            </w:r>
          </w:p>
        </w:tc>
        <w:tc>
          <w:tcPr>
            <w:tcW w:w="18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$ 14,673,718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Total rent expense related to non-cancelable operating leases for the years ended December 31, 2018 and 2017 was approximately $7,254,000 and $7,374,000,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December 31, 2018, the Company’s commitments were approximately $97,854,000, for these loans of which $72,867,000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3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07" w:lineRule="exact"/>
        <w:rPr>
          <w:sz w:val="20"/>
          <w:szCs w:val="20"/>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have a noncontributory Employee Stock Ownership Plan (“ESOP”) for all eligible employees. Eligible employees are primarily those with more than one year of service, who work in excess of 1,000 hours per year. Contributions, which may be in cash or stock of the Company, are determined annually by the Board of Directors.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contributions are allocated to eligible employees based on the ratio of each eligible employee’s compensation to total compensation for all eligible employees during each year. The Company did not make any contributions for the years ended December 31, 2018 and 2017. At December 31, 2018, the ESOP held 472,017 shares of Class A and 292,849 shares of Class C common stock of the Company. All shares held by the ESOP have been allocated to the participating employees and all shares held by the ESOP are considered outstanding for purposes of computing earnings per share.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401(k) savings plans covering all eligible employees, as defined above, which includes employer participation in accordance with the provisions of Section 401(k) of the Internal Revenue Code. The plans allow participants to make pretax contributions up to a maximum of $18,500 and $18,000 for the years 2018 and 2017, respectively or the statutory limits.</w:t>
      </w:r>
    </w:p>
    <w:p>
      <w:pPr>
        <w:spacing w:after="0" w:line="2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Beginning January 1, 2008, the Company elected to be a “Safe Harbor” Plan for its matching 401(k) contributions. The Company matched 100% of up to 3% of an employee’s total annual compensation and matched 50% of 4% to 5% of an employee’s annual compensation. The match was in Company stock. The Company’s contribution for the years ended December 31, 2018 and 2017 was $1,480,913 and $1,534,861, respectively under the “Safe Harbor” plan.</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2001, the Company’s Board of Directors adopted a Non-Qualified Deferred Compensation Plan, and this plan was amended in 2005.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2018 and 2017.</w:t>
      </w:r>
    </w:p>
    <w:p>
      <w:pPr>
        <w:spacing w:after="0" w:line="24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December 4, 2012, the Company entered into an employment agreement with Scott M. Quist, Chairman of the Board, President and Chief Executive Officer of the Company. The agreement was for a six-year term beginning on December 4, 2012 and ending on December 4, 2018. Under the terms of the Agreement, the Board of Directors may, in its sole discretion, extend the term of the agreement for an additional four-year term provided that Mr. Quist has continued to perform his duties with usual and customary care, diligence and prudence commensurate with his position with the Company. In addition, Mr. Quist is required to perform such additional duties as may be assigned to him from time to time by the Company’s Board of Directors.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December 4, 2018, the Board members approved a motion to extend Mr. Quist’s employment agreement for an additional four-year term ending December 2022. Mr. Quist abstained from voting on the motion to extend his employment agreement for the additional four-year term. Under the terms of the agreement, Mr. Quist is to devote his full time to the Company, serving as Chairman of the Board, President and Chief Executive Officer at not less than his current salary and benefits. The Company also agrees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event of a sale or merger of the Company and Mr. Quist is not retained in his current position, the Company would be obligated to continue paying Mr. Quist’s current compensation and benefits for seven years following the merger or sale. The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$660,000 and $755,302 during the years ended December 31, 2018 and 2017, respectively, to cover the present value of anticipated retirement benefits under the employment agreement. The liability accrued was $5,191,670 and $4,531,670 as of December 31, 2018 and 2017,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Retirement Plans</w:t>
      </w:r>
      <w:r>
        <w:rPr>
          <w:rFonts w:ascii="Arial" w:cs="Arial" w:eastAsia="Arial" w:hAnsi="Arial"/>
          <w:sz w:val="18"/>
          <w:szCs w:val="18"/>
          <w:color w:val="auto"/>
        </w:rPr>
        <w:t xml:space="preserve"> (Continued)</w:t>
      </w:r>
    </w:p>
    <w:p>
      <w:pPr>
        <w:spacing w:after="0" w:line="2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31, 2015, J. Lynn Beckstead, Jr., who served as Vice President of Mortgage Operations and President of SecurityNational Mortgage, retired from the Company. Under the terms of the employment agreement that the Company, through its wholly owned subsidiary, SecurityNational Mortgage, had entered into with Mr. Beckstead, Mr. Beckstead is entitled to receive retirement benefits from the Company for a period of ten years in an amount equal to 50% of his rate of compensation at the time of his retirement, which was $267,685 for the year ended December 31, 2015. Such retirement payments are paid monthly during the ten-year period. In determining Mr. Beckstead’s current rate of compensation, stock option grants and incentive or similar bonuses are not included. In the event Mr. Beckstead dies prior to receiving all of his retirement benefits under his employment agreement, the remaining benefits will be made to his heirs. The company paid $133,843 and $133,843 in retirement compensation to Mr. Beckstead during the years ended December 31, 2018 and 2017, respectively. The liability accrued was $841,591 and $975,434 as of December 31, 2018 and 2017, respectively and is included in Other liabilities and accrued expenses on the consolidated balance sheets.</w:t>
      </w:r>
    </w:p>
    <w:p>
      <w:pPr>
        <w:spacing w:after="0" w:line="232" w:lineRule="exact"/>
        <w:rPr>
          <w:sz w:val="20"/>
          <w:szCs w:val="20"/>
          <w:color w:val="auto"/>
        </w:rPr>
      </w:pPr>
    </w:p>
    <w:p>
      <w:pPr>
        <w:ind w:left="380" w:hanging="37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Capital Stock</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one class of preferred stock of $1.00 par value, 5,000,000 shares authorized, of which none are issued. The preferred stock is non-voting.</w:t>
      </w:r>
    </w:p>
    <w:p>
      <w:pPr>
        <w:spacing w:after="0" w:line="2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 to one ratio. The decrease in treasury stock was the result of treasury stock being used to fund the company’s 401(k) Plans.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Stockholders of both Class A and Class C common stock have received 5% stock dividends in the years 1990 through 2018, as authorized by the Company’s Board of Directors.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(Continued)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shares of capital stock for the two-year period ended December 31, 2018:</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Class A</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Class C</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13,819,006</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1,902,229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Stock dividends</w:t>
            </w:r>
          </w:p>
        </w:tc>
        <w:tc>
          <w:tcPr>
            <w:tcW w:w="920" w:type="dxa"/>
            <w:vAlign w:val="bottom"/>
          </w:tcPr>
          <w:p>
            <w:pPr>
              <w:jc w:val="right"/>
              <w:spacing w:after="0"/>
              <w:rPr>
                <w:sz w:val="20"/>
                <w:szCs w:val="20"/>
                <w:color w:val="auto"/>
              </w:rPr>
            </w:pPr>
            <w:r>
              <w:rPr>
                <w:rFonts w:ascii="Arial" w:cs="Arial" w:eastAsia="Arial" w:hAnsi="Arial"/>
                <w:sz w:val="18"/>
                <w:szCs w:val="18"/>
                <w:color w:val="auto"/>
              </w:rPr>
              <w:t>692,635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Class C to Class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14,535,577</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2,089,374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Stock dividends</w:t>
            </w:r>
          </w:p>
        </w:tc>
        <w:tc>
          <w:tcPr>
            <w:tcW w:w="920" w:type="dxa"/>
            <w:vAlign w:val="bottom"/>
          </w:tcPr>
          <w:p>
            <w:pPr>
              <w:jc w:val="right"/>
              <w:spacing w:after="0"/>
              <w:rPr>
                <w:sz w:val="20"/>
                <w:szCs w:val="20"/>
                <w:color w:val="auto"/>
              </w:rPr>
            </w:pPr>
            <w:r>
              <w:rPr>
                <w:rFonts w:ascii="Arial" w:cs="Arial" w:eastAsia="Arial" w:hAnsi="Arial"/>
                <w:sz w:val="18"/>
                <w:szCs w:val="18"/>
                <w:color w:val="auto"/>
              </w:rPr>
              <w:t>730,560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Class C to Class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15,304,798</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2,193,643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21,686,079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14,112,934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70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Denominator for basic earnings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tcBorders>
              <w:bottom w:val="single" w:sz="8" w:color="CCEEFF"/>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 share-weighted-average shares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17,105,308</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16,794,146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tcPr>
          <w:p>
            <w:pPr>
              <w:ind w:left="380"/>
              <w:spacing w:after="0"/>
              <w:rPr>
                <w:sz w:val="20"/>
                <w:szCs w:val="20"/>
                <w:color w:val="auto"/>
              </w:rPr>
            </w:pPr>
            <w:r>
              <w:rPr>
                <w:rFonts w:ascii="Arial" w:cs="Arial" w:eastAsia="Arial" w:hAnsi="Arial"/>
                <w:sz w:val="18"/>
                <w:szCs w:val="18"/>
                <w:color w:val="auto"/>
              </w:rPr>
              <w:t>Employee stock options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210,098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potential common shares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210,098</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329,281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40" w:type="dxa"/>
            <w:vAlign w:val="bottom"/>
            <w:tcBorders>
              <w:right w:val="single" w:sz="8" w:color="CCEEFF"/>
            </w:tcBorders>
            <w:shd w:val="clear" w:color="auto" w:fill="CCEEFF"/>
          </w:tcPr>
          <w:p>
            <w:pPr>
              <w:ind w:left="180"/>
              <w:spacing w:after="0" w:line="200" w:lineRule="exact"/>
              <w:rPr>
                <w:sz w:val="20"/>
                <w:szCs w:val="20"/>
                <w:color w:val="auto"/>
              </w:rPr>
            </w:pPr>
            <w:r>
              <w:rPr>
                <w:rFonts w:ascii="Arial" w:cs="Arial" w:eastAsia="Arial" w:hAnsi="Arial"/>
                <w:sz w:val="18"/>
                <w:szCs w:val="18"/>
                <w:color w:val="auto"/>
                <w:w w:val="92"/>
              </w:rPr>
              <w:t>Denominator for diluted earnings per share-adjusted weighted-average shares and assumed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0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conversions</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17,315,406</w:t>
            </w: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17,123,427</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 the years ended December 31, 2018 and 2017, there were 862,915 and 589,822 of anti-dilutive employee stock option shares, respectively, that were not included in the computation of diluted net earnings per common share as their effect would be anti-dilutive.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two fixed option plans (the “2013 Plan” and the “2014 Director Plan”). Compensation expense for options issued of $237,123 and $395,603 has been recognized under these plans for the years ended December 31, 2018 and 2017, respectively, and is included in personnel expenses on the consolidated statements of earnings. As of December 31, 2018, the total unrecognized compensation expense related to the options issued in December 2018 was $239,620, which is expected to be recognized over the vesting period of one year.</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table summarizes the assumptions used in estimating the fair value of each option granted along with the weighted-average fair value of the options granted: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89"/>
              </w:rPr>
              <w:t>Assumptions</w:t>
            </w: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9"/>
        </w:trPr>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right="180"/>
              <w:spacing w:after="0" w:line="200" w:lineRule="exact"/>
              <w:rPr>
                <w:sz w:val="20"/>
                <w:szCs w:val="20"/>
                <w:color w:val="auto"/>
              </w:rPr>
            </w:pPr>
            <w:r>
              <w:rPr>
                <w:rFonts w:ascii="Arial" w:cs="Arial" w:eastAsia="Arial" w:hAnsi="Arial"/>
                <w:sz w:val="18"/>
                <w:szCs w:val="18"/>
                <w:color w:val="auto"/>
                <w:w w:val="87"/>
              </w:rPr>
              <w:t>Weighted-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280"/>
              <w:spacing w:after="0" w:line="200" w:lineRule="exact"/>
              <w:rPr>
                <w:sz w:val="20"/>
                <w:szCs w:val="20"/>
                <w:color w:val="auto"/>
              </w:rPr>
            </w:pPr>
            <w:r>
              <w:rPr>
                <w:rFonts w:ascii="Arial" w:cs="Arial" w:eastAsia="Arial" w:hAnsi="Arial"/>
                <w:sz w:val="18"/>
                <w:szCs w:val="18"/>
                <w:color w:val="auto"/>
                <w:w w:val="90"/>
              </w:rPr>
              <w:t>Weighted-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Fair Value</w:t>
            </w:r>
          </w:p>
        </w:tc>
        <w:tc>
          <w:tcPr>
            <w:tcW w:w="780" w:type="dxa"/>
            <w:vAlign w:val="bottom"/>
          </w:tcPr>
          <w:p>
            <w:pPr>
              <w:jc w:val="center"/>
              <w:ind w:left="11"/>
              <w:spacing w:after="0"/>
              <w:rPr>
                <w:sz w:val="20"/>
                <w:szCs w:val="20"/>
                <w:color w:val="auto"/>
              </w:rPr>
            </w:pPr>
            <w:r>
              <w:rPr>
                <w:rFonts w:ascii="Arial" w:cs="Arial" w:eastAsia="Arial" w:hAnsi="Arial"/>
                <w:sz w:val="18"/>
                <w:szCs w:val="18"/>
                <w:color w:val="auto"/>
                <w:w w:val="90"/>
              </w:rPr>
              <w:t>Expected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2"/>
              </w:rPr>
              <w:t>Underlying</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Risk-Free</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of Each</w:t>
            </w:r>
          </w:p>
        </w:tc>
        <w:tc>
          <w:tcPr>
            <w:tcW w:w="780" w:type="dxa"/>
            <w:vAlign w:val="bottom"/>
          </w:tcPr>
          <w:p>
            <w:pPr>
              <w:jc w:val="center"/>
              <w:ind w:left="11"/>
              <w:spacing w:after="0"/>
              <w:rPr>
                <w:sz w:val="20"/>
                <w:szCs w:val="20"/>
                <w:color w:val="auto"/>
              </w:rPr>
            </w:pPr>
            <w:r>
              <w:rPr>
                <w:rFonts w:ascii="Arial" w:cs="Arial" w:eastAsia="Arial" w:hAnsi="Arial"/>
                <w:sz w:val="18"/>
                <w:szCs w:val="18"/>
                <w:color w:val="auto"/>
                <w:w w:val="97"/>
              </w:rPr>
              <w:t>Dividend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5"/>
              </w:rPr>
              <w:t>stock</w:t>
            </w: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Interest</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Expected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5"/>
        </w:trPr>
        <w:tc>
          <w:tcPr>
            <w:tcW w:w="1160" w:type="dxa"/>
            <w:vAlign w:val="bottom"/>
          </w:tcPr>
          <w:p>
            <w:pPr>
              <w:spacing w:after="0"/>
              <w:rPr>
                <w:sz w:val="20"/>
                <w:szCs w:val="20"/>
                <w:color w:val="auto"/>
              </w:rPr>
            </w:pPr>
          </w:p>
        </w:tc>
        <w:tc>
          <w:tcPr>
            <w:tcW w:w="1340" w:type="dxa"/>
            <w:vAlign w:val="bottom"/>
          </w:tcPr>
          <w:p>
            <w:pPr>
              <w:jc w:val="center"/>
              <w:ind w:right="11"/>
              <w:spacing w:after="0"/>
              <w:rPr>
                <w:sz w:val="20"/>
                <w:szCs w:val="20"/>
                <w:color w:val="auto"/>
              </w:rPr>
            </w:pPr>
            <w:r>
              <w:rPr>
                <w:rFonts w:ascii="Arial" w:cs="Arial" w:eastAsia="Arial" w:hAnsi="Arial"/>
                <w:sz w:val="18"/>
                <w:szCs w:val="18"/>
                <w:color w:val="auto"/>
                <w:w w:val="90"/>
              </w:rPr>
              <w:t>Grant Date</w:t>
            </w:r>
          </w:p>
        </w:tc>
        <w:tc>
          <w:tcPr>
            <w:tcW w:w="1200" w:type="dxa"/>
            <w:vAlign w:val="bottom"/>
          </w:tcPr>
          <w:p>
            <w:pPr>
              <w:jc w:val="center"/>
              <w:ind w:right="11"/>
              <w:spacing w:after="0"/>
              <w:rPr>
                <w:sz w:val="20"/>
                <w:szCs w:val="20"/>
                <w:color w:val="auto"/>
              </w:rPr>
            </w:pPr>
            <w:r>
              <w:rPr>
                <w:rFonts w:ascii="Arial" w:cs="Arial" w:eastAsia="Arial" w:hAnsi="Arial"/>
                <w:sz w:val="18"/>
                <w:szCs w:val="18"/>
                <w:color w:val="auto"/>
                <w:w w:val="83"/>
              </w:rPr>
              <w:t>Plan</w:t>
            </w:r>
          </w:p>
        </w:tc>
        <w:tc>
          <w:tcPr>
            <w:tcW w:w="8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Option (1)</w:t>
            </w:r>
          </w:p>
        </w:tc>
        <w:tc>
          <w:tcPr>
            <w:tcW w:w="780" w:type="dxa"/>
            <w:vAlign w:val="bottom"/>
          </w:tcPr>
          <w:p>
            <w:pPr>
              <w:jc w:val="center"/>
              <w:ind w:left="11"/>
              <w:spacing w:after="0"/>
              <w:rPr>
                <w:sz w:val="20"/>
                <w:szCs w:val="20"/>
                <w:color w:val="auto"/>
              </w:rPr>
            </w:pPr>
            <w:r>
              <w:rPr>
                <w:rFonts w:ascii="Arial" w:cs="Arial" w:eastAsia="Arial" w:hAnsi="Arial"/>
                <w:sz w:val="18"/>
                <w:szCs w:val="18"/>
                <w:color w:val="auto"/>
                <w:w w:val="99"/>
              </w:rPr>
              <w:t>Yield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rPr>
              <w:t>FMV</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Volatility</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Rate</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Life (years)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9"/>
        </w:trPr>
        <w:tc>
          <w:tcPr>
            <w:tcW w:w="1160" w:type="dxa"/>
            <w:vAlign w:val="bottom"/>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0" w:lineRule="exact"/>
              <w:rPr>
                <w:sz w:val="20"/>
                <w:szCs w:val="20"/>
                <w:color w:val="auto"/>
              </w:rPr>
            </w:pPr>
            <w:r>
              <w:rPr>
                <w:rFonts w:ascii="Arial" w:cs="Arial" w:eastAsia="Arial" w:hAnsi="Arial"/>
                <w:sz w:val="18"/>
                <w:szCs w:val="18"/>
                <w:color w:val="auto"/>
                <w:w w:val="90"/>
              </w:rPr>
              <w:t>November 30,</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13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2018</w:t>
            </w:r>
          </w:p>
        </w:tc>
        <w:tc>
          <w:tcPr>
            <w:tcW w:w="1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4"/>
              </w:rPr>
              <w:t>All Plans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9"/>
        </w:trPr>
        <w:tc>
          <w:tcPr>
            <w:tcW w:w="1160" w:type="dxa"/>
            <w:vAlign w:val="bottom"/>
          </w:tcPr>
          <w:p>
            <w:pPr>
              <w:spacing w:after="0"/>
              <w:rPr>
                <w:sz w:val="17"/>
                <w:szCs w:val="17"/>
                <w:color w:val="auto"/>
              </w:rPr>
            </w:pPr>
          </w:p>
        </w:tc>
        <w:tc>
          <w:tcPr>
            <w:tcW w:w="1340" w:type="dxa"/>
            <w:vAlign w:val="bottom"/>
            <w:shd w:val="clear" w:color="auto" w:fill="CCEEFF"/>
          </w:tcPr>
          <w:p>
            <w:pPr>
              <w:jc w:val="center"/>
              <w:ind w:right="11"/>
              <w:spacing w:after="0" w:line="200" w:lineRule="exact"/>
              <w:rPr>
                <w:sz w:val="20"/>
                <w:szCs w:val="20"/>
                <w:color w:val="auto"/>
              </w:rPr>
            </w:pPr>
            <w:r>
              <w:rPr>
                <w:rFonts w:ascii="Arial" w:cs="Arial" w:eastAsia="Arial" w:hAnsi="Arial"/>
                <w:sz w:val="18"/>
                <w:szCs w:val="18"/>
                <w:color w:val="auto"/>
                <w:w w:val="89"/>
              </w:rPr>
              <w:t>December 1,</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13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2017</w:t>
            </w:r>
          </w:p>
        </w:tc>
        <w:tc>
          <w:tcPr>
            <w:tcW w:w="12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4"/>
              </w:rPr>
              <w:t>All Plans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843"/>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365"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spacing w:after="0"/>
              <w:rPr>
                <w:sz w:val="20"/>
                <w:szCs w:val="20"/>
                <w:color w:val="auto"/>
              </w:rPr>
            </w:pPr>
            <w:r>
              <w:rPr>
                <w:rFonts w:ascii="Arial" w:cs="Arial" w:eastAsia="Arial" w:hAnsi="Arial"/>
                <w:sz w:val="18"/>
                <w:szCs w:val="18"/>
                <w:color w:val="auto"/>
              </w:rPr>
              <w:t>13)  Stock Compensation Plans (Continued)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000" w:type="dxa"/>
            <w:vAlign w:val="bottom"/>
            <w:gridSpan w:val="4"/>
          </w:tcPr>
          <w:p>
            <w:pPr>
              <w:spacing w:after="0"/>
              <w:rPr>
                <w:sz w:val="20"/>
                <w:szCs w:val="20"/>
                <w:color w:val="auto"/>
              </w:rPr>
            </w:pPr>
            <w:r>
              <w:rPr>
                <w:rFonts w:ascii="Arial" w:cs="Arial" w:eastAsia="Arial" w:hAnsi="Arial"/>
                <w:sz w:val="18"/>
                <w:szCs w:val="18"/>
                <w:color w:val="auto"/>
              </w:rPr>
              <w:t>Activity of the stock option plans is summarized as follows: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31"/>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1"/>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1"/>
              <w:spacing w:after="0"/>
              <w:rPr>
                <w:sz w:val="20"/>
                <w:szCs w:val="20"/>
                <w:color w:val="auto"/>
              </w:rPr>
            </w:pPr>
            <w:r>
              <w:rPr>
                <w:rFonts w:ascii="Arial" w:cs="Arial" w:eastAsia="Arial" w:hAnsi="Arial"/>
                <w:sz w:val="18"/>
                <w:szCs w:val="18"/>
                <w:color w:val="auto"/>
                <w:w w:val="86"/>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Class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1"/>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741,973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556,298</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Adjustment for the effect of stock dividends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40,978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(103,402)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vMerge w:val="restart"/>
          </w:tcPr>
          <w:p>
            <w:pPr>
              <w:spacing w:after="0"/>
              <w:rPr>
                <w:sz w:val="18"/>
                <w:szCs w:val="18"/>
                <w:color w:val="auto"/>
              </w:rPr>
            </w:pPr>
          </w:p>
        </w:tc>
        <w:tc>
          <w:tcPr>
            <w:tcW w:w="760" w:type="dxa"/>
            <w:vAlign w:val="bottom"/>
            <w:vMerge w:val="restart"/>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0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48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Adjustment for the effect of stock dividends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48,168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(42,211)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vMerge w:val="restart"/>
          </w:tcPr>
          <w:p>
            <w:pPr>
              <w:spacing w:after="0"/>
              <w:rPr>
                <w:sz w:val="18"/>
                <w:szCs w:val="18"/>
                <w:color w:val="auto"/>
              </w:rPr>
            </w:pPr>
          </w:p>
        </w:tc>
        <w:tc>
          <w:tcPr>
            <w:tcW w:w="760" w:type="dxa"/>
            <w:vAlign w:val="bottom"/>
            <w:vMerge w:val="restart"/>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0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48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1,011,274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0" w:type="dxa"/>
            <w:vAlign w:val="bottom"/>
            <w:vMerge w:val="restart"/>
          </w:tcPr>
          <w:p>
            <w:pPr>
              <w:spacing w:after="0"/>
              <w:rPr>
                <w:sz w:val="17"/>
                <w:szCs w:val="17"/>
                <w:color w:val="auto"/>
              </w:rPr>
            </w:pPr>
          </w:p>
        </w:tc>
        <w:tc>
          <w:tcPr>
            <w:tcW w:w="76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48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0" w:type="dxa"/>
            <w:vAlign w:val="bottom"/>
            <w:vMerge w:val="restart"/>
          </w:tcPr>
          <w:p>
            <w:pPr>
              <w:spacing w:after="0"/>
              <w:rPr>
                <w:sz w:val="17"/>
                <w:szCs w:val="17"/>
                <w:color w:val="auto"/>
              </w:rPr>
            </w:pPr>
          </w:p>
        </w:tc>
        <w:tc>
          <w:tcPr>
            <w:tcW w:w="76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48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146,425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00" w:type="dxa"/>
            <w:vAlign w:val="bottom"/>
            <w:vMerge w:val="restart"/>
          </w:tcPr>
          <w:p>
            <w:pPr>
              <w:spacing w:after="0"/>
              <w:rPr>
                <w:sz w:val="17"/>
                <w:szCs w:val="17"/>
                <w:color w:val="auto"/>
              </w:rPr>
            </w:pPr>
          </w:p>
        </w:tc>
        <w:tc>
          <w:tcPr>
            <w:tcW w:w="76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840" w:type="dxa"/>
            <w:vAlign w:val="bottom"/>
            <w:tcBorders>
              <w:right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w w:val="99"/>
              </w:rPr>
              <w:t>Weighted average contractual term of options outstanding at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6.14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3.96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vMerge w:val="restart"/>
          </w:tcPr>
          <w:p>
            <w:pPr>
              <w:spacing w:after="0"/>
              <w:rPr>
                <w:sz w:val="18"/>
                <w:szCs w:val="18"/>
                <w:color w:val="auto"/>
              </w:rPr>
            </w:pPr>
          </w:p>
        </w:tc>
        <w:tc>
          <w:tcPr>
            <w:tcW w:w="76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840" w:type="dxa"/>
            <w:vAlign w:val="bottom"/>
            <w:tcBorders>
              <w:right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Weighted average contractual term of options exercisable at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5.90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2.80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vMerge w:val="restart"/>
          </w:tcPr>
          <w:p>
            <w:pPr>
              <w:spacing w:after="0"/>
              <w:rPr>
                <w:sz w:val="18"/>
                <w:szCs w:val="18"/>
                <w:color w:val="auto"/>
              </w:rPr>
            </w:pPr>
          </w:p>
        </w:tc>
        <w:tc>
          <w:tcPr>
            <w:tcW w:w="76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840" w:type="dxa"/>
            <w:vAlign w:val="bottom"/>
            <w:tcBorders>
              <w:right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w w:val="91"/>
              </w:rPr>
              <w:t>Aggregated intrinsic value of options outstanding at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792,135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188,462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2018 (1)</w:t>
            </w:r>
          </w:p>
        </w:tc>
        <w:tc>
          <w:tcPr>
            <w:tcW w:w="368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vMerge w:val="restart"/>
          </w:tcPr>
          <w:p>
            <w:pPr>
              <w:spacing w:after="0"/>
              <w:rPr>
                <w:sz w:val="17"/>
                <w:szCs w:val="17"/>
                <w:color w:val="auto"/>
              </w:rPr>
            </w:pPr>
          </w:p>
        </w:tc>
        <w:tc>
          <w:tcPr>
            <w:tcW w:w="760" w:type="dxa"/>
            <w:vAlign w:val="bottom"/>
            <w:vMerge w:val="restart"/>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4840" w:type="dxa"/>
            <w:vAlign w:val="bottom"/>
            <w:tcBorders>
              <w:right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w w:val="91"/>
              </w:rPr>
              <w:t>Aggregated intrinsic value of options exercisable at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792,135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188,462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2018 (1)</w:t>
            </w:r>
          </w:p>
        </w:tc>
        <w:tc>
          <w:tcPr>
            <w:tcW w:w="3680" w:type="dxa"/>
            <w:vAlign w:val="bottom"/>
            <w:tcBorders>
              <w:right w:val="single" w:sz="8" w:color="CCEEFF"/>
            </w:tcBorders>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The Company used a stock price of $4.91 as of December 31, 2018 to derive intrinsic value.</w:t>
      </w:r>
    </w:p>
    <w:p>
      <w:pPr>
        <w:spacing w:after="0" w:line="27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years ended December 31, 2018 and 2017 was $123,154 and $611,126,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Statutory Financial Information and Dividend Limitations</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NAIC, as well as state laws, regulations and general administrative rules. Permitted statutory accounting practices encompass all accounting practices not so prescribed.</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states require domiciled insurance companies to prepare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Statutory net income and capital and surplus of the Company’s insurance subsidiaries, determined in accordance with statutory accounting practices prescribed or permitted by insurance regulatory authorities are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jc w:val="right"/>
              <w:ind w:right="151"/>
              <w:spacing w:after="0"/>
              <w:rPr>
                <w:sz w:val="20"/>
                <w:szCs w:val="20"/>
                <w:color w:val="auto"/>
              </w:rPr>
            </w:pPr>
            <w:r>
              <w:rPr>
                <w:rFonts w:ascii="Arial" w:cs="Arial" w:eastAsia="Arial" w:hAnsi="Arial"/>
                <w:sz w:val="18"/>
                <w:szCs w:val="18"/>
                <w:color w:val="auto"/>
              </w:rPr>
              <w:t>Statutory Capital and</w:t>
            </w:r>
          </w:p>
        </w:tc>
        <w:tc>
          <w:tcPr>
            <w:tcW w:w="8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4"/>
          </w:tcPr>
          <w:p>
            <w:pPr>
              <w:jc w:val="right"/>
              <w:ind w:right="380"/>
              <w:spacing w:after="0"/>
              <w:rPr>
                <w:sz w:val="20"/>
                <w:szCs w:val="20"/>
                <w:color w:val="auto"/>
              </w:rPr>
            </w:pPr>
            <w:r>
              <w:rPr>
                <w:rFonts w:ascii="Arial" w:cs="Arial" w:eastAsia="Arial" w:hAnsi="Arial"/>
                <w:sz w:val="18"/>
                <w:szCs w:val="18"/>
                <w:color w:val="auto"/>
              </w:rPr>
              <w:t>Statutory Net Income</w:t>
            </w:r>
          </w:p>
        </w:tc>
        <w:tc>
          <w:tcPr>
            <w:tcW w:w="80" w:type="dxa"/>
            <w:vAlign w:val="bottom"/>
          </w:tcPr>
          <w:p>
            <w:pPr>
              <w:spacing w:after="0"/>
              <w:rPr>
                <w:sz w:val="20"/>
                <w:szCs w:val="20"/>
                <w:color w:val="auto"/>
              </w:rPr>
            </w:pPr>
          </w:p>
        </w:tc>
        <w:tc>
          <w:tcPr>
            <w:tcW w:w="1960" w:type="dxa"/>
            <w:vAlign w:val="bottom"/>
            <w:gridSpan w:val="3"/>
          </w:tcPr>
          <w:p>
            <w:pPr>
              <w:jc w:val="right"/>
              <w:ind w:right="631"/>
              <w:spacing w:after="0"/>
              <w:rPr>
                <w:sz w:val="20"/>
                <w:szCs w:val="20"/>
                <w:color w:val="auto"/>
              </w:rPr>
            </w:pPr>
            <w:r>
              <w:rPr>
                <w:rFonts w:ascii="Arial" w:cs="Arial" w:eastAsia="Arial" w:hAnsi="Arial"/>
                <w:sz w:val="18"/>
                <w:szCs w:val="18"/>
                <w:color w:val="auto"/>
              </w:rPr>
              <w:t>Surplus</w:t>
            </w:r>
          </w:p>
        </w:tc>
        <w:tc>
          <w:tcPr>
            <w:tcW w:w="8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120" w:type="dxa"/>
            <w:vAlign w:val="bottom"/>
            <w:tcBorders>
              <w:top w:val="single" w:sz="8" w:color="auto"/>
            </w:tcBorders>
            <w:gridSpan w:val="2"/>
          </w:tcPr>
          <w:p>
            <w:pPr>
              <w:jc w:val="right"/>
              <w:ind w:right="21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1060" w:type="dxa"/>
            <w:vAlign w:val="bottom"/>
            <w:tcBorders>
              <w:top w:val="single" w:sz="8" w:color="auto"/>
            </w:tcBorders>
            <w:gridSpan w:val="2"/>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12"/>
        </w:trPr>
        <w:tc>
          <w:tcPr>
            <w:tcW w:w="4860" w:type="dxa"/>
            <w:vAlign w:val="bottom"/>
            <w:gridSpan w:val="2"/>
          </w:tcPr>
          <w:p>
            <w:pPr>
              <w:spacing w:after="0"/>
              <w:rPr>
                <w:sz w:val="20"/>
                <w:szCs w:val="20"/>
                <w:color w:val="auto"/>
              </w:rPr>
            </w:pPr>
            <w:r>
              <w:rPr>
                <w:rFonts w:ascii="Arial" w:cs="Arial" w:eastAsia="Arial" w:hAnsi="Arial"/>
                <w:sz w:val="18"/>
                <w:szCs w:val="18"/>
                <w:color w:val="auto"/>
              </w:rPr>
              <w:t>Amounts by insurance subsidiary:</w:t>
            </w: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Security National Life Insurance Company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$ 17,963,528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(3,045,489)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$ 47,184,064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$ 35,646,989</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First Guaranty Insurance Company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1,042,683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1,437,963</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5,786,369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4,583,346</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Memorial Insurance Company of America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1,088,880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1,081,799</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Southern Security Life Insurance Company, Inc.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1,586,915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1,591,070</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Trans-Western Life Insurance Company</w:t>
            </w: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508,390</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502,930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5"/>
              </w:rPr>
              <w:t>$ 19,011,833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 (1,604,821)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56,154,618</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43,406,134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Utah, Arkansas, Louisiana, Mississippi and Texas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have a combined weighted Ratio that is greater than the first level of regulatory action as of December 31, 2018.</w:t>
      </w:r>
    </w:p>
    <w:p>
      <w:pPr>
        <w:spacing w:after="0" w:line="24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the Utah Insurance Code, Security National Life Insurance Company is permitted to pay a stockholder dividend to the Company as long as the Company provides the Utah Insurance Commissioner (the “Utah Commissioner”) with at least 30 days notice and the aggregate amount of all such dividends in any 12 month period does not exceed the lesser of: (i) 10% of its surplus to policyholders as of the end of the immediately preceding calendar year, or (ii) net gain from operations, not including realized capital gains, for the immediately preceding calendar year, not including pro rata distributions of the Company’s own securities. In determining whether a dividend is extraordinary, the Company may include carryforward net income from the previous two calendar years, excluding realized capital gains less dividends paid in the second and immediately preceding calendar years. Security National Life Insurance Company will be permitted to pay a dividend to the Company in excess of the lesser of such two amounts only if it files notice of its intention to declare such a dividend and the amount thereof with the Utah Commissioner and the Utah Commissioner either approves the distribution of the dividend or does not disapprove the distribution within 30 days of its filing. In all cases, a dividend may not be paid that would reduce the insurer’s total adjusted capital below the insurer’s company action level risk-based capital, as defined for statutory reporting purposes. Amounts available to be paid as dividends in the next 12 months totals approximately $1,633,000.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Statutory Financial Information and Dividend Limitations</w:t>
      </w:r>
      <w:r>
        <w:rPr>
          <w:rFonts w:ascii="Arial" w:cs="Arial" w:eastAsia="Arial" w:hAnsi="Arial"/>
          <w:sz w:val="18"/>
          <w:szCs w:val="18"/>
          <w:color w:val="auto"/>
        </w:rPr>
        <w:t xml:space="preserve"> (Continued)</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Louisiana Insurance Code, First Guaranty Insurance Company is permitted to pay a stockholder dividend to Security National Life as long as First Guaranty Insurance Company’s capital has been (i) fully paid in cash, (ii) is unimpaired, (iii) has a surplus beyond its capital stock and (iv) has a surplus beyond its minimum required surplus. In 2017, First Guaranty Insurance Company paid to Security National Life a cash dividend of $1,000,000. Amounts available to be paid as dividends at December 31, 2018 totaled approximately $1,886,000.</w:t>
      </w:r>
    </w:p>
    <w:p>
      <w:pPr>
        <w:spacing w:after="0" w:line="242" w:lineRule="exact"/>
        <w:rPr>
          <w:sz w:val="20"/>
          <w:szCs w:val="20"/>
          <w:color w:val="auto"/>
        </w:rPr>
      </w:pPr>
    </w:p>
    <w:p>
      <w:pPr>
        <w:ind w:left="380" w:hanging="37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and Services by Segment</w:t>
      </w:r>
    </w:p>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pre-sold loans before the funds are received from financial institutional investors.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of Segment Profit or Loss and Segment Assets</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accounting policies of the reportable segments are the same as those described in the Significant Accounting Principles. Intersegment revenues are recorded at cost plus an agreed upon intercompany profit, and are eliminated upon consolidation.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Management Used to Identify the Enterprise’s Reportable Segments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4"/>
          </w:tcPr>
          <w:p>
            <w:pPr>
              <w:spacing w:after="0"/>
              <w:rPr>
                <w:sz w:val="20"/>
                <w:szCs w:val="20"/>
                <w:color w:val="auto"/>
              </w:rPr>
            </w:pPr>
            <w:r>
              <w:rPr>
                <w:rFonts w:ascii="Arial" w:cs="Arial" w:eastAsia="Arial" w:hAnsi="Arial"/>
                <w:sz w:val="18"/>
                <w:szCs w:val="18"/>
                <w:color w:val="auto"/>
              </w:rPr>
              <w:t>15)  Business Segment Information (Continued)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80"/>
              <w:spacing w:after="0" w:line="200" w:lineRule="exact"/>
              <w:rPr>
                <w:sz w:val="20"/>
                <w:szCs w:val="20"/>
                <w:color w:val="auto"/>
              </w:rPr>
            </w:pPr>
            <w:r>
              <w:rPr>
                <w:rFonts w:ascii="Arial" w:cs="Arial" w:eastAsia="Arial" w:hAnsi="Arial"/>
                <w:sz w:val="18"/>
                <w:szCs w:val="18"/>
                <w:color w:val="auto"/>
              </w:rPr>
              <w:t>Life</w:t>
            </w:r>
          </w:p>
        </w:tc>
        <w:tc>
          <w:tcPr>
            <w:tcW w:w="1060" w:type="dxa"/>
            <w:vAlign w:val="bottom"/>
            <w:gridSpan w:val="3"/>
          </w:tcPr>
          <w:p>
            <w:pPr>
              <w:jc w:val="center"/>
              <w:ind w:right="160"/>
              <w:spacing w:after="0" w:line="200" w:lineRule="exact"/>
              <w:rPr>
                <w:sz w:val="20"/>
                <w:szCs w:val="20"/>
                <w:color w:val="auto"/>
              </w:rPr>
            </w:pPr>
            <w:r>
              <w:rPr>
                <w:rFonts w:ascii="Arial" w:cs="Arial" w:eastAsia="Arial" w:hAnsi="Arial"/>
                <w:sz w:val="18"/>
                <w:szCs w:val="18"/>
                <w:color w:val="auto"/>
                <w:w w:val="89"/>
              </w:rPr>
              <w:t>Cemetery/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w w:val="89"/>
              </w:rPr>
              <w:t>Intercompany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Insurance</w:t>
            </w:r>
          </w:p>
        </w:tc>
        <w:tc>
          <w:tcPr>
            <w:tcW w:w="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Mortuary</w:t>
            </w:r>
          </w:p>
        </w:tc>
        <w:tc>
          <w:tcPr>
            <w:tcW w:w="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Mortgage</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Eliminations</w:t>
            </w: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4120" w:type="dxa"/>
            <w:vAlign w:val="bottom"/>
            <w:gridSpan w:val="3"/>
          </w:tcPr>
          <w:p>
            <w:pPr>
              <w:ind w:left="760"/>
              <w:spacing w:after="0" w:line="200"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4120" w:type="dxa"/>
            <w:vAlign w:val="bottom"/>
            <w:gridSpan w:val="3"/>
          </w:tcPr>
          <w:p>
            <w:pPr>
              <w:ind w:left="760"/>
              <w:spacing w:after="0"/>
              <w:rPr>
                <w:sz w:val="20"/>
                <w:szCs w:val="20"/>
                <w:color w:val="auto"/>
              </w:rPr>
            </w:pPr>
            <w:r>
              <w:rPr>
                <w:rFonts w:ascii="Arial" w:cs="Arial" w:eastAsia="Arial" w:hAnsi="Arial"/>
                <w:sz w:val="18"/>
                <w:szCs w:val="18"/>
                <w:color w:val="auto"/>
              </w:rPr>
              <w:t>From external sources: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75,928,910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13,726,518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116,185,853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205,841,281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38,720,365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909,559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39,913,267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21,396,282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2,301,342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243,555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23,941,179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1,636,901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8,157,302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9,923,000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3,972,532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429,312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503,794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(4,905,638)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141,654,990</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16,869,312</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126,000,063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(4,905,638)</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279,618,727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Death, surrenders and other policy benefits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39,185,087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39,185,087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Increase in future policy benefits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24,332,088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24,332,088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Amortization of deferred policy and pre-need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and value of business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11,270,579</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360,767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11,631,346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3,242,745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1,222,642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45,825,965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50,291,352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Personnel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18,489,063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4,773,866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44,106,023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67,368,952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566,154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333,852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3,702,585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4,602,591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Rent and rent related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321,701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7,250,536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7,605,375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Depreciation on property and equipment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400,686</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372,469</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1,093,846</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1,867,001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Cost related to funding mortgage loans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6,423,944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6,423,944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Intersegment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402,213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182,009</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531,370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(1,115,592)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10,094,626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3,046,902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17,873,471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31,014,999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Intersegment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481,587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173,807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3,134,652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(3,790,046)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2,744,841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3,917,331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6,956,707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40" w:type="dxa"/>
            <w:vAlign w:val="bottom"/>
            <w:gridSpan w:val="2"/>
          </w:tcPr>
          <w:p>
            <w:pPr>
              <w:spacing w:after="0" w:line="200" w:lineRule="exact"/>
              <w:rPr>
                <w:sz w:val="20"/>
                <w:szCs w:val="20"/>
                <w:color w:val="auto"/>
              </w:rPr>
            </w:pPr>
            <w:r>
              <w:rPr>
                <w:rFonts w:ascii="Arial" w:cs="Arial" w:eastAsia="Arial" w:hAnsi="Arial"/>
                <w:sz w:val="18"/>
                <w:szCs w:val="18"/>
                <w:color w:val="auto"/>
                <w:w w:val="93"/>
              </w:rPr>
              <w:t>Costs of goods and services sold-mortuaries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4120" w:type="dxa"/>
            <w:vAlign w:val="bottom"/>
            <w:gridSpan w:val="3"/>
          </w:tcPr>
          <w:p>
            <w:pPr>
              <w:ind w:left="760"/>
              <w:spacing w:after="0"/>
              <w:rPr>
                <w:sz w:val="20"/>
                <w:szCs w:val="20"/>
                <w:color w:val="auto"/>
              </w:rPr>
            </w:pPr>
            <w:r>
              <w:rPr>
                <w:rFonts w:ascii="Arial" w:cs="Arial" w:eastAsia="Arial" w:hAnsi="Arial"/>
                <w:sz w:val="18"/>
                <w:szCs w:val="18"/>
                <w:color w:val="auto"/>
              </w:rPr>
              <w:t>and cemeteries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2,158,895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2,158,895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111,531,370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12,952,882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133,859,723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(4,905,638)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253,438,337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30,123,620</w:t>
            </w:r>
          </w:p>
        </w:tc>
        <w:tc>
          <w:tcPr>
            <w:tcW w:w="1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3,916,430</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(7,859,660)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26,180,390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(5,275,662)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(946,820)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1,728,171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(4,494,311)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24,847,958</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3,916,430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(6,131,489)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21,686,079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80" w:type="dxa"/>
            <w:vAlign w:val="bottom"/>
            <w:vMerge w:val="restart"/>
          </w:tcPr>
          <w:p>
            <w:pPr>
              <w:spacing w:after="0"/>
              <w:rPr>
                <w:sz w:val="17"/>
                <w:szCs w:val="17"/>
                <w:color w:val="auto"/>
              </w:rPr>
            </w:pPr>
          </w:p>
        </w:tc>
        <w:tc>
          <w:tcPr>
            <w:tcW w:w="780" w:type="dxa"/>
            <w:vAlign w:val="bottom"/>
            <w:vMerge w:val="restart"/>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928,251,387</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90,639,130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159,680,649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(130,525,613)</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1,048,045,553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80" w:type="dxa"/>
            <w:vAlign w:val="bottom"/>
            <w:vMerge w:val="restart"/>
          </w:tcPr>
          <w:p>
            <w:pPr>
              <w:spacing w:after="0"/>
              <w:rPr>
                <w:sz w:val="17"/>
                <w:szCs w:val="17"/>
                <w:color w:val="auto"/>
              </w:rPr>
            </w:pPr>
          </w:p>
        </w:tc>
        <w:tc>
          <w:tcPr>
            <w:tcW w:w="780" w:type="dxa"/>
            <w:vAlign w:val="bottom"/>
            <w:vMerge w:val="restart"/>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2,765,570</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2,765,570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6"/>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4"/>
          </w:tcPr>
          <w:p>
            <w:pPr>
              <w:spacing w:after="0"/>
              <w:rPr>
                <w:sz w:val="20"/>
                <w:szCs w:val="20"/>
                <w:color w:val="auto"/>
              </w:rPr>
            </w:pPr>
            <w:r>
              <w:rPr>
                <w:rFonts w:ascii="Arial" w:cs="Arial" w:eastAsia="Arial" w:hAnsi="Arial"/>
                <w:sz w:val="18"/>
                <w:szCs w:val="18"/>
                <w:color w:val="auto"/>
              </w:rPr>
              <w:t>15)   Business Segment Information (Continued)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4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29"/>
              <w:spacing w:after="0" w:line="200" w:lineRule="exact"/>
              <w:rPr>
                <w:sz w:val="20"/>
                <w:szCs w:val="20"/>
                <w:color w:val="auto"/>
              </w:rPr>
            </w:pPr>
            <w:r>
              <w:rPr>
                <w:rFonts w:ascii="Arial" w:cs="Arial" w:eastAsia="Arial" w:hAnsi="Arial"/>
                <w:sz w:val="18"/>
                <w:szCs w:val="18"/>
                <w:color w:val="auto"/>
              </w:rPr>
              <w:t>Life</w:t>
            </w:r>
          </w:p>
        </w:tc>
        <w:tc>
          <w:tcPr>
            <w:tcW w:w="1080" w:type="dxa"/>
            <w:vAlign w:val="bottom"/>
            <w:gridSpan w:val="3"/>
          </w:tcPr>
          <w:p>
            <w:pPr>
              <w:jc w:val="right"/>
              <w:ind w:right="260"/>
              <w:spacing w:after="0" w:line="200" w:lineRule="exact"/>
              <w:rPr>
                <w:sz w:val="20"/>
                <w:szCs w:val="20"/>
                <w:color w:val="auto"/>
              </w:rPr>
            </w:pPr>
            <w:r>
              <w:rPr>
                <w:rFonts w:ascii="Arial" w:cs="Arial" w:eastAsia="Arial" w:hAnsi="Arial"/>
                <w:sz w:val="18"/>
                <w:szCs w:val="18"/>
                <w:color w:val="auto"/>
                <w:w w:val="96"/>
              </w:rPr>
              <w:t>Cemetery/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w w:val="91"/>
              </w:rPr>
              <w:t>Intercompany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9"/>
              <w:spacing w:after="0"/>
              <w:rPr>
                <w:sz w:val="20"/>
                <w:szCs w:val="20"/>
                <w:color w:val="auto"/>
              </w:rPr>
            </w:pPr>
            <w:r>
              <w:rPr>
                <w:rFonts w:ascii="Arial" w:cs="Arial" w:eastAsia="Arial" w:hAnsi="Arial"/>
                <w:sz w:val="18"/>
                <w:szCs w:val="18"/>
                <w:color w:val="auto"/>
                <w:w w:val="93"/>
              </w:rPr>
              <w:t>Insurance</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Mortuary</w:t>
            </w:r>
          </w:p>
        </w:tc>
        <w:tc>
          <w:tcPr>
            <w:tcW w:w="8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94"/>
              </w:rPr>
              <w:t>Mortgage</w:t>
            </w:r>
          </w:p>
        </w:tc>
        <w:tc>
          <w:tcPr>
            <w:tcW w:w="16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Eliminations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Consolidated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080" w:type="dxa"/>
            <w:vAlign w:val="bottom"/>
            <w:gridSpan w:val="3"/>
          </w:tcPr>
          <w:p>
            <w:pPr>
              <w:ind w:left="680"/>
              <w:spacing w:after="0" w:line="200" w:lineRule="exact"/>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4080" w:type="dxa"/>
            <w:vAlign w:val="bottom"/>
            <w:gridSpan w:val="3"/>
          </w:tcPr>
          <w:p>
            <w:pPr>
              <w:ind w:left="680"/>
              <w:spacing w:after="0"/>
              <w:rPr>
                <w:sz w:val="20"/>
                <w:szCs w:val="20"/>
                <w:color w:val="auto"/>
              </w:rPr>
            </w:pPr>
            <w:r>
              <w:rPr>
                <w:rFonts w:ascii="Arial" w:cs="Arial" w:eastAsia="Arial" w:hAnsi="Arial"/>
                <w:sz w:val="18"/>
                <w:szCs w:val="18"/>
                <w:color w:val="auto"/>
              </w:rPr>
              <w:t>From external sources: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customers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70,412,476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12,657,117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153,797,171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236,866,764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34,089,912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424,316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35,062,968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Gains (losses) on investments and other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(3,871,309)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186,335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(2,948,482)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Other than temporary impairments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9"/>
              <w:spacing w:after="0"/>
              <w:rPr>
                <w:sz w:val="20"/>
                <w:szCs w:val="20"/>
                <w:color w:val="auto"/>
              </w:rPr>
            </w:pPr>
            <w:r>
              <w:rPr>
                <w:rFonts w:ascii="Arial" w:cs="Arial" w:eastAsia="Arial" w:hAnsi="Arial"/>
                <w:sz w:val="18"/>
                <w:szCs w:val="18"/>
                <w:color w:val="auto"/>
              </w:rPr>
              <w:t>(774,339)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(774,339)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856,094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8,719,179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5,987,731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422,623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(6,811,637)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106,700,565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13,787,993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163,249,169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(6,811,637)</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276,926,090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7"/>
              </w:rPr>
              <w:t>Death, surrenders and other policy benefits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36,095,018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36,095,018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23,622,750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23,622,750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80" w:type="dxa"/>
            <w:vAlign w:val="bottom"/>
            <w:gridSpan w:val="2"/>
          </w:tcPr>
          <w:p>
            <w:pPr>
              <w:spacing w:after="0" w:line="200" w:lineRule="exact"/>
              <w:rPr>
                <w:sz w:val="20"/>
                <w:szCs w:val="20"/>
                <w:color w:val="auto"/>
              </w:rPr>
            </w:pPr>
            <w:r>
              <w:rPr>
                <w:rFonts w:ascii="Arial" w:cs="Arial" w:eastAsia="Arial" w:hAnsi="Arial"/>
                <w:sz w:val="18"/>
                <w:szCs w:val="18"/>
                <w:color w:val="auto"/>
                <w:w w:val="94"/>
              </w:rPr>
              <w:t>Amortization of deferred policy and pre-need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080" w:type="dxa"/>
            <w:vAlign w:val="bottom"/>
            <w:gridSpan w:val="3"/>
          </w:tcPr>
          <w:p>
            <w:pPr>
              <w:ind w:left="680"/>
              <w:spacing w:after="0"/>
              <w:rPr>
                <w:sz w:val="20"/>
                <w:szCs w:val="20"/>
                <w:color w:val="auto"/>
              </w:rPr>
            </w:pPr>
            <w:r>
              <w:rPr>
                <w:rFonts w:ascii="Arial" w:cs="Arial" w:eastAsia="Arial" w:hAnsi="Arial"/>
                <w:sz w:val="18"/>
                <w:szCs w:val="18"/>
                <w:color w:val="auto"/>
              </w:rPr>
              <w:t>acquisition costs and value of business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4080" w:type="dxa"/>
            <w:vAlign w:val="bottom"/>
            <w:gridSpan w:val="3"/>
          </w:tcPr>
          <w:p>
            <w:pPr>
              <w:ind w:left="680"/>
              <w:spacing w:after="0"/>
              <w:rPr>
                <w:sz w:val="20"/>
                <w:szCs w:val="20"/>
                <w:color w:val="auto"/>
              </w:rPr>
            </w:pPr>
            <w:r>
              <w:rPr>
                <w:rFonts w:ascii="Arial" w:cs="Arial" w:eastAsia="Arial" w:hAnsi="Arial"/>
                <w:sz w:val="18"/>
                <w:szCs w:val="18"/>
                <w:color w:val="auto"/>
              </w:rPr>
              <w:t>acquired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8,157,456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322,794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8,480,250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Commissions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3,095,319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1,053,449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63,954,249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68,103,017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17,031,563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4,519,573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48,777,694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70,328,830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293,009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4,943,614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5,754,740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Rent and rent related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8,710,694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w w:val="99"/>
              </w:rPr>
              <w:t>Depreciation on property and equipment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484,349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401,564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1,334,780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2,220,693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 related to funding mortgage loans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8,663,223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Intersegment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184,853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(1,000,148)</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9,540,607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2,826,208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17,064,784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29,431,599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Intersegment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445,520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(5,811,489)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2,218,956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330,211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3,488,165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6,037,332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Costs of goods and services sold-mortuaries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 cemeteries</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1,945,832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1,945,832</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benefits and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101,971,944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12,111,028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162,122,643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(6,811,637)</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269,393,978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4,728,621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1,676,965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7,532,112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6,301,872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(606,293)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6,580,822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11,030,493</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1,676,965</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2,011,769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14,112,934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60" w:type="dxa"/>
            <w:vAlign w:val="bottom"/>
            <w:vMerge w:val="restart"/>
          </w:tcPr>
          <w:p>
            <w:pPr>
              <w:spacing w:after="0"/>
              <w:rPr>
                <w:sz w:val="17"/>
                <w:szCs w:val="17"/>
                <w:color w:val="auto"/>
              </w:rPr>
            </w:pPr>
          </w:p>
        </w:tc>
        <w:tc>
          <w:tcPr>
            <w:tcW w:w="700" w:type="dxa"/>
            <w:vAlign w:val="bottom"/>
            <w:vMerge w:val="restart"/>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858,068,899</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95,097,729</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161,051,531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(134,810,675)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979,407,484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60" w:type="dxa"/>
            <w:vAlign w:val="bottom"/>
            <w:vMerge w:val="restart"/>
          </w:tcPr>
          <w:p>
            <w:pPr>
              <w:spacing w:after="0"/>
              <w:rPr>
                <w:sz w:val="17"/>
                <w:szCs w:val="17"/>
                <w:color w:val="auto"/>
              </w:rPr>
            </w:pPr>
          </w:p>
        </w:tc>
        <w:tc>
          <w:tcPr>
            <w:tcW w:w="700" w:type="dxa"/>
            <w:vAlign w:val="bottom"/>
            <w:vMerge w:val="restart"/>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2,765,570</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2,765,570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89"/>
              </w:rPr>
              <w:t>83</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00" w:lineRule="exact"/>
        <w:rPr>
          <w:sz w:val="20"/>
          <w:szCs w:val="20"/>
          <w:color w:val="auto"/>
        </w:rPr>
      </w:pPr>
    </w:p>
    <w:p>
      <w:pPr>
        <w:spacing w:after="0" w:line="274" w:lineRule="exact"/>
        <w:rPr>
          <w:sz w:val="20"/>
          <w:szCs w:val="20"/>
          <w:color w:val="auto"/>
        </w:rPr>
      </w:pPr>
    </w:p>
    <w:p>
      <w:pPr>
        <w:ind w:left="380" w:hanging="373"/>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 The Company and its Board of Directors is unaware of any related party transactions that require disclosure as of December 31, 2018.</w:t>
      </w:r>
    </w:p>
    <w:p>
      <w:pPr>
        <w:spacing w:after="0" w:line="278" w:lineRule="exact"/>
        <w:rPr>
          <w:sz w:val="20"/>
          <w:szCs w:val="20"/>
          <w:color w:val="auto"/>
        </w:rPr>
      </w:pPr>
    </w:p>
    <w:p>
      <w:pPr>
        <w:ind w:left="400" w:hanging="393"/>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5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can access.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20" w:lineRule="exact"/>
        <w:rPr>
          <w:sz w:val="20"/>
          <w:szCs w:val="20"/>
          <w:color w:val="auto"/>
        </w:rPr>
      </w:pPr>
    </w:p>
    <w:p>
      <w:pPr>
        <w:ind w:left="700" w:hanging="415"/>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0" w:lineRule="exact"/>
        <w:rPr>
          <w:rFonts w:ascii="Arial" w:cs="Arial" w:eastAsia="Arial" w:hAnsi="Arial"/>
          <w:sz w:val="18"/>
          <w:szCs w:val="18"/>
          <w:color w:val="auto"/>
        </w:rPr>
      </w:pPr>
    </w:p>
    <w:p>
      <w:pPr>
        <w:ind w:left="700" w:hanging="420"/>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220" w:lineRule="exact"/>
        <w:rPr>
          <w:rFonts w:ascii="Arial" w:cs="Arial" w:eastAsia="Arial" w:hAnsi="Arial"/>
          <w:sz w:val="18"/>
          <w:szCs w:val="18"/>
          <w:color w:val="auto"/>
        </w:rPr>
      </w:pPr>
    </w:p>
    <w:p>
      <w:pPr>
        <w:ind w:left="700" w:hanging="415"/>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3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in estimating the fair value disclosures related to significant financial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7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investments in equity securities along with methods used to estimate such values are disclosed in Note 2 of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Restricted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these assets include mutual funds and equity securities that have quoted market prices that are used to determine fair value.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Cemetery Endowment Care Trust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these assets include equity securities that have quoted market prices that are used to determine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Also included are cash and cash equivalents. The carrying amounts reported in the accompanying consolidated balance sheets for these financial instruments approximate their fair values due to their short-term nature.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quoted market prices to value its call and put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were no transfers between Level 1 and Level 2 in the fair value hierarchy.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jc w:val="both"/>
        <w:ind w:right="7560" w:firstLine="7"/>
        <w:spacing w:after="0" w:line="635" w:lineRule="auto"/>
        <w:tabs>
          <w:tab w:leader="none" w:pos="39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 xml:space="preserve"> (Continued) The items shown under Level 3 are valued as follows:</w:t>
      </w:r>
    </w:p>
    <w:p>
      <w:pPr>
        <w:spacing w:after="0" w:line="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i w:val="1"/>
          <w:iCs w:val="1"/>
          <w:u w:val="single" w:color="auto"/>
          <w:color w:val="auto"/>
        </w:rPr>
        <w:t>Loans Held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the fair value option for all loans held for sale originated after July 1, 2017. The fair value is based on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when available. When a quoted market price is not readily available, the Company uses the market price from its last sale of similar assets.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4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Marshall and Swift, a provider of building cost information to the real estate construction.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Real Estate Held for Investment</w:t>
      </w:r>
      <w:r>
        <w:rPr>
          <w:rFonts w:ascii="Arial" w:cs="Arial" w:eastAsia="Arial" w:hAnsi="Arial"/>
          <w:sz w:val="18"/>
          <w:szCs w:val="18"/>
          <w:color w:val="auto"/>
        </w:rPr>
        <w:t>: The Company believes that in an orderly market, fair value will approximate the replacement cost of a home and the rental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Marshall and Swift,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comparables and property condition when determining fair value.</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color w:val="auto"/>
        </w:rPr>
        <w:t>: The Company initially recognizes MSRs at their estimated fair values derived from the net cash flows associated with the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where the Company assumes the obligation to service the loan in the sale transaction. The precise fair value of MSRs cannot be readily determined because MSRs are not actively traded in stand-alone markets. Considerable judgment is required to estimate the fair values of these assets and the exercise of such judgment can significantly affect the Company’s earnings.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recurring basis by their classification in the consolidated balance sheet at December 31, 2018.</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Quoted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Prices in</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Active</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Markets for</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Identical</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6"/>
              </w:rPr>
              <w:t>Observable</w:t>
            </w:r>
          </w:p>
        </w:tc>
        <w:tc>
          <w:tcPr>
            <w:tcW w:w="1220" w:type="dxa"/>
            <w:vAlign w:val="bottom"/>
            <w:gridSpan w:val="4"/>
          </w:tcPr>
          <w:p>
            <w:pPr>
              <w:ind w:left="160"/>
              <w:spacing w:after="0"/>
              <w:rPr>
                <w:sz w:val="20"/>
                <w:szCs w:val="20"/>
                <w:color w:val="auto"/>
              </w:rPr>
            </w:pPr>
            <w:r>
              <w:rPr>
                <w:rFonts w:ascii="Arial" w:cs="Arial" w:eastAsia="Arial" w:hAnsi="Arial"/>
                <w:sz w:val="18"/>
                <w:szCs w:val="18"/>
                <w:color w:val="auto"/>
                <w:w w:val="93"/>
              </w:rPr>
              <w:t>Unobservable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Assets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1)</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(Level 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2"/>
        </w:trPr>
        <w:tc>
          <w:tcPr>
            <w:tcW w:w="480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5,558,611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5,558,611</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5,558,611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5,558,611</w:t>
            </w:r>
          </w:p>
        </w:tc>
        <w:tc>
          <w:tcPr>
            <w:tcW w:w="160" w:type="dxa"/>
            <w:vAlign w:val="bottom"/>
          </w:tcPr>
          <w:p>
            <w:pPr>
              <w:spacing w:after="0"/>
              <w:rPr>
                <w:sz w:val="18"/>
                <w:szCs w:val="18"/>
                <w:color w:val="auto"/>
              </w:rPr>
            </w:pP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136,210,853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136,210,853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744,673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744,673</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Cemetery perpetual care trust investments (1)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483,353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 loan commitments (2)</w:t>
            </w: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144,967,457</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6,786,637</w:t>
            </w: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138,180,820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Derivatives - call options (3)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(4,629)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(4,629)</w:t>
            </w: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 put options (3)</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(296,053)</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(296,053)</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Derivatives - loan commitments (3)</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(378,151)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(378,151)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(678,833)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(300,682)</w:t>
            </w: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(378,151)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400" w:hanging="252"/>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Mutual funds and equity securities</w:t>
      </w:r>
    </w:p>
    <w:p>
      <w:pPr>
        <w:spacing w:after="0" w:line="19" w:lineRule="exact"/>
        <w:rPr>
          <w:rFonts w:ascii="Arial" w:cs="Arial" w:eastAsia="Arial" w:hAnsi="Arial"/>
          <w:sz w:val="18"/>
          <w:szCs w:val="18"/>
          <w:color w:val="auto"/>
        </w:rPr>
      </w:pPr>
    </w:p>
    <w:p>
      <w:pPr>
        <w:ind w:left="1400" w:hanging="252"/>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6" w:lineRule="exact"/>
        <w:rPr>
          <w:rFonts w:ascii="Arial" w:cs="Arial" w:eastAsia="Arial" w:hAnsi="Arial"/>
          <w:sz w:val="18"/>
          <w:szCs w:val="18"/>
          <w:color w:val="auto"/>
        </w:rPr>
      </w:pPr>
    </w:p>
    <w:p>
      <w:pPr>
        <w:ind w:left="1400" w:hanging="252"/>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07"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2018, the significant unobservable inputs used in the fair value measurements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3"/>
              </w:rPr>
              <w:t>Significant</w:t>
            </w:r>
          </w:p>
        </w:tc>
        <w:tc>
          <w:tcPr>
            <w:tcW w:w="2280" w:type="dxa"/>
            <w:vAlign w:val="bottom"/>
            <w:gridSpan w:val="4"/>
          </w:tcPr>
          <w:p>
            <w:pPr>
              <w:jc w:val="right"/>
              <w:ind w:right="700"/>
              <w:spacing w:after="0"/>
              <w:rPr>
                <w:sz w:val="20"/>
                <w:szCs w:val="20"/>
                <w:color w:val="auto"/>
              </w:rPr>
            </w:pPr>
            <w:r>
              <w:rPr>
                <w:rFonts w:ascii="Arial" w:cs="Arial" w:eastAsia="Arial" w:hAnsi="Arial"/>
                <w:sz w:val="18"/>
                <w:szCs w:val="18"/>
                <w:color w:val="auto"/>
              </w:rPr>
              <w:t>Range of Inputs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20"/>
              <w:spacing w:after="0" w:line="200" w:lineRule="exact"/>
              <w:rPr>
                <w:sz w:val="20"/>
                <w:szCs w:val="20"/>
                <w:color w:val="auto"/>
              </w:rPr>
            </w:pPr>
            <w:r>
              <w:rPr>
                <w:rFonts w:ascii="Arial" w:cs="Arial" w:eastAsia="Arial" w:hAnsi="Arial"/>
                <w:sz w:val="18"/>
                <w:szCs w:val="18"/>
                <w:color w:val="auto"/>
                <w:w w:val="92"/>
              </w:rPr>
              <w:t>Fair Value at</w:t>
            </w:r>
          </w:p>
        </w:tc>
        <w:tc>
          <w:tcPr>
            <w:tcW w:w="80" w:type="dxa"/>
            <w:vAlign w:val="bottom"/>
          </w:tcPr>
          <w:p>
            <w:pPr>
              <w:spacing w:after="0"/>
              <w:rPr>
                <w:sz w:val="17"/>
                <w:szCs w:val="17"/>
                <w:color w:val="auto"/>
              </w:rPr>
            </w:pPr>
          </w:p>
        </w:tc>
        <w:tc>
          <w:tcPr>
            <w:tcW w:w="1360" w:type="dxa"/>
            <w:vAlign w:val="bottom"/>
          </w:tcPr>
          <w:p>
            <w:pPr>
              <w:jc w:val="right"/>
              <w:ind w:right="171"/>
              <w:spacing w:after="0" w:line="200" w:lineRule="exact"/>
              <w:rPr>
                <w:sz w:val="20"/>
                <w:szCs w:val="20"/>
                <w:color w:val="auto"/>
              </w:rPr>
            </w:pPr>
            <w:r>
              <w:rPr>
                <w:rFonts w:ascii="Arial" w:cs="Arial" w:eastAsia="Arial" w:hAnsi="Arial"/>
                <w:sz w:val="18"/>
                <w:szCs w:val="18"/>
                <w:color w:val="auto"/>
              </w:rPr>
              <w:t>Valuation</w:t>
            </w:r>
          </w:p>
        </w:tc>
        <w:tc>
          <w:tcPr>
            <w:tcW w:w="1780" w:type="dxa"/>
            <w:vAlign w:val="bottom"/>
            <w:gridSpan w:val="2"/>
          </w:tcPr>
          <w:p>
            <w:pPr>
              <w:jc w:val="center"/>
              <w:spacing w:after="0" w:line="200" w:lineRule="exact"/>
              <w:rPr>
                <w:sz w:val="20"/>
                <w:szCs w:val="20"/>
                <w:color w:val="auto"/>
              </w:rPr>
            </w:pPr>
            <w:r>
              <w:rPr>
                <w:rFonts w:ascii="Arial" w:cs="Arial" w:eastAsia="Arial" w:hAnsi="Arial"/>
                <w:sz w:val="18"/>
                <w:szCs w:val="18"/>
                <w:color w:val="auto"/>
                <w:w w:val="88"/>
              </w:rPr>
              <w:t>Unobservable</w:t>
            </w:r>
          </w:p>
        </w:tc>
        <w:tc>
          <w:tcPr>
            <w:tcW w:w="1140" w:type="dxa"/>
            <w:vAlign w:val="bottom"/>
            <w:tcBorders>
              <w:top w:val="single" w:sz="8" w:color="auto"/>
            </w:tcBorders>
            <w:gridSpan w:val="2"/>
          </w:tcPr>
          <w:p>
            <w:pPr>
              <w:jc w:val="right"/>
              <w:ind w:right="340"/>
              <w:spacing w:after="0" w:line="200" w:lineRule="exact"/>
              <w:rPr>
                <w:sz w:val="20"/>
                <w:szCs w:val="20"/>
                <w:color w:val="auto"/>
              </w:rPr>
            </w:pPr>
            <w:r>
              <w:rPr>
                <w:rFonts w:ascii="Arial" w:cs="Arial" w:eastAsia="Arial" w:hAnsi="Arial"/>
                <w:sz w:val="18"/>
                <w:szCs w:val="18"/>
                <w:color w:val="auto"/>
              </w:rPr>
              <w:t>Minimum</w:t>
            </w:r>
          </w:p>
        </w:tc>
        <w:tc>
          <w:tcPr>
            <w:tcW w:w="90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w w:val="99"/>
              </w:rPr>
              <w:t>Maximum</w:t>
            </w:r>
          </w:p>
        </w:tc>
        <w:tc>
          <w:tcPr>
            <w:tcW w:w="240" w:type="dxa"/>
            <w:vAlign w:val="bottom"/>
          </w:tcPr>
          <w:p>
            <w:pPr>
              <w:spacing w:after="0"/>
              <w:rPr>
                <w:sz w:val="17"/>
                <w:szCs w:val="17"/>
                <w:color w:val="auto"/>
              </w:rPr>
            </w:pPr>
          </w:p>
        </w:tc>
        <w:tc>
          <w:tcPr>
            <w:tcW w:w="10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w w:val="99"/>
              </w:rPr>
              <w:t>Weighted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12/31/2018</w:t>
            </w:r>
          </w:p>
        </w:tc>
        <w:tc>
          <w:tcPr>
            <w:tcW w:w="80" w:type="dxa"/>
            <w:vAlign w:val="bottom"/>
          </w:tcPr>
          <w:p>
            <w:pPr>
              <w:spacing w:after="0"/>
              <w:rPr>
                <w:sz w:val="20"/>
                <w:szCs w:val="20"/>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Technique</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1"/>
              </w:rPr>
              <w:t>Input(s)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Average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4"/>
              </w:rPr>
              <w:t>Loans held for sale</w:t>
            </w:r>
          </w:p>
        </w:tc>
        <w:tc>
          <w:tcPr>
            <w:tcW w:w="1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71"/>
              <w:spacing w:after="0" w:line="200" w:lineRule="exact"/>
              <w:rPr>
                <w:sz w:val="20"/>
                <w:szCs w:val="20"/>
                <w:color w:val="auto"/>
              </w:rPr>
            </w:pPr>
            <w:r>
              <w:rPr>
                <w:rFonts w:ascii="Arial" w:cs="Arial" w:eastAsia="Arial" w:hAnsi="Arial"/>
                <w:sz w:val="18"/>
                <w:szCs w:val="18"/>
                <w:color w:val="auto"/>
                <w:w w:val="87"/>
              </w:rPr>
              <w:t>Market approach</w:t>
            </w:r>
          </w:p>
        </w:tc>
        <w:tc>
          <w:tcPr>
            <w:tcW w:w="1700" w:type="dxa"/>
            <w:vAlign w:val="bottom"/>
            <w:tcBorders>
              <w:top w:val="single" w:sz="8" w:color="auto"/>
            </w:tcBorders>
            <w:shd w:val="clear" w:color="auto" w:fill="CCEEFF"/>
          </w:tcPr>
          <w:p>
            <w:pPr>
              <w:ind w:left="160"/>
              <w:spacing w:after="0" w:line="200" w:lineRule="exact"/>
              <w:rPr>
                <w:sz w:val="20"/>
                <w:szCs w:val="20"/>
                <w:color w:val="auto"/>
              </w:rPr>
            </w:pPr>
            <w:r>
              <w:rPr>
                <w:rFonts w:ascii="Arial" w:cs="Arial" w:eastAsia="Arial" w:hAnsi="Arial"/>
                <w:sz w:val="18"/>
                <w:szCs w:val="18"/>
                <w:color w:val="auto"/>
              </w:rPr>
              <w:t>Investor contract</w:t>
            </w: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pricing as 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percentage of unpaid</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$136,210,853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balance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1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Derivatives - loan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6"/>
              </w:rPr>
              <w:t>commitments (net)</w:t>
            </w:r>
          </w:p>
        </w:tc>
        <w:tc>
          <w:tcPr>
            <w:tcW w:w="14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1,591,816 Market approach</w:t>
            </w: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Fall-out factor</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Initial-Value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Servicing</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bps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 bps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 bps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ind w:left="46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changes in the consolidated balance sheet line items measured using level 3 inputs: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Loan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Loans Held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Commitments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for Sale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1,996,589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133,414,188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Originations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2,194,607,543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(2,259,145,473)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(10,827,797)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Included in earnings (1)</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(404,773)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78,162,392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Balance - December 31, 2018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1,591,816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136,210,853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w w:val="95"/>
              </w:rPr>
              <w:t>(1) As a component of mortgage fee income on the consolidated statements of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6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consolidated balance sheet at December 31,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1"/>
              </w:rPr>
              <w:t>Quoted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9"/>
              </w:rPr>
              <w:t>Prices in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3"/>
              </w:rPr>
              <w:t>Active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Markets for</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2"/>
              </w:rPr>
              <w:t>Identical</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6"/>
              </w:rPr>
              <w:t>Observable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Unobservable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2)</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620" w:type="dxa"/>
            <w:vAlign w:val="bottom"/>
            <w:gridSpan w:val="2"/>
          </w:tcPr>
          <w:p>
            <w:pPr>
              <w:ind w:left="1140"/>
              <w:spacing w:after="0"/>
              <w:rPr>
                <w:sz w:val="20"/>
                <w:szCs w:val="20"/>
                <w:color w:val="auto"/>
              </w:rPr>
            </w:pPr>
            <w:r>
              <w:rPr>
                <w:rFonts w:ascii="Arial" w:cs="Arial" w:eastAsia="Arial" w:hAnsi="Arial"/>
                <w:sz w:val="18"/>
                <w:szCs w:val="18"/>
                <w:color w:val="auto"/>
                <w:w w:val="97"/>
              </w:rPr>
              <w:t>Assets accounted for at fair value on a nonrecurring basis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Impaired mortgage loans held for investment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1,253,302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1,253,302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Mortgage servicing rights additions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3,922,816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3,922,816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real estate held for investment</w:t>
            </w: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1,611,384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1,611,384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160" w:type="dxa"/>
            <w:vAlign w:val="bottom"/>
            <w:vMerge w:val="continue"/>
          </w:tcPr>
          <w:p>
            <w:pPr>
              <w:spacing w:after="0"/>
              <w:rPr>
                <w:sz w:val="22"/>
                <w:szCs w:val="2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assets accounted for at fair value on a nonrecurring basis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6,787,502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7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6,787,502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1160" w:type="dxa"/>
            <w:vAlign w:val="bottom"/>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jc w:val="right"/>
              <w:ind w:right="137"/>
              <w:spacing w:after="0"/>
              <w:rPr>
                <w:sz w:val="20"/>
                <w:szCs w:val="20"/>
                <w:color w:val="auto"/>
              </w:rPr>
            </w:pPr>
            <w:r>
              <w:rPr>
                <w:rFonts w:ascii="Arial" w:cs="Arial" w:eastAsia="Arial" w:hAnsi="Arial"/>
                <w:sz w:val="14"/>
                <w:szCs w:val="14"/>
                <w:color w:val="auto"/>
                <w:w w:val="89"/>
              </w:rPr>
              <w:t>87</w:t>
            </w: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recurring basis by their classification in the consolidated balance sheet at December 31, 2017.</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Quoted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Prices in</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Active</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Markets for</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Identical</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6"/>
              </w:rPr>
              <w:t>Observable</w:t>
            </w:r>
          </w:p>
        </w:tc>
        <w:tc>
          <w:tcPr>
            <w:tcW w:w="1220" w:type="dxa"/>
            <w:vAlign w:val="bottom"/>
            <w:gridSpan w:val="4"/>
          </w:tcPr>
          <w:p>
            <w:pPr>
              <w:ind w:left="160"/>
              <w:spacing w:after="0"/>
              <w:rPr>
                <w:sz w:val="20"/>
                <w:szCs w:val="20"/>
                <w:color w:val="auto"/>
              </w:rPr>
            </w:pPr>
            <w:r>
              <w:rPr>
                <w:rFonts w:ascii="Arial" w:cs="Arial" w:eastAsia="Arial" w:hAnsi="Arial"/>
                <w:sz w:val="18"/>
                <w:szCs w:val="18"/>
                <w:color w:val="auto"/>
                <w:w w:val="93"/>
              </w:rPr>
              <w:t>Unobservable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Assets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1)</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(Level 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2"/>
        </w:trPr>
        <w:tc>
          <w:tcPr>
            <w:tcW w:w="480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6,037,855</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6,037,855</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6,037,855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6,037,855</w:t>
            </w:r>
          </w:p>
        </w:tc>
        <w:tc>
          <w:tcPr>
            <w:tcW w:w="160" w:type="dxa"/>
            <w:vAlign w:val="bottom"/>
          </w:tcPr>
          <w:p>
            <w:pPr>
              <w:spacing w:after="0"/>
              <w:rPr>
                <w:sz w:val="18"/>
                <w:szCs w:val="18"/>
                <w:color w:val="auto"/>
              </w:rPr>
            </w:pP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133,414,188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133,414,188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809,958</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809,958</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Cemetery perpetual care trust investments (1)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682,315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 loan commitments (2)</w:t>
            </w: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2,032,782</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2,032,782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142,977,098</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7,530,128</w:t>
            </w: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135,446,970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Derivative - call options (3)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(64,689)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(64,689)</w:t>
            </w: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put options (3)</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(20,568)</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(20,568)</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Derivative - loan commitments (3)</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(36,193)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(121,450)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(85,257)</w:t>
            </w: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400" w:hanging="25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Mutual funds and equity securities</w:t>
      </w:r>
    </w:p>
    <w:p>
      <w:pPr>
        <w:spacing w:after="0" w:line="19" w:lineRule="exact"/>
        <w:rPr>
          <w:rFonts w:ascii="Arial" w:cs="Arial" w:eastAsia="Arial" w:hAnsi="Arial"/>
          <w:sz w:val="18"/>
          <w:szCs w:val="18"/>
          <w:color w:val="auto"/>
        </w:rPr>
      </w:pPr>
    </w:p>
    <w:p>
      <w:pPr>
        <w:ind w:left="1400" w:hanging="25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sheets</w:t>
      </w:r>
    </w:p>
    <w:p>
      <w:pPr>
        <w:spacing w:after="0" w:line="6" w:lineRule="exact"/>
        <w:rPr>
          <w:rFonts w:ascii="Arial" w:cs="Arial" w:eastAsia="Arial" w:hAnsi="Arial"/>
          <w:sz w:val="18"/>
          <w:szCs w:val="18"/>
          <w:color w:val="auto"/>
        </w:rPr>
      </w:pPr>
    </w:p>
    <w:p>
      <w:pPr>
        <w:ind w:left="1400" w:hanging="25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consolidated balance sheets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changes in the consolidated balance sheet line items measured using level 3 inputs: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Bank Loan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Derivatives</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Interest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Loans Held</w:t>
            </w:r>
          </w:p>
        </w:tc>
      </w:tr>
      <w:tr>
        <w:trPr>
          <w:trHeight w:val="235"/>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Commitments</w:t>
            </w: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Swaps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for Sale</w:t>
            </w: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6,809,332</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Originations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1,233,683,666</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(1,151,031,388)</w:t>
            </w: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gains (losses):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Included in earnings (1)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(4,812,743)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50,761,910</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Included in other comprehensive income (2)</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1,996,589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133,414,188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9" w:lineRule="exact"/>
        <w:rPr>
          <w:sz w:val="20"/>
          <w:szCs w:val="20"/>
          <w:color w:val="auto"/>
        </w:rPr>
      </w:pPr>
    </w:p>
    <w:p>
      <w:pPr>
        <w:ind w:left="1400" w:hanging="25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component of mortgage fee income on the consolidated statements of earnings</w:t>
      </w:r>
    </w:p>
    <w:p>
      <w:pPr>
        <w:spacing w:after="0" w:line="19" w:lineRule="exact"/>
        <w:rPr>
          <w:rFonts w:ascii="Arial" w:cs="Arial" w:eastAsia="Arial" w:hAnsi="Arial"/>
          <w:sz w:val="18"/>
          <w:szCs w:val="18"/>
          <w:color w:val="auto"/>
        </w:rPr>
      </w:pPr>
    </w:p>
    <w:p>
      <w:pPr>
        <w:ind w:left="1400" w:hanging="25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component of unrealized gains on derivative instruments on the consolidated statements of comprehensive income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247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consolidated balance sheet at December 31, 2017.</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1"/>
              </w:rPr>
              <w:t>Quoted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9"/>
              </w:rPr>
              <w:t>Prices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3"/>
              </w:rPr>
              <w:t>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Markets for</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3"/>
              </w:rPr>
              <w:t>Significant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2"/>
              </w:rPr>
              <w:t>Identical</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6"/>
              </w:rPr>
              <w:t>Observable</w:t>
            </w:r>
          </w:p>
        </w:tc>
        <w:tc>
          <w:tcPr>
            <w:tcW w:w="114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Unobservable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6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nonrecurring basis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Impaired mortgage loans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1,363,440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Mortgage servicing rights additions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6,085,352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6,085,352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Impaired real estate held for investment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Impaired fixed maturity securities, held to maturity</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426,984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426,984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Total assets accounted for at fair value on a nonrecurring basis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16,375,776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426,984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15,948,792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December 31, 2018 and 2017.</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2018:</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Estimated Fair</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$ 232,078,723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229,668,844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5,082,014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$ 234,750,858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87,947,566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92,503,553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92,503,553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Residential construction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70,886,702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70,886,702</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70,886,702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27,630,801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28,359,205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28,359,205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5"/>
              </w:rPr>
              <w:t>$ 186,465,069</w:t>
            </w:r>
          </w:p>
        </w:tc>
        <w:tc>
          <w:tcPr>
            <w:tcW w:w="100" w:type="dxa"/>
            <w:vAlign w:val="bottom"/>
          </w:tcPr>
          <w:p>
            <w:pPr>
              <w:spacing w:after="0"/>
              <w:rPr>
                <w:sz w:val="18"/>
                <w:szCs w:val="18"/>
                <w:color w:val="auto"/>
              </w:rPr>
            </w:pPr>
          </w:p>
        </w:tc>
        <w:tc>
          <w:tcPr>
            <w:tcW w:w="80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191,749,460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3"/>
              </w:rPr>
              <w:t>$ 191,749,460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34,146,868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34,168,868</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34,168,868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1,258,397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Restricted assets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1,799,268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1,810,185</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1,810,185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0"/>
              </w:rPr>
              <w:t>Cemetery perpetual care trust investments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990,390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 servicing rights, net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20,016,822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28,885,316</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28,885,316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$(187,521,188)</w:t>
            </w:r>
          </w:p>
        </w:tc>
        <w:tc>
          <w:tcPr>
            <w:tcW w:w="80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(187,521,188)</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$(187,521,188)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Policyholder account balances (4)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(46,479,853)</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(37,348,289)</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(37,348,289)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 annuities (4)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(98,137,615)</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(97,641,146)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(97,641,146)</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400" w:hanging="25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consolidated balance sheets</w:t>
      </w:r>
    </w:p>
    <w:p>
      <w:pPr>
        <w:spacing w:after="0" w:line="19" w:lineRule="exact"/>
        <w:rPr>
          <w:rFonts w:ascii="Arial" w:cs="Arial" w:eastAsia="Arial" w:hAnsi="Arial"/>
          <w:sz w:val="18"/>
          <w:szCs w:val="18"/>
          <w:color w:val="auto"/>
        </w:rPr>
      </w:pPr>
    </w:p>
    <w:p>
      <w:pPr>
        <w:ind w:left="1400" w:hanging="25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Fixed maturity securities held to maturity</w:t>
      </w:r>
    </w:p>
    <w:p>
      <w:pPr>
        <w:spacing w:after="0" w:line="6" w:lineRule="exact"/>
        <w:rPr>
          <w:rFonts w:ascii="Arial" w:cs="Arial" w:eastAsia="Arial" w:hAnsi="Arial"/>
          <w:sz w:val="18"/>
          <w:szCs w:val="18"/>
          <w:color w:val="auto"/>
        </w:rPr>
      </w:pPr>
    </w:p>
    <w:p>
      <w:pPr>
        <w:ind w:left="1400" w:hanging="25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Participation in mortgage loans held for investment</w:t>
      </w:r>
    </w:p>
    <w:p>
      <w:pPr>
        <w:spacing w:after="0" w:line="6" w:lineRule="exact"/>
        <w:rPr>
          <w:rFonts w:ascii="Arial" w:cs="Arial" w:eastAsia="Arial" w:hAnsi="Arial"/>
          <w:sz w:val="18"/>
          <w:szCs w:val="18"/>
          <w:color w:val="auto"/>
        </w:rPr>
      </w:pPr>
    </w:p>
    <w:p>
      <w:pPr>
        <w:ind w:left="1400" w:hanging="25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consolidated balance sheet</w:t>
      </w:r>
    </w:p>
    <w:p>
      <w:pPr>
        <w:sectPr>
          <w:pgSz w:w="11900" w:h="16838" w:orient="portrait"/>
          <w:cols w:equalWidth="0" w:num="1">
            <w:col w:w="11420"/>
          </w:cols>
          <w:pgMar w:left="240" w:top="339"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2017:</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Estimated Fair</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$ 228,397,623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233,806,219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7,692,190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$ 241,498,409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99,816,535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106,050,169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106,050,169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Residential construction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49,694,025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49,694,025</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49,694,025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54,700,325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56,473,156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56,473,156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 loans held for investment, net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5"/>
              </w:rPr>
              <w:t>$ 204,210,885</w:t>
            </w:r>
          </w:p>
        </w:tc>
        <w:tc>
          <w:tcPr>
            <w:tcW w:w="100" w:type="dxa"/>
            <w:vAlign w:val="bottom"/>
          </w:tcPr>
          <w:p>
            <w:pPr>
              <w:spacing w:after="0"/>
              <w:rPr>
                <w:sz w:val="18"/>
                <w:szCs w:val="18"/>
                <w:color w:val="auto"/>
              </w:rPr>
            </w:pPr>
          </w:p>
        </w:tc>
        <w:tc>
          <w:tcPr>
            <w:tcW w:w="80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212,217,350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3"/>
              </w:rPr>
              <w:t>$ 212,217,350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6,531,352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6,531,352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35,455,098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35,455,098</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35,455,098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1,130,088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Restricted assets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1,701,811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1,796,910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1,796,910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0"/>
              </w:rPr>
              <w:t>Cemetery perpetual care trust investments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0"/>
              </w:rPr>
              <w:t>Cemetery perpetual care trust investments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21,376,937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27,427,174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27,427,174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$(157,450,925)</w:t>
            </w:r>
          </w:p>
        </w:tc>
        <w:tc>
          <w:tcPr>
            <w:tcW w:w="80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(157,450,925)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$(157,450,925)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(47,867,037)</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(34,557,111)</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(34,557,111)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Future policy benefits - annuities (4)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(99,474,392)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(98,827,107)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(98,827,107)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400" w:hanging="252"/>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consolidated balance sheets</w:t>
      </w:r>
    </w:p>
    <w:p>
      <w:pPr>
        <w:spacing w:after="0" w:line="19" w:lineRule="exact"/>
        <w:rPr>
          <w:rFonts w:ascii="Arial" w:cs="Arial" w:eastAsia="Arial" w:hAnsi="Arial"/>
          <w:sz w:val="18"/>
          <w:szCs w:val="18"/>
          <w:color w:val="auto"/>
        </w:rPr>
      </w:pPr>
    </w:p>
    <w:p>
      <w:pPr>
        <w:ind w:left="1400" w:hanging="252"/>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Fixed maturity securities held to maturity</w:t>
      </w:r>
    </w:p>
    <w:p>
      <w:pPr>
        <w:spacing w:after="0" w:line="6" w:lineRule="exact"/>
        <w:rPr>
          <w:rFonts w:ascii="Arial" w:cs="Arial" w:eastAsia="Arial" w:hAnsi="Arial"/>
          <w:sz w:val="18"/>
          <w:szCs w:val="18"/>
          <w:color w:val="auto"/>
        </w:rPr>
      </w:pPr>
    </w:p>
    <w:p>
      <w:pPr>
        <w:ind w:left="1400" w:hanging="252"/>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Participation in mortgage loans held for investment (commercial)</w:t>
      </w:r>
    </w:p>
    <w:p>
      <w:pPr>
        <w:spacing w:after="0" w:line="6" w:lineRule="exact"/>
        <w:rPr>
          <w:rFonts w:ascii="Arial" w:cs="Arial" w:eastAsia="Arial" w:hAnsi="Arial"/>
          <w:sz w:val="18"/>
          <w:szCs w:val="18"/>
          <w:color w:val="auto"/>
        </w:rPr>
      </w:pPr>
    </w:p>
    <w:p>
      <w:pPr>
        <w:ind w:left="1400" w:hanging="252"/>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consolidated balance sheets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methods, assumptions and significant valuation techniques and inputs used to estimate the fair value of financial instruments are summarized as follows:</w:t>
      </w:r>
    </w:p>
    <w:p>
      <w:pPr>
        <w:spacing w:after="0" w:line="2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u w:val="single" w:color="auto"/>
          <w:color w:val="auto"/>
        </w:rPr>
        <w:t>Fixed Maturity Securities, Held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of fixed maturity securities are based on quoted market prices, when available. For fixed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color w:val="auto"/>
        </w:rPr>
        <w:t>: The estimated fair value of the Company’s mortgage loans held for investment is determined using various methods.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04"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Residential – The estimated fair value of mortgage loans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Residential Construction – These loans are primarily short in maturity. Accordingly, the estimated fair value is determined to be the carrying value.</w:t>
      </w:r>
    </w:p>
    <w:p>
      <w:pPr>
        <w:spacing w:after="0" w:line="297"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color w:val="auto"/>
        </w:rPr>
        <w:t>Commercial – The estimated fair value is determined by estimating expected future cash flows of interest payments and discounting them using current interest rates for commercial mortgages.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consolidated balance sheet for these financial instruments approximate their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they are fully collateralized by the cash surrender value of the underlying insurance policies.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short in maturity. Accordingly, the carrying amounts reported in the accompanying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for these financial instruments approximate their fair values.</w:t>
      </w:r>
    </w:p>
    <w:p>
      <w:pPr>
        <w:spacing w:after="0" w:line="228"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consolidated balance sheet for these financial instruments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their fair values due to their relatively short-term maturities and variable interest rates.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Policyholder Account Balances and Future Policy Benefits-Annuities</w:t>
      </w:r>
      <w:r>
        <w:rPr>
          <w:rFonts w:ascii="Arial" w:cs="Arial" w:eastAsia="Arial" w:hAnsi="Arial"/>
          <w:sz w:val="18"/>
          <w:szCs w:val="18"/>
          <w:color w:val="auto"/>
        </w:rPr>
        <w:t>: Future policy benefit reserves for interest-sensitive insurance products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4"/>
          </w:tcPr>
          <w:p>
            <w:pPr>
              <w:spacing w:after="0"/>
              <w:rPr>
                <w:sz w:val="20"/>
                <w:szCs w:val="20"/>
                <w:color w:val="auto"/>
              </w:rPr>
            </w:pPr>
            <w:r>
              <w:rPr>
                <w:rFonts w:ascii="Arial" w:cs="Arial" w:eastAsia="Arial" w:hAnsi="Arial"/>
                <w:sz w:val="18"/>
                <w:szCs w:val="18"/>
                <w:color w:val="auto"/>
              </w:rPr>
              <w:t>18)  Accumulated Other Comprehensive Income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140" w:type="dxa"/>
            <w:vAlign w:val="bottom"/>
            <w:gridSpan w:val="2"/>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9"/>
        </w:trPr>
        <w:tc>
          <w:tcPr>
            <w:tcW w:w="7960" w:type="dxa"/>
            <w:vAlign w:val="bottom"/>
            <w:gridSpan w:val="4"/>
          </w:tcPr>
          <w:p>
            <w:pPr>
              <w:spacing w:after="0"/>
              <w:rPr>
                <w:sz w:val="20"/>
                <w:szCs w:val="20"/>
                <w:color w:val="auto"/>
              </w:rPr>
            </w:pPr>
            <w:r>
              <w:rPr>
                <w:rFonts w:ascii="Arial" w:cs="Arial" w:eastAsia="Arial" w:hAnsi="Arial"/>
                <w:sz w:val="18"/>
                <w:szCs w:val="18"/>
                <w:color w:val="auto"/>
              </w:rPr>
              <w:t>The following summarizes the changes in accumulated other comprehensive income: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9"/>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199"/>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5"/>
              </w:rPr>
              <w:t>Unrealized gains on equity securities, restricted assets and cemetery perpetual care trust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421,499</w:t>
            </w:r>
          </w:p>
        </w:tc>
        <w:tc>
          <w:tcPr>
            <w:tcW w:w="80" w:type="dxa"/>
            <w:vAlign w:val="bottom"/>
            <w:shd w:val="clear" w:color="auto" w:fill="CCEEFF"/>
          </w:tcPr>
          <w:p>
            <w:pPr>
              <w:spacing w:after="0"/>
              <w:rPr>
                <w:sz w:val="19"/>
                <w:szCs w:val="19"/>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w w:val="93"/>
              </w:rPr>
              <w:t>Cumulative effect adjustment upon adoption of new accounting standard (ASU 2016-01)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(603,170)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Reclassification adjustment for net realized gains in net income</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unrealized gains before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(603,170)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511,974</w:t>
            </w:r>
          </w:p>
        </w:tc>
        <w:tc>
          <w:tcPr>
            <w:tcW w:w="80" w:type="dxa"/>
            <w:vAlign w:val="bottom"/>
          </w:tcPr>
          <w:p>
            <w:pPr>
              <w:spacing w:after="0"/>
              <w:rPr>
                <w:sz w:val="18"/>
                <w:szCs w:val="18"/>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(175,644)</w:t>
            </w:r>
          </w:p>
        </w:tc>
      </w:tr>
      <w:tr>
        <w:trPr>
          <w:trHeight w:val="27"/>
        </w:trPr>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(603,170)</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336,330</w:t>
            </w:r>
          </w:p>
        </w:tc>
        <w:tc>
          <w:tcPr>
            <w:tcW w:w="80" w:type="dxa"/>
            <w:vAlign w:val="bottom"/>
          </w:tcPr>
          <w:p>
            <w:pPr>
              <w:spacing w:after="0"/>
              <w:rPr>
                <w:sz w:val="19"/>
                <w:szCs w:val="19"/>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for bank loan interest rate swaps before taxes</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18"/>
                <w:szCs w:val="18"/>
                <w:color w:val="auto"/>
              </w:rPr>
            </w:pP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Tax expense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(1,290)</w:t>
            </w: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Unrealized gains for foreign currency translations adjustments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(3,761)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gridSpan w:val="2"/>
          </w:tcPr>
          <w:p>
            <w:pPr>
              <w:ind w:left="16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4"/>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changes</w:t>
            </w:r>
          </w:p>
        </w:tc>
        <w:tc>
          <w:tcPr>
            <w:tcW w:w="2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(605,993</w:t>
            </w:r>
          </w:p>
        </w:tc>
        <w:tc>
          <w:tcPr>
            <w:tcW w:w="160" w:type="dxa"/>
            <w:vAlign w:val="bottom"/>
            <w:tcBorders>
              <w:right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338,348</w:t>
            </w:r>
          </w:p>
        </w:tc>
        <w:tc>
          <w:tcPr>
            <w:tcW w:w="80" w:type="dxa"/>
            <w:vAlign w:val="bottom"/>
            <w:shd w:val="clear" w:color="auto" w:fill="CCEEFF"/>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ind w:right="-113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w:t>
      </w:r>
      <w:r>
        <w:rPr>
          <w:rFonts w:ascii="Arial" w:cs="Arial" w:eastAsia="Arial" w:hAnsi="Arial"/>
          <w:sz w:val="18"/>
          <w:szCs w:val="18"/>
          <w:color w:val="auto"/>
        </w:rPr>
        <w:t xml:space="preserve"> (Continued)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as of December 31, 2018:</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Ending</w:t>
            </w: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Balance</w:t>
            </w: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6"/>
              </w:rPr>
              <w:t>December 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2"/>
              <w:spacing w:after="0"/>
              <w:rPr>
                <w:sz w:val="20"/>
                <w:szCs w:val="20"/>
                <w:color w:val="auto"/>
              </w:rPr>
            </w:pPr>
            <w:r>
              <w:rPr>
                <w:rFonts w:ascii="Arial" w:cs="Arial" w:eastAsia="Arial" w:hAnsi="Arial"/>
                <w:sz w:val="18"/>
                <w:szCs w:val="18"/>
                <w:color w:val="auto"/>
                <w:w w:val="87"/>
              </w:rPr>
              <w:t>Change for</w:t>
            </w:r>
          </w:p>
        </w:tc>
        <w:tc>
          <w:tcPr>
            <w:tcW w:w="1140" w:type="dxa"/>
            <w:vAlign w:val="bottom"/>
            <w:gridSpan w:val="4"/>
          </w:tcPr>
          <w:p>
            <w:pPr>
              <w:jc w:val="center"/>
              <w:spacing w:after="0"/>
              <w:rPr>
                <w:sz w:val="20"/>
                <w:szCs w:val="20"/>
                <w:color w:val="auto"/>
              </w:rPr>
            </w:pPr>
            <w:r>
              <w:rPr>
                <w:rFonts w:ascii="Arial" w:cs="Arial" w:eastAsia="Arial" w:hAnsi="Arial"/>
                <w:sz w:val="18"/>
                <w:szCs w:val="18"/>
                <w:color w:val="auto"/>
                <w:w w:val="88"/>
              </w:rPr>
              <w:t>December 31,</w:t>
            </w:r>
          </w:p>
        </w:tc>
      </w:tr>
      <w:tr>
        <w:trPr>
          <w:trHeight w:val="235"/>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442"/>
              <w:spacing w:after="0"/>
              <w:rPr>
                <w:sz w:val="20"/>
                <w:szCs w:val="20"/>
                <w:color w:val="auto"/>
              </w:rPr>
            </w:pPr>
            <w:r>
              <w:rPr>
                <w:rFonts w:ascii="Arial" w:cs="Arial" w:eastAsia="Arial" w:hAnsi="Arial"/>
                <w:sz w:val="18"/>
                <w:szCs w:val="18"/>
                <w:color w:val="auto"/>
                <w:w w:val="92"/>
              </w:rPr>
              <w:t>the period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1"/>
              <w:spacing w:after="0"/>
              <w:rPr>
                <w:sz w:val="20"/>
                <w:szCs w:val="20"/>
                <w:color w:val="auto"/>
              </w:rPr>
            </w:pPr>
            <w:r>
              <w:rPr>
                <w:rFonts w:ascii="Arial" w:cs="Arial" w:eastAsia="Arial" w:hAnsi="Arial"/>
                <w:sz w:val="18"/>
                <w:szCs w:val="18"/>
                <w:color w:val="auto"/>
                <w:w w:val="89"/>
              </w:rPr>
              <w:t>2018</w:t>
            </w:r>
          </w:p>
        </w:tc>
        <w:tc>
          <w:tcPr>
            <w:tcW w:w="6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5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Unrealized gains on equity securities, restricted assets and cemetery</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perpetual care trust investments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(603,170) (1)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2"/>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(2,823)</w:t>
            </w:r>
          </w:p>
        </w:tc>
      </w:tr>
      <w:tr>
        <w:trPr>
          <w:trHeight w:val="254"/>
        </w:trPr>
        <w:tc>
          <w:tcPr>
            <w:tcW w:w="2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603,170</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(605,993</w:t>
            </w:r>
          </w:p>
        </w:tc>
        <w:tc>
          <w:tcPr>
            <w:tcW w:w="36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as of December 31, 2017:</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Beginning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2"/>
              </w:rPr>
              <w:t>Ending</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Balance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December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Change for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the period</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57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Unrealized gains on equity securities, restricted assets and cemetery perpetual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care trust investments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603,170</w:t>
            </w:r>
          </w:p>
        </w:tc>
        <w:tc>
          <w:tcPr>
            <w:tcW w:w="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Unrealized gains for bank loan interest rate swaps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338,348</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603,170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See Note 1 regarding the adoption of ASU 2016-01.</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0280"/>
          </w:cols>
          <w:pgMar w:left="240" w:top="365" w:right="137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640" w:hanging="633"/>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 of derivatives as of December 31, 2018 and 2017.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gridSpan w:val="11"/>
          </w:tcPr>
          <w:p>
            <w:pPr>
              <w:jc w:val="right"/>
              <w:spacing w:after="0"/>
              <w:rPr>
                <w:sz w:val="20"/>
                <w:szCs w:val="20"/>
                <w:color w:val="auto"/>
              </w:rPr>
            </w:pPr>
            <w:r>
              <w:rPr>
                <w:rFonts w:ascii="Arial" w:cs="Arial" w:eastAsia="Arial" w:hAnsi="Arial"/>
                <w:sz w:val="18"/>
                <w:szCs w:val="18"/>
                <w:color w:val="auto"/>
              </w:rPr>
              <w:t>Fair Values and Notional Amounts of Derivative Instruments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December 31, 2018</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88"/>
              </w:rPr>
              <w:t>December 31, 2017</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31"/>
              <w:spacing w:after="0" w:line="200" w:lineRule="exact"/>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line="200" w:lineRule="exact"/>
              <w:rPr>
                <w:sz w:val="20"/>
                <w:szCs w:val="20"/>
                <w:color w:val="auto"/>
              </w:rPr>
            </w:pPr>
            <w:r>
              <w:rPr>
                <w:rFonts w:ascii="Arial" w:cs="Arial" w:eastAsia="Arial" w:hAnsi="Arial"/>
                <w:sz w:val="18"/>
                <w:szCs w:val="18"/>
                <w:color w:val="auto"/>
                <w:w w:val="88"/>
              </w:rPr>
              <w:t>Asset Fair</w:t>
            </w:r>
          </w:p>
        </w:tc>
        <w:tc>
          <w:tcPr>
            <w:tcW w:w="10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Arial" w:cs="Arial" w:eastAsia="Arial" w:hAnsi="Arial"/>
                <w:sz w:val="18"/>
                <w:szCs w:val="18"/>
                <w:color w:val="auto"/>
                <w:w w:val="97"/>
              </w:rPr>
              <w:t>Liability Fair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11"/>
              <w:spacing w:after="0" w:line="200" w:lineRule="exact"/>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200" w:lineRule="exact"/>
              <w:rPr>
                <w:sz w:val="20"/>
                <w:szCs w:val="20"/>
                <w:color w:val="auto"/>
              </w:rPr>
            </w:pPr>
            <w:r>
              <w:rPr>
                <w:rFonts w:ascii="Arial" w:cs="Arial" w:eastAsia="Arial" w:hAnsi="Arial"/>
                <w:sz w:val="18"/>
                <w:szCs w:val="18"/>
                <w:color w:val="auto"/>
                <w:w w:val="88"/>
              </w:rPr>
              <w:t>Asset Fair</w:t>
            </w:r>
          </w:p>
        </w:tc>
        <w:tc>
          <w:tcPr>
            <w:tcW w:w="80" w:type="dxa"/>
            <w:vAlign w:val="bottom"/>
          </w:tcPr>
          <w:p>
            <w:pPr>
              <w:spacing w:after="0"/>
              <w:rPr>
                <w:sz w:val="17"/>
                <w:szCs w:val="17"/>
                <w:color w:val="auto"/>
              </w:rPr>
            </w:pPr>
          </w:p>
        </w:tc>
        <w:tc>
          <w:tcPr>
            <w:tcW w:w="1040" w:type="dxa"/>
            <w:vAlign w:val="bottom"/>
          </w:tcPr>
          <w:p>
            <w:pPr>
              <w:jc w:val="center"/>
              <w:ind w:right="11"/>
              <w:spacing w:after="0" w:line="200" w:lineRule="exact"/>
              <w:rPr>
                <w:sz w:val="20"/>
                <w:szCs w:val="20"/>
                <w:color w:val="auto"/>
              </w:rPr>
            </w:pPr>
            <w:r>
              <w:rPr>
                <w:rFonts w:ascii="Arial" w:cs="Arial" w:eastAsia="Arial" w:hAnsi="Arial"/>
                <w:sz w:val="18"/>
                <w:szCs w:val="18"/>
                <w:color w:val="auto"/>
                <w:w w:val="97"/>
              </w:rPr>
              <w:t>Liability 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20" w:type="dxa"/>
            <w:vAlign w:val="bottom"/>
            <w:gridSpan w:val="3"/>
          </w:tcPr>
          <w:p>
            <w:pPr>
              <w:ind w:left="74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Derivatives not</w:t>
            </w: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00" w:type="dxa"/>
            <w:vAlign w:val="bottom"/>
            <w:gridSpan w:val="2"/>
          </w:tcPr>
          <w:p>
            <w:pPr>
              <w:spacing w:after="0"/>
              <w:rPr>
                <w:sz w:val="20"/>
                <w:szCs w:val="20"/>
                <w:color w:val="auto"/>
              </w:rPr>
            </w:pPr>
            <w:r>
              <w:rPr>
                <w:rFonts w:ascii="Arial" w:cs="Arial" w:eastAsia="Arial" w:hAnsi="Arial"/>
                <w:sz w:val="18"/>
                <w:szCs w:val="18"/>
                <w:color w:val="auto"/>
                <w:w w:val="92"/>
              </w:rPr>
              <w:t>designated as hedging</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86"/>
              </w:rPr>
              <w:t>Other assets and</w:t>
            </w: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1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Other liabilities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93,758,218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1,969,967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378,151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105,679,107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2,032,782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Call options</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1,488,550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64,689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Put options</w:t>
            </w:r>
          </w:p>
        </w:tc>
        <w:tc>
          <w:tcPr>
            <w:tcW w:w="1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Other liabilities</w:t>
            </w:r>
          </w:p>
        </w:tc>
        <w:tc>
          <w:tcPr>
            <w:tcW w:w="16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4,861,700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2,265,900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99,425,418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1,969,967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678,833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109,433,557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2,032,782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following table shows the gain (loss) on derivatives for the periods presented. There were no gains or losses reclassified from accumulated other comprehensive income into income or gains or losses recognized in income on derivatives ineffective portion or any amounts excluded from effective testing.</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6"/>
          </w:tcPr>
          <w:p>
            <w:pPr>
              <w:jc w:val="right"/>
              <w:ind w:right="500"/>
              <w:spacing w:after="0"/>
              <w:rPr>
                <w:sz w:val="20"/>
                <w:szCs w:val="20"/>
                <w:color w:val="auto"/>
              </w:rPr>
            </w:pPr>
            <w:r>
              <w:rPr>
                <w:rFonts w:ascii="Arial" w:cs="Arial" w:eastAsia="Arial" w:hAnsi="Arial"/>
                <w:sz w:val="18"/>
                <w:szCs w:val="18"/>
                <w:color w:val="auto"/>
                <w:w w:val="94"/>
              </w:rPr>
              <w:t>Net Amount Gain (Loss)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6"/>
          </w:tcPr>
          <w:p>
            <w:pPr>
              <w:jc w:val="right"/>
              <w:ind w:right="460"/>
              <w:spacing w:after="0"/>
              <w:rPr>
                <w:sz w:val="20"/>
                <w:szCs w:val="20"/>
                <w:color w:val="auto"/>
              </w:rPr>
            </w:pPr>
            <w:r>
              <w:rPr>
                <w:rFonts w:ascii="Arial" w:cs="Arial" w:eastAsia="Arial" w:hAnsi="Arial"/>
                <w:sz w:val="18"/>
                <w:szCs w:val="18"/>
                <w:color w:val="auto"/>
                <w:w w:val="86"/>
              </w:rPr>
              <w:t>Years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Derivative</w:t>
            </w:r>
          </w:p>
        </w:tc>
        <w:tc>
          <w:tcPr>
            <w:tcW w:w="39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comprehensive income</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Mortgage fee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(404,773)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(4,812,743) (1)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Gains on investments and other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187,786</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316,244</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the transfer of loan commitments to the value of loans held for sale.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jc w:val="both"/>
        <w:ind w:right="10080" w:firstLine="7"/>
        <w:spacing w:after="0" w:line="626" w:lineRule="auto"/>
        <w:tabs>
          <w:tab w:leader="none" w:pos="37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Acquisitions Beta Capital Corp.</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80" w:type="dxa"/>
            <w:vAlign w:val="bottom"/>
            <w:gridSpan w:val="2"/>
          </w:tcPr>
          <w:p>
            <w:pPr>
              <w:spacing w:after="0"/>
              <w:rPr>
                <w:sz w:val="20"/>
                <w:szCs w:val="20"/>
                <w:color w:val="auto"/>
              </w:rPr>
            </w:pPr>
            <w:r>
              <w:rPr>
                <w:rFonts w:ascii="Arial" w:cs="Arial" w:eastAsia="Arial" w:hAnsi="Arial"/>
                <w:sz w:val="18"/>
                <w:szCs w:val="18"/>
                <w:color w:val="auto"/>
              </w:rPr>
              <w:t>The estimated fair values of the assets acquired at the date of acquisition were as follows: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160" w:type="dxa"/>
            <w:vAlign w:val="bottom"/>
            <w:vMerge w:val="restart"/>
          </w:tcPr>
          <w:p>
            <w:pPr>
              <w:spacing w:after="0"/>
              <w:rPr>
                <w:sz w:val="23"/>
                <w:szCs w:val="23"/>
                <w:color w:val="auto"/>
              </w:rPr>
            </w:pPr>
          </w:p>
        </w:tc>
        <w:tc>
          <w:tcPr>
            <w:tcW w:w="8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16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 insurance assignments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2,515,783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 customer list intangible asset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3,405,783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Fair value of net assets acquired/consideration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3,405,783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47" w:lineRule="exact"/>
        <w:rPr>
          <w:sz w:val="20"/>
          <w:szCs w:val="20"/>
          <w:color w:val="auto"/>
        </w:rPr>
      </w:pPr>
    </w:p>
    <w:p>
      <w:pPr>
        <w:ind w:left="400" w:hanging="393"/>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reports MSRs pursuant to the accounting policy discussed in Note 1 of the Notes to Consolidated Financial Statements.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60" w:type="dxa"/>
            <w:vAlign w:val="bottom"/>
            <w:gridSpan w:val="2"/>
          </w:tcPr>
          <w:p>
            <w:pPr>
              <w:spacing w:after="0"/>
              <w:rPr>
                <w:sz w:val="20"/>
                <w:szCs w:val="20"/>
                <w:color w:val="auto"/>
              </w:rPr>
            </w:pPr>
            <w:r>
              <w:rPr>
                <w:rFonts w:ascii="Arial" w:cs="Arial" w:eastAsia="Arial" w:hAnsi="Arial"/>
                <w:sz w:val="18"/>
                <w:szCs w:val="18"/>
                <w:color w:val="auto"/>
              </w:rPr>
              <w:t>The following table presents the MSR activity for the periods presented.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11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60" w:type="dxa"/>
            <w:vAlign w:val="bottom"/>
            <w:gridSpan w:val="2"/>
          </w:tcPr>
          <w:p>
            <w:pPr>
              <w:ind w:left="1140"/>
              <w:spacing w:after="0"/>
              <w:rPr>
                <w:sz w:val="20"/>
                <w:szCs w:val="20"/>
                <w:color w:val="auto"/>
              </w:rPr>
            </w:pPr>
            <w:r>
              <w:rPr>
                <w:rFonts w:ascii="Arial" w:cs="Arial" w:eastAsia="Arial" w:hAnsi="Arial"/>
                <w:sz w:val="18"/>
                <w:szCs w:val="18"/>
                <w:color w:val="auto"/>
              </w:rPr>
              <w:t>Amortized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21,376,937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18,872,362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MSR additions resulting from loan sales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3,922,816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6,085,352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(5,282,931)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(3,580,777)</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3"/>
              </w:rPr>
              <w:t>Application of valuation allowance to write down MSRs with other than temporary impairment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valuation allowance at year end</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21,376,937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impairment of MSRs: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3"/>
              </w:rPr>
              <w:t>Application of valuation allowance to write down MSRs with other than temporary impairment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year end</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160" w:type="dxa"/>
            <w:vAlign w:val="bottom"/>
            <w:vMerge w:val="continue"/>
          </w:tcPr>
          <w:p>
            <w:pPr>
              <w:spacing w:after="0"/>
              <w:rPr>
                <w:sz w:val="22"/>
                <w:szCs w:val="2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21,376,937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69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MSRs at year end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28,885,316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27,427,174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60" w:type="dxa"/>
            <w:vAlign w:val="bottom"/>
            <w:gridSpan w:val="2"/>
          </w:tcPr>
          <w:p>
            <w:pPr>
              <w:ind w:left="1140"/>
              <w:spacing w:after="0"/>
              <w:rPr>
                <w:sz w:val="20"/>
                <w:szCs w:val="20"/>
                <w:color w:val="auto"/>
              </w:rPr>
            </w:pPr>
            <w:r>
              <w:rPr>
                <w:rFonts w:ascii="Arial" w:cs="Arial" w:eastAsia="Arial" w:hAnsi="Arial"/>
                <w:sz w:val="18"/>
                <w:szCs w:val="18"/>
                <w:color w:val="auto"/>
              </w:rPr>
              <w:t>(1) Included in other expenses on the consolidated statements of earnings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summarizes the Company’s estimate of future amortization of its existing MSRs carried at amortized cost. This projection was developed using the assumptions made by management in its December 31, 2018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MSR</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5"/>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440" w:type="dxa"/>
            <w:vAlign w:val="bottom"/>
            <w:gridSpan w:val="2"/>
          </w:tcPr>
          <w:p>
            <w:pPr>
              <w:jc w:val="center"/>
              <w:ind w:left="5414"/>
              <w:spacing w:after="0"/>
              <w:rPr>
                <w:sz w:val="20"/>
                <w:szCs w:val="20"/>
                <w:color w:val="auto"/>
              </w:rPr>
            </w:pPr>
            <w:r>
              <w:rPr>
                <w:rFonts w:ascii="Arial" w:cs="Arial" w:eastAsia="Arial" w:hAnsi="Arial"/>
                <w:sz w:val="18"/>
                <w:szCs w:val="18"/>
                <w:color w:val="auto"/>
                <w:w w:val="93"/>
              </w:rPr>
              <w:t>Amortization</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4"/>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2,948,860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2,457,300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2,120,792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1,816,710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1,563,832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9,109,328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4"/>
        </w:trPr>
        <w:tc>
          <w:tcPr>
            <w:tcW w:w="116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$ 20,016,822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69"/>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500" w:type="dxa"/>
            <w:vAlign w:val="bottom"/>
          </w:tcPr>
          <w:p>
            <w:pPr>
              <w:jc w:val="right"/>
              <w:ind w:right="3394"/>
              <w:spacing w:after="0"/>
              <w:rPr>
                <w:sz w:val="20"/>
                <w:szCs w:val="20"/>
                <w:color w:val="auto"/>
              </w:rPr>
            </w:pPr>
            <w:r>
              <w:rPr>
                <w:rFonts w:ascii="Arial" w:cs="Arial" w:eastAsia="Arial" w:hAnsi="Arial"/>
                <w:sz w:val="14"/>
                <w:szCs w:val="14"/>
                <w:color w:val="auto"/>
              </w:rPr>
              <w:t>95</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36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(Continued)</w:t>
      </w:r>
    </w:p>
    <w:p>
      <w:pPr>
        <w:spacing w:after="0" w:line="27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During the years ended December 31, 2018 and 2017, the Company collected the following contractual servicing fee income and late fee income as reported in other revenues on the consolidated statements of earnings: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7,561,226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7,199,649</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Late fees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319,244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284,550</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7,880,470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7,484,199</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unpaid principal balances (“UPB”) of the servicing portfolio for the periods presented:</w:t>
      </w:r>
    </w:p>
    <w:p>
      <w:pPr>
        <w:spacing w:after="0" w:line="27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91"/>
              <w:spacing w:after="0"/>
              <w:rPr>
                <w:sz w:val="20"/>
                <w:szCs w:val="20"/>
                <w:color w:val="auto"/>
              </w:rPr>
            </w:pPr>
            <w:r>
              <w:rPr>
                <w:rFonts w:ascii="Arial" w:cs="Arial" w:eastAsia="Arial" w:hAnsi="Arial"/>
                <w:sz w:val="18"/>
                <w:szCs w:val="18"/>
                <w:color w:val="auto"/>
                <w:w w:val="89"/>
              </w:rPr>
              <w:t>2018</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7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2,941,231,563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2,924,868,843</w:t>
            </w:r>
          </w:p>
        </w:tc>
        <w:tc>
          <w:tcPr>
            <w:tcW w:w="80" w:type="dxa"/>
            <w:vAlign w:val="bottom"/>
            <w:shd w:val="clear" w:color="auto" w:fill="CCEEFF"/>
          </w:tcPr>
          <w:p>
            <w:pPr>
              <w:spacing w:after="0"/>
              <w:rPr>
                <w:sz w:val="18"/>
                <w:szCs w:val="18"/>
                <w:color w:val="auto"/>
              </w:rPr>
            </w:pPr>
          </w:p>
        </w:tc>
      </w:tr>
      <w:tr>
        <w:trPr>
          <w:trHeight w:val="479"/>
        </w:trPr>
        <w:tc>
          <w:tcPr>
            <w:tcW w:w="7100" w:type="dxa"/>
            <w:vAlign w:val="bottom"/>
            <w:gridSpan w:val="2"/>
          </w:tcPr>
          <w:p>
            <w:pPr>
              <w:spacing w:after="0"/>
              <w:rPr>
                <w:sz w:val="20"/>
                <w:szCs w:val="20"/>
                <w:color w:val="auto"/>
              </w:rPr>
            </w:pPr>
            <w:r>
              <w:rPr>
                <w:rFonts w:ascii="Arial" w:cs="Arial" w:eastAsia="Arial" w:hAnsi="Arial"/>
                <w:sz w:val="18"/>
                <w:szCs w:val="18"/>
                <w:color w:val="auto"/>
              </w:rPr>
              <w:t>The following key assumptions were used in determining MSR value: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8"/>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Prepayment</w:t>
            </w:r>
          </w:p>
        </w:tc>
        <w:tc>
          <w:tcPr>
            <w:tcW w:w="8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1"/>
              </w:rPr>
              <w:t>Speeds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3"/>
              </w:rPr>
              <w:t>Life(Years)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Rate</w:t>
            </w:r>
          </w:p>
        </w:tc>
        <w:tc>
          <w:tcPr>
            <w:tcW w:w="80" w:type="dxa"/>
            <w:vAlign w:val="bottom"/>
          </w:tcPr>
          <w:p>
            <w:pPr>
              <w:spacing w:after="0"/>
              <w:rPr>
                <w:sz w:val="20"/>
                <w:szCs w:val="20"/>
                <w:color w:val="auto"/>
              </w:rPr>
            </w:pPr>
          </w:p>
        </w:tc>
      </w:tr>
      <w:tr>
        <w:trPr>
          <w:trHeight w:val="214"/>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r>
      <w:tr>
        <w:trPr>
          <w:trHeight w:val="227"/>
        </w:trPr>
        <w:tc>
          <w:tcPr>
            <w:tcW w:w="11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December 31, 2017</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3.67%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6.34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9"/>
                <w:szCs w:val="19"/>
                <w:color w:val="auto"/>
              </w:rPr>
            </w:pPr>
          </w:p>
        </w:tc>
      </w:tr>
    </w:tbl>
    <w:p>
      <w:pPr>
        <w:spacing w:after="0" w:line="2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Future Policy Benefits and Unpaid Claims</w:t>
      </w:r>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 reports future policy benefits and unpaid claims pursuant to the accounting policy discussed in Note 1 of the Notes to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future policy benefits and unpaid claims and the related receivable from reinsurers.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3"/>
          </w:tcPr>
          <w:p>
            <w:pPr>
              <w:jc w:val="right"/>
              <w:ind w:right="531"/>
              <w:spacing w:after="0"/>
              <w:rPr>
                <w:sz w:val="20"/>
                <w:szCs w:val="20"/>
                <w:color w:val="auto"/>
              </w:rPr>
            </w:pPr>
            <w:r>
              <w:rPr>
                <w:rFonts w:ascii="Arial" w:cs="Arial" w:eastAsia="Arial" w:hAnsi="Arial"/>
                <w:sz w:val="18"/>
                <w:szCs w:val="18"/>
                <w:color w:val="auto"/>
              </w:rPr>
              <w:t>Years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2018</w:t>
            </w:r>
          </w:p>
        </w:tc>
        <w:tc>
          <w:tcPr>
            <w:tcW w:w="1140" w:type="dxa"/>
            <w:vAlign w:val="bottom"/>
            <w:gridSpan w:val="2"/>
          </w:tcPr>
          <w:p>
            <w:pPr>
              <w:jc w:val="right"/>
              <w:ind w:right="23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w:t>
            </w:r>
          </w:p>
        </w:tc>
        <w:tc>
          <w:tcPr>
            <w:tcW w:w="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$466,232,621</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$445,247,671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Annuities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98,137,615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99,474,392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Policyholder account balances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46,479,853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47,867,037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Accident and health</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482,693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482,234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policyholder funds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4,431,296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4,487,521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Reported but unpaid claims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3,365,872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6,023,084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Incurred but not reported claims</w:t>
            </w:r>
          </w:p>
        </w:tc>
        <w:tc>
          <w:tcPr>
            <w:tcW w:w="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1,269,764</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1,165,012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future policy benefits and unpaid claims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620,399,714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604,746,951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0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Receivable from reinsurers</w:t>
            </w: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6,702,328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7,291,996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Annuities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4,078,666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6,023,092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but unpaid claims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Incurred but not reported claims</w:t>
            </w: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receivable from reinsurers</w:t>
            </w: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10,820,102</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Net future policy benefits and unpaid claims</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609,579,612</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591,352,348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reports revenues from contracts with customers pursuant to ASC No. 606, “Revenue from Contracts with Customers” (See Note 1 of the Notes to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with Customers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Performance Obligations and Contract Balances</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2018 and 2017, the balances were $13,203,098 and 13,729,547,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Pre-need Merchandise and Service Revenue</w:t>
      </w:r>
      <w:r>
        <w:rPr>
          <w:rFonts w:ascii="Arial" w:cs="Arial" w:eastAsia="Arial" w:hAnsi="Arial"/>
          <w:sz w:val="18"/>
          <w:szCs w:val="18"/>
          <w:color w:val="auto"/>
        </w:rPr>
        <w:t>: All pre-need merchandise and service revenue is deferred and the funds are placed in trust until the need arises, the</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is received or the service is performed. The trust is then relieved, and the revenue and commissions are recognized. As of December 31, 2018 and 2017, the balances were $12,870,416 and $13,477,075, respectively.</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markers and bases. When specialty merchandise is ordered, it can take time to manufacture and deliver the product. Revenue is deferred until the at-need merchandise is received. As of December 31, 2018 and 2017, the balances were $327,302 and $236,572, respectively. Deferred revenue for at-need specialty revenue is not placed in trust.</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As of December 31, 2018 and 2017, the balances were $5,380 and $15,900, respectively. Deferred pre-need land revenue is not placed in trust.</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180" w:type="dxa"/>
            <w:vAlign w:val="bottom"/>
            <w:gridSpan w:val="7"/>
          </w:tcPr>
          <w:p>
            <w:pPr>
              <w:ind w:left="900"/>
              <w:spacing w:after="0"/>
              <w:rPr>
                <w:sz w:val="20"/>
                <w:szCs w:val="20"/>
                <w:color w:val="auto"/>
              </w:rPr>
            </w:pPr>
            <w:r>
              <w:rPr>
                <w:rFonts w:ascii="Arial" w:cs="Arial" w:eastAsia="Arial" w:hAnsi="Arial"/>
                <w:sz w:val="18"/>
                <w:szCs w:val="18"/>
                <w:color w:val="auto"/>
              </w:rPr>
              <w:t>Contract Balances</w:t>
            </w:r>
          </w:p>
        </w:tc>
      </w:tr>
      <w:tr>
        <w:trPr>
          <w:trHeight w:val="199"/>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40" w:type="dxa"/>
            <w:vAlign w:val="bottom"/>
            <w:tcBorders>
              <w:top w:val="single" w:sz="8" w:color="auto"/>
            </w:tcBorders>
            <w:gridSpan w:val="2"/>
          </w:tcPr>
          <w:p>
            <w:pPr>
              <w:ind w:left="20"/>
              <w:spacing w:after="0" w:line="200" w:lineRule="exact"/>
              <w:rPr>
                <w:sz w:val="20"/>
                <w:szCs w:val="20"/>
                <w:color w:val="auto"/>
              </w:rPr>
            </w:pPr>
            <w:r>
              <w:rPr>
                <w:rFonts w:ascii="Arial" w:cs="Arial" w:eastAsia="Arial" w:hAnsi="Arial"/>
                <w:sz w:val="18"/>
                <w:szCs w:val="18"/>
                <w:color w:val="auto"/>
              </w:rPr>
              <w:t>Receivables</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71"/>
              <w:spacing w:after="0" w:line="200" w:lineRule="exact"/>
              <w:rPr>
                <w:sz w:val="20"/>
                <w:szCs w:val="20"/>
                <w:color w:val="auto"/>
              </w:rPr>
            </w:pPr>
            <w:r>
              <w:rPr>
                <w:rFonts w:ascii="Arial" w:cs="Arial" w:eastAsia="Arial" w:hAnsi="Arial"/>
                <w:sz w:val="18"/>
                <w:szCs w:val="18"/>
                <w:color w:val="auto"/>
                <w:w w:val="91"/>
              </w:rPr>
              <w:t>Contract</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1"/>
              <w:spacing w:after="0" w:line="200" w:lineRule="exact"/>
              <w:rPr>
                <w:sz w:val="20"/>
                <w:szCs w:val="20"/>
                <w:color w:val="auto"/>
              </w:rPr>
            </w:pPr>
            <w:r>
              <w:rPr>
                <w:rFonts w:ascii="Arial" w:cs="Arial" w:eastAsia="Arial" w:hAnsi="Arial"/>
                <w:sz w:val="18"/>
                <w:szCs w:val="18"/>
                <w:color w:val="auto"/>
              </w:rPr>
              <w:t>Contract</w:t>
            </w:r>
          </w:p>
        </w:tc>
        <w:tc>
          <w:tcPr>
            <w:tcW w:w="8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160" w:type="dxa"/>
            <w:vAlign w:val="bottom"/>
            <w:gridSpan w:val="2"/>
          </w:tcPr>
          <w:p>
            <w:pPr>
              <w:jc w:val="right"/>
              <w:ind w:right="29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Arial" w:cs="Arial" w:eastAsia="Arial" w:hAnsi="Arial"/>
                <w:sz w:val="18"/>
                <w:szCs w:val="18"/>
                <w:color w:val="auto"/>
              </w:rPr>
              <w:t>Asset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Liability</w:t>
            </w:r>
          </w:p>
        </w:tc>
      </w:tr>
      <w:tr>
        <w:trPr>
          <w:trHeight w:val="214"/>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Opening (1/1/2018)</w:t>
            </w:r>
          </w:p>
        </w:tc>
        <w:tc>
          <w:tcPr>
            <w:tcW w:w="2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3,608,379</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$ 12,873,068</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Closing (12/31/2018)</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2,816,225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12,508,625</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2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(792,154)</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(364,443)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Included in Receivables,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opening and closing balances of the Company’s contract assets and contract liabilities.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color w:val="auto"/>
              </w:rPr>
              <w:t>Contract Balances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Contract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Contract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Asset</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Pre-need merchandise and services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$ 12,620,596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At-need specialty merchandise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Pre-need land sales</w:t>
            </w: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Opening (1/1/2018)</w:t>
            </w:r>
          </w:p>
        </w:tc>
        <w:tc>
          <w:tcPr>
            <w:tcW w:w="820" w:type="dxa"/>
            <w:vAlign w:val="bottom"/>
            <w:gridSpan w:val="2"/>
          </w:tcPr>
          <w:p>
            <w:pPr>
              <w:jc w:val="right"/>
              <w:ind w:right="638"/>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12,873,068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Pre-need merchandise and services</w:t>
            </w:r>
          </w:p>
        </w:tc>
        <w:tc>
          <w:tcPr>
            <w:tcW w:w="820" w:type="dxa"/>
            <w:vAlign w:val="bottom"/>
            <w:gridSpan w:val="2"/>
          </w:tcPr>
          <w:p>
            <w:pPr>
              <w:jc w:val="right"/>
              <w:ind w:right="638"/>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$ 12,175,943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At-need specialty merchandise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Pre-need land sales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Closing (12/31/2018)</w:t>
            </w: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12,508,625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The amount of revenue recognized for the year ended December 31, 2018 that was included in the opening contract liability balance was $2,623,903.</w:t>
      </w:r>
    </w:p>
    <w:p>
      <w:pPr>
        <w:spacing w:after="0" w:line="28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ectPr>
          <w:pgSz w:w="11900" w:h="16838" w:orient="portrait"/>
          <w:cols w:equalWidth="0" w:num="1">
            <w:col w:w="11420"/>
          </w:cols>
          <w:pgMar w:left="240" w:top="125"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disaggregates revenue for the Company’s cemetery and mortuary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Major goods/service lines</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-130175</wp:posOffset>
            </wp:positionV>
            <wp:extent cx="5798820" cy="13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8820" cy="135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Pre-need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22225</wp:posOffset>
            </wp:positionV>
            <wp:extent cx="5798820" cy="169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8820" cy="1695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-121920</wp:posOffset>
            </wp:positionV>
            <wp:extent cx="5798820"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8820" cy="135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Goods transferred at a point in time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-130175</wp:posOffset>
            </wp:positionV>
            <wp:extent cx="5798820" cy="152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9882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18"/>
        <w:spacing w:after="0"/>
        <w:rPr>
          <w:sz w:val="20"/>
          <w:szCs w:val="20"/>
          <w:color w:val="auto"/>
        </w:rPr>
      </w:pPr>
      <w:r>
        <w:rPr>
          <w:rFonts w:ascii="Arial" w:cs="Arial" w:eastAsia="Arial" w:hAnsi="Arial"/>
          <w:sz w:val="17"/>
          <w:szCs w:val="17"/>
          <w:color w:val="auto"/>
        </w:rPr>
        <w:t>Year Ended</w:t>
      </w:r>
    </w:p>
    <w:p>
      <w:pPr>
        <w:spacing w:after="0" w:line="31" w:lineRule="exact"/>
        <w:rPr>
          <w:sz w:val="20"/>
          <w:szCs w:val="20"/>
          <w:color w:val="auto"/>
        </w:rPr>
      </w:pPr>
    </w:p>
    <w:p>
      <w:pPr>
        <w:jc w:val="center"/>
        <w:ind w:right="1218"/>
        <w:spacing w:after="0"/>
        <w:rPr>
          <w:sz w:val="20"/>
          <w:szCs w:val="20"/>
          <w:color w:val="auto"/>
        </w:rPr>
      </w:pPr>
      <w:r>
        <w:rPr>
          <w:rFonts w:ascii="Arial" w:cs="Arial" w:eastAsia="Arial" w:hAnsi="Arial"/>
          <w:sz w:val="18"/>
          <w:szCs w:val="18"/>
          <w:color w:val="auto"/>
        </w:rPr>
        <w:t>December</w:t>
      </w:r>
    </w:p>
    <w:p>
      <w:pPr>
        <w:spacing w:after="0" w:line="7" w:lineRule="exact"/>
        <w:rPr>
          <w:sz w:val="20"/>
          <w:szCs w:val="20"/>
          <w:color w:val="auto"/>
        </w:rPr>
      </w:pPr>
    </w:p>
    <w:p>
      <w:pPr>
        <w:jc w:val="center"/>
        <w:ind w:right="1218"/>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848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835" cy="17145"/>
                    </a:xfrm>
                    <a:prstGeom prst="rect">
                      <a:avLst/>
                    </a:prstGeom>
                    <a:noFill/>
                  </pic:spPr>
                </pic:pic>
              </a:graphicData>
            </a:graphic>
          </wp:anchor>
        </w:drawing>
      </w:r>
    </w:p>
    <w:p>
      <w:pPr>
        <w:ind w:left="282"/>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848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835" cy="17145"/>
                    </a:xfrm>
                    <a:prstGeom prst="rect">
                      <a:avLst/>
                    </a:prstGeom>
                    <a:noFill/>
                  </pic:spPr>
                </pic:pic>
              </a:graphicData>
            </a:graphic>
          </wp:anchor>
        </w:drawing>
      </w:r>
    </w:p>
    <w:p>
      <w:pPr>
        <w:spacing w:after="0" w:line="227" w:lineRule="exact"/>
        <w:rPr>
          <w:sz w:val="20"/>
          <w:szCs w:val="20"/>
          <w:color w:val="auto"/>
        </w:rPr>
      </w:pPr>
    </w:p>
    <w:p>
      <w:pPr>
        <w:ind w:left="122" w:hanging="122"/>
        <w:spacing w:after="0"/>
        <w:tabs>
          <w:tab w:leader="none" w:pos="122" w:val="left"/>
        </w:tabs>
        <w:numPr>
          <w:ilvl w:val="0"/>
          <w:numId w:val="65"/>
        </w:numPr>
        <w:rPr>
          <w:rFonts w:ascii="Arial" w:cs="Arial" w:eastAsia="Arial" w:hAnsi="Arial"/>
          <w:sz w:val="14"/>
          <w:szCs w:val="14"/>
          <w:color w:val="auto"/>
        </w:rPr>
      </w:pPr>
      <w:r>
        <w:rPr>
          <w:rFonts w:ascii="Arial" w:cs="Arial" w:eastAsia="Arial" w:hAnsi="Arial"/>
          <w:sz w:val="14"/>
          <w:szCs w:val="14"/>
          <w:color w:val="auto"/>
        </w:rPr>
        <w:t>10,391,976</w:t>
      </w:r>
    </w:p>
    <w:p>
      <w:pPr>
        <w:spacing w:after="0" w:line="65" w:lineRule="exact"/>
        <w:rPr>
          <w:rFonts w:ascii="Arial" w:cs="Arial" w:eastAsia="Arial" w:hAnsi="Arial"/>
          <w:sz w:val="14"/>
          <w:szCs w:val="14"/>
          <w:color w:val="auto"/>
        </w:rPr>
      </w:pPr>
    </w:p>
    <w:p>
      <w:pPr>
        <w:ind w:left="202"/>
        <w:spacing w:after="0"/>
        <w:rPr>
          <w:rFonts w:ascii="Arial" w:cs="Arial" w:eastAsia="Arial" w:hAnsi="Arial"/>
          <w:sz w:val="14"/>
          <w:szCs w:val="14"/>
          <w:color w:val="auto"/>
        </w:rPr>
      </w:pPr>
      <w:r>
        <w:rPr>
          <w:rFonts w:ascii="Arial" w:cs="Arial" w:eastAsia="Arial" w:hAnsi="Arial"/>
          <w:sz w:val="16"/>
          <w:szCs w:val="16"/>
          <w:color w:val="auto"/>
        </w:rPr>
        <w:t>3,334,542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58483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835" cy="17145"/>
                    </a:xfrm>
                    <a:prstGeom prst="rect">
                      <a:avLst/>
                    </a:prstGeom>
                    <a:noFill/>
                  </pic:spPr>
                </pic:pic>
              </a:graphicData>
            </a:graphic>
          </wp:anchor>
        </w:drawing>
      </w:r>
    </w:p>
    <w:p>
      <w:pPr>
        <w:spacing w:after="0" w:line="23" w:lineRule="exact"/>
        <w:rPr>
          <w:sz w:val="20"/>
          <w:szCs w:val="20"/>
          <w:color w:val="auto"/>
        </w:rPr>
      </w:pPr>
    </w:p>
    <w:p>
      <w:pPr>
        <w:ind w:left="2"/>
        <w:spacing w:after="0"/>
        <w:rPr>
          <w:sz w:val="20"/>
          <w:szCs w:val="20"/>
          <w:color w:val="auto"/>
        </w:rPr>
      </w:pPr>
      <w:r>
        <w:rPr>
          <w:rFonts w:ascii="Arial" w:cs="Arial" w:eastAsia="Arial" w:hAnsi="Arial"/>
          <w:sz w:val="14"/>
          <w:szCs w:val="14"/>
          <w:u w:val="single" w:color="auto"/>
          <w:color w:val="auto"/>
        </w:rPr>
        <w:t>$ 13,726,518</w:t>
      </w:r>
    </w:p>
    <w:p>
      <w:pPr>
        <w:spacing w:after="0" w:line="200" w:lineRule="exact"/>
        <w:rPr>
          <w:sz w:val="20"/>
          <w:szCs w:val="20"/>
          <w:color w:val="auto"/>
        </w:rPr>
      </w:pPr>
    </w:p>
    <w:p>
      <w:pPr>
        <w:spacing w:after="0" w:line="333" w:lineRule="exact"/>
        <w:rPr>
          <w:sz w:val="20"/>
          <w:szCs w:val="20"/>
          <w:color w:val="auto"/>
        </w:rPr>
      </w:pPr>
    </w:p>
    <w:p>
      <w:pPr>
        <w:ind w:left="202" w:hanging="202"/>
        <w:spacing w:after="0"/>
        <w:tabs>
          <w:tab w:leader="none" w:pos="2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9,100,851</w:t>
      </w:r>
    </w:p>
    <w:p>
      <w:pPr>
        <w:spacing w:after="0" w:line="42" w:lineRule="exact"/>
        <w:rPr>
          <w:rFonts w:ascii="Arial" w:cs="Arial" w:eastAsia="Arial" w:hAnsi="Arial"/>
          <w:sz w:val="16"/>
          <w:szCs w:val="16"/>
          <w:color w:val="auto"/>
        </w:rPr>
      </w:pPr>
    </w:p>
    <w:p>
      <w:pPr>
        <w:ind w:left="202"/>
        <w:spacing w:after="0"/>
        <w:rPr>
          <w:rFonts w:ascii="Arial" w:cs="Arial" w:eastAsia="Arial" w:hAnsi="Arial"/>
          <w:sz w:val="16"/>
          <w:szCs w:val="16"/>
          <w:color w:val="auto"/>
        </w:rPr>
      </w:pPr>
      <w:r>
        <w:rPr>
          <w:rFonts w:ascii="Arial" w:cs="Arial" w:eastAsia="Arial" w:hAnsi="Arial"/>
          <w:sz w:val="16"/>
          <w:szCs w:val="16"/>
          <w:color w:val="auto"/>
        </w:rPr>
        <w:t>4,625,667</w:t>
      </w:r>
    </w:p>
    <w:p>
      <w:pPr>
        <w:spacing w:after="0" w:line="43" w:lineRule="exact"/>
        <w:rPr>
          <w:sz w:val="20"/>
          <w:szCs w:val="20"/>
          <w:color w:val="auto"/>
        </w:rPr>
      </w:pPr>
    </w:p>
    <w:p>
      <w:pPr>
        <w:ind w:left="2"/>
        <w:spacing w:after="0"/>
        <w:rPr>
          <w:sz w:val="20"/>
          <w:szCs w:val="20"/>
          <w:color w:val="auto"/>
        </w:rPr>
      </w:pPr>
      <w:r>
        <w:rPr>
          <w:rFonts w:ascii="Arial" w:cs="Arial" w:eastAsia="Arial" w:hAnsi="Arial"/>
          <w:sz w:val="14"/>
          <w:szCs w:val="14"/>
          <w:u w:val="single" w:color="auto"/>
          <w:color w:val="auto"/>
        </w:rPr>
        <w:t>$ 13,726,518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584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8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58" w:space="720"/>
            <w:col w:w="2142"/>
          </w:cols>
          <w:pgMar w:left="240" w:top="125" w:right="239" w:bottom="1440" w:gutter="0" w:footer="0" w:header="0"/>
          <w:type w:val="continuous"/>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7247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301" w:lineRule="exact"/>
        <w:rPr>
          <w:sz w:val="20"/>
          <w:szCs w:val="20"/>
          <w:color w:val="auto"/>
        </w:rPr>
      </w:pPr>
    </w:p>
    <w:p>
      <w:pPr>
        <w:ind w:left="400" w:hanging="393"/>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when revenue should be recognized.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cemetery and mortuary segment uses practical expedients in recognizing revenue for at-need specialty merchandise. At-need specialty merchandise consists of customized markers and bases ordered from a third-party manufacturer. These markers and bases can be ordered for at-need or pre-need contracts once the contract is paid in full. It is difficult to determine the exact point in time when each base and marker is delivered and installed. The Company uses practical expedients in determining when to recognize revenue. A marker is considered shipped and delivered once an invoice from the manufacturer is received requesting payment on the customized merchandise. The company uses the invoice as the method for considering obligations fulfilled on specialty merchandise.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cemetery and mortuary segment defers certain costs associated with obtaining a contract on future obligations.</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Pre-need Merchandise and Service Revenue</w:t>
      </w:r>
      <w:r>
        <w:rPr>
          <w:rFonts w:ascii="Arial" w:cs="Arial" w:eastAsia="Arial" w:hAnsi="Arial"/>
          <w:sz w:val="18"/>
          <w:szCs w:val="18"/>
          <w:color w:val="auto"/>
        </w:rPr>
        <w:t>: Pre-need merchandise and service revenues are deferred until the goods or services are delivered. Recognition can</w:t>
      </w:r>
      <w:r>
        <w:rPr>
          <w:rFonts w:ascii="Arial" w:cs="Arial" w:eastAsia="Arial" w:hAnsi="Arial"/>
          <w:sz w:val="18"/>
          <w:szCs w:val="18"/>
          <w:i w:val="1"/>
          <w:iCs w:val="1"/>
          <w:color w:val="auto"/>
        </w:rPr>
        <w:t xml:space="preserve"> </w:t>
      </w:r>
      <w:r>
        <w:rPr>
          <w:rFonts w:ascii="Arial" w:cs="Arial" w:eastAsia="Arial" w:hAnsi="Arial"/>
          <w:sz w:val="18"/>
          <w:szCs w:val="18"/>
          <w:color w:val="auto"/>
        </w:rPr>
        <w:t>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is ordered from a third-party manufacturer. Generally, at-need specialty merchandise is</w:t>
      </w:r>
      <w:r>
        <w:rPr>
          <w:rFonts w:ascii="Arial" w:cs="Arial" w:eastAsia="Arial" w:hAnsi="Arial"/>
          <w:sz w:val="18"/>
          <w:szCs w:val="18"/>
          <w:i w:val="1"/>
          <w:iCs w:val="1"/>
          <w:color w:val="auto"/>
        </w:rPr>
        <w:t xml:space="preserve"> </w:t>
      </w:r>
      <w:r>
        <w:rPr>
          <w:rFonts w:ascii="Arial" w:cs="Arial" w:eastAsia="Arial" w:hAnsi="Arial"/>
          <w:sz w:val="18"/>
          <w:szCs w:val="18"/>
          <w:color w:val="auto"/>
        </w:rPr>
        <w:t>ordered and received within 90 days of order. These orders are also short-term in nature and only commissions are deferred until the product is received from the manufacturer and the obligation is satisfied.</w:t>
      </w:r>
    </w:p>
    <w:p>
      <w:pPr>
        <w:spacing w:after="0" w:line="238" w:lineRule="exact"/>
        <w:rPr>
          <w:sz w:val="20"/>
          <w:szCs w:val="20"/>
          <w:color w:val="auto"/>
        </w:rPr>
      </w:pPr>
    </w:p>
    <w:p>
      <w:pPr>
        <w:jc w:val="both"/>
        <w:spacing w:after="0" w:line="334" w:lineRule="auto"/>
        <w:rPr>
          <w:sz w:val="20"/>
          <w:szCs w:val="20"/>
          <w:color w:val="auto"/>
        </w:rPr>
      </w:pPr>
      <w:r>
        <w:rPr>
          <w:rFonts w:ascii="Arial" w:cs="Arial" w:eastAsia="Arial" w:hAnsi="Arial"/>
          <w:sz w:val="16"/>
          <w:szCs w:val="16"/>
          <w:i w:val="1"/>
          <w:iCs w:val="1"/>
          <w:u w:val="single" w:color="auto"/>
          <w:color w:val="auto"/>
        </w:rPr>
        <w:t>Deferred Pre-need Land Revenue</w:t>
      </w:r>
      <w:r>
        <w:rPr>
          <w:rFonts w:ascii="Arial" w:cs="Arial" w:eastAsia="Arial" w:hAnsi="Arial"/>
          <w:sz w:val="16"/>
          <w:szCs w:val="16"/>
          <w:color w:val="auto"/>
        </w:rPr>
        <w:t>: Revenue is recognized on pre-need land sales when the customer has paid at least 10% toward the land price. In cases,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pay less than 10%, the revenue and associated commissions are deferred until such time when 10% of the contract price is received.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disaggregates contract costs that are included in deferred policy and pre-need contract acquisition costs on the consolidated balances sheets.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Pre-need merchandise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-92710</wp:posOffset>
            </wp:positionV>
            <wp:extent cx="5798820"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8820" cy="135890"/>
                    </a:xfrm>
                    <a:prstGeom prst="rect">
                      <a:avLst/>
                    </a:prstGeom>
                    <a:noFill/>
                  </pic:spPr>
                </pic:pic>
              </a:graphicData>
            </a:graphic>
          </wp:anchor>
        </w:drawing>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At-need specialty merchandise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Pre-need land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-130175</wp:posOffset>
            </wp:positionV>
            <wp:extent cx="5798820" cy="15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882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218"/>
        <w:spacing w:after="0"/>
        <w:rPr>
          <w:sz w:val="20"/>
          <w:szCs w:val="20"/>
          <w:color w:val="auto"/>
        </w:rPr>
      </w:pPr>
      <w:r>
        <w:rPr>
          <w:rFonts w:ascii="Arial" w:cs="Arial" w:eastAsia="Arial" w:hAnsi="Arial"/>
          <w:sz w:val="17"/>
          <w:szCs w:val="17"/>
          <w:color w:val="auto"/>
        </w:rPr>
        <w:t>Year Ended</w:t>
      </w:r>
    </w:p>
    <w:p>
      <w:pPr>
        <w:spacing w:after="0" w:line="31" w:lineRule="exact"/>
        <w:rPr>
          <w:sz w:val="20"/>
          <w:szCs w:val="20"/>
          <w:color w:val="auto"/>
        </w:rPr>
      </w:pPr>
    </w:p>
    <w:p>
      <w:pPr>
        <w:jc w:val="center"/>
        <w:ind w:right="1218"/>
        <w:spacing w:after="0"/>
        <w:rPr>
          <w:sz w:val="20"/>
          <w:szCs w:val="20"/>
          <w:color w:val="auto"/>
        </w:rPr>
      </w:pPr>
      <w:r>
        <w:rPr>
          <w:rFonts w:ascii="Arial" w:cs="Arial" w:eastAsia="Arial" w:hAnsi="Arial"/>
          <w:sz w:val="18"/>
          <w:szCs w:val="18"/>
          <w:color w:val="auto"/>
        </w:rPr>
        <w:t>December</w:t>
      </w:r>
    </w:p>
    <w:p>
      <w:pPr>
        <w:spacing w:after="0" w:line="7" w:lineRule="exact"/>
        <w:rPr>
          <w:sz w:val="20"/>
          <w:szCs w:val="20"/>
          <w:color w:val="auto"/>
        </w:rPr>
      </w:pPr>
    </w:p>
    <w:p>
      <w:pPr>
        <w:jc w:val="center"/>
        <w:ind w:right="1218"/>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848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835" cy="17145"/>
                    </a:xfrm>
                    <a:prstGeom prst="rect">
                      <a:avLst/>
                    </a:prstGeom>
                    <a:noFill/>
                  </pic:spPr>
                </pic:pic>
              </a:graphicData>
            </a:graphic>
          </wp:anchor>
        </w:drawing>
      </w:r>
    </w:p>
    <w:p>
      <w:pPr>
        <w:ind w:left="282"/>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8483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835" cy="17145"/>
                    </a:xfrm>
                    <a:prstGeom prst="rect">
                      <a:avLst/>
                    </a:prstGeom>
                    <a:noFill/>
                  </pic:spPr>
                </pic:pic>
              </a:graphicData>
            </a:graphic>
          </wp:anchor>
        </w:drawing>
      </w:r>
    </w:p>
    <w:p>
      <w:pPr>
        <w:spacing w:after="0" w:line="13" w:lineRule="exact"/>
        <w:rPr>
          <w:sz w:val="20"/>
          <w:szCs w:val="20"/>
          <w:color w:val="auto"/>
        </w:rPr>
      </w:pPr>
    </w:p>
    <w:p>
      <w:pPr>
        <w:ind w:left="202" w:hanging="202"/>
        <w:spacing w:after="0"/>
        <w:tabs>
          <w:tab w:leader="none" w:pos="2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3,575,032</w:t>
      </w:r>
    </w:p>
    <w:p>
      <w:pPr>
        <w:spacing w:after="0" w:line="42" w:lineRule="exact"/>
        <w:rPr>
          <w:rFonts w:ascii="Arial" w:cs="Arial" w:eastAsia="Arial" w:hAnsi="Arial"/>
          <w:sz w:val="16"/>
          <w:szCs w:val="16"/>
          <w:color w:val="auto"/>
        </w:rPr>
      </w:pPr>
    </w:p>
    <w:p>
      <w:pPr>
        <w:ind w:left="442"/>
        <w:spacing w:after="0"/>
        <w:rPr>
          <w:rFonts w:ascii="Arial" w:cs="Arial" w:eastAsia="Arial" w:hAnsi="Arial"/>
          <w:sz w:val="16"/>
          <w:szCs w:val="16"/>
          <w:color w:val="auto"/>
        </w:rPr>
      </w:pPr>
      <w:r>
        <w:rPr>
          <w:rFonts w:ascii="Arial" w:cs="Arial" w:eastAsia="Arial" w:hAnsi="Arial"/>
          <w:sz w:val="14"/>
          <w:szCs w:val="14"/>
          <w:color w:val="auto"/>
        </w:rPr>
        <w:t>15,926</w:t>
      </w:r>
    </w:p>
    <w:p>
      <w:pPr>
        <w:spacing w:after="0" w:line="52" w:lineRule="exact"/>
        <w:rPr>
          <w:rFonts w:ascii="Arial" w:cs="Arial" w:eastAsia="Arial" w:hAnsi="Arial"/>
          <w:sz w:val="16"/>
          <w:szCs w:val="16"/>
          <w:color w:val="auto"/>
        </w:rPr>
      </w:pPr>
    </w:p>
    <w:p>
      <w:pPr>
        <w:ind w:left="522"/>
        <w:spacing w:after="0"/>
        <w:rPr>
          <w:rFonts w:ascii="Arial" w:cs="Arial" w:eastAsia="Arial" w:hAnsi="Arial"/>
          <w:sz w:val="16"/>
          <w:szCs w:val="16"/>
          <w:color w:val="auto"/>
        </w:rPr>
      </w:pPr>
      <w:r>
        <w:rPr>
          <w:rFonts w:ascii="Arial" w:cs="Arial" w:eastAsia="Arial" w:hAnsi="Arial"/>
          <w:sz w:val="14"/>
          <w:szCs w:val="14"/>
          <w:color w:val="auto"/>
        </w:rPr>
        <w:t>1,237</w:t>
      </w:r>
    </w:p>
    <w:p>
      <w:pPr>
        <w:spacing w:after="0" w:line="66"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  3,592,195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584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8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58" w:space="720"/>
            <w:col w:w="2142"/>
          </w:cols>
          <w:pgMar w:left="240" w:top="125" w:right="2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247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61" w:lineRule="exact"/>
        <w:rPr>
          <w:sz w:val="20"/>
          <w:szCs w:val="20"/>
          <w:color w:val="auto"/>
        </w:rPr>
      </w:pPr>
    </w:p>
    <w:p>
      <w:pPr>
        <w:ind w:left="380" w:hanging="373"/>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Probst Family Funerals and Cremations and Heber Valley Funeral Home</w:t>
      </w:r>
    </w:p>
    <w:p>
      <w:pPr>
        <w:spacing w:after="0" w:line="2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terms of the transaction, as set forth in the Asset Purchase Agreement, dated February 15, 2019, by and among SN Probst LLC, a wholly owned subsidiary of Memorial Mortuary (“SN Probst”), and Probst Family Funerals, Heber Valley Funeral Home, Joe T. Probst, Clinton Wayne Probst, Calle J. Probst, and Marsha L. Probst, Memorial Mortuary, through its wholly owned subsidiary SN Probst, paid the purchase price of $3,300,000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4"/>
          </w:tcPr>
          <w:p>
            <w:pPr>
              <w:spacing w:after="0"/>
              <w:rPr>
                <w:sz w:val="20"/>
                <w:szCs w:val="20"/>
                <w:color w:val="auto"/>
              </w:rPr>
            </w:pPr>
            <w:r>
              <w:rPr>
                <w:rFonts w:ascii="Arial" w:cs="Arial" w:eastAsia="Arial" w:hAnsi="Arial"/>
                <w:sz w:val="18"/>
                <w:szCs w:val="18"/>
                <w:color w:val="auto"/>
              </w:rPr>
              <w:t>25)  Quarterly Financial Data (Unaudited)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00"/>
        </w:trPr>
        <w:tc>
          <w:tcPr>
            <w:tcW w:w="4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8"/>
                <w:szCs w:val="18"/>
                <w:color w:val="auto"/>
                <w:w w:val="95"/>
              </w:rPr>
              <w:t>Three Months Ended</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9"/>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4"/>
          </w:tcPr>
          <w:p>
            <w:pPr>
              <w:jc w:val="right"/>
              <w:ind w:right="200"/>
              <w:spacing w:after="0" w:line="200" w:lineRule="exact"/>
              <w:rPr>
                <w:sz w:val="20"/>
                <w:szCs w:val="20"/>
                <w:color w:val="auto"/>
              </w:rPr>
            </w:pPr>
            <w:r>
              <w:rPr>
                <w:rFonts w:ascii="Arial" w:cs="Arial" w:eastAsia="Arial" w:hAnsi="Arial"/>
                <w:sz w:val="18"/>
                <w:szCs w:val="18"/>
                <w:color w:val="auto"/>
                <w:w w:val="86"/>
              </w:rPr>
              <w:t>September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spacing w:after="0" w:line="200" w:lineRule="exact"/>
              <w:rPr>
                <w:sz w:val="20"/>
                <w:szCs w:val="20"/>
                <w:color w:val="auto"/>
              </w:rPr>
            </w:pPr>
            <w:r>
              <w:rPr>
                <w:rFonts w:ascii="Arial" w:cs="Arial" w:eastAsia="Arial" w:hAnsi="Arial"/>
                <w:sz w:val="18"/>
                <w:szCs w:val="18"/>
                <w:color w:val="auto"/>
                <w:w w:val="89"/>
              </w:rPr>
              <w:t>December</w:t>
            </w:r>
          </w:p>
        </w:tc>
        <w:tc>
          <w:tcPr>
            <w:tcW w:w="80" w:type="dxa"/>
            <w:vAlign w:val="bottom"/>
          </w:tcPr>
          <w:p>
            <w:pPr>
              <w:spacing w:after="0"/>
              <w:rPr>
                <w:sz w:val="17"/>
                <w:szCs w:val="17"/>
                <w:color w:val="auto"/>
              </w:rPr>
            </w:pPr>
          </w:p>
        </w:tc>
      </w:tr>
      <w:tr>
        <w:trPr>
          <w:trHeight w:val="235"/>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June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291"/>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9"/>
              </w:rPr>
              <w:t>31</w:t>
            </w:r>
          </w:p>
        </w:tc>
        <w:tc>
          <w:tcPr>
            <w:tcW w:w="80" w:type="dxa"/>
            <w:vAlign w:val="bottom"/>
          </w:tcPr>
          <w:p>
            <w:pPr>
              <w:spacing w:after="0"/>
              <w:rPr>
                <w:sz w:val="20"/>
                <w:szCs w:val="20"/>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82,076,109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68,865,126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$ 67,223,093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61,454,399</w:t>
            </w:r>
          </w:p>
        </w:tc>
        <w:tc>
          <w:tcPr>
            <w:tcW w:w="80" w:type="dxa"/>
            <w:vAlign w:val="bottom"/>
            <w:shd w:val="clear" w:color="auto" w:fill="CCEEFF"/>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Benefits and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60,888,928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64,702,895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65,011,295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62,835,219</w:t>
            </w:r>
          </w:p>
        </w:tc>
        <w:tc>
          <w:tcPr>
            <w:tcW w:w="80" w:type="dxa"/>
            <w:vAlign w:val="bottom"/>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21,187,181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4,162,231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2,211,798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(1,380,820)</w:t>
            </w: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(4,261,258)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(924,014)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(198,052)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889,013</w:t>
            </w:r>
          </w:p>
        </w:tc>
        <w:tc>
          <w:tcPr>
            <w:tcW w:w="80" w:type="dxa"/>
            <w:vAlign w:val="bottom"/>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16,925,923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3,238,217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2,013,746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(491,807)</w:t>
            </w: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Net earnings per common share (1)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common share assuming dilution (1)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r>
      <w:tr>
        <w:trPr>
          <w:trHeight w:val="733"/>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8"/>
                <w:szCs w:val="18"/>
                <w:color w:val="auto"/>
                <w:w w:val="95"/>
              </w:rPr>
              <w:t>Three Months Ended</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9"/>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4"/>
          </w:tcPr>
          <w:p>
            <w:pPr>
              <w:jc w:val="right"/>
              <w:ind w:right="160"/>
              <w:spacing w:after="0" w:line="200" w:lineRule="exact"/>
              <w:rPr>
                <w:sz w:val="20"/>
                <w:szCs w:val="20"/>
                <w:color w:val="auto"/>
              </w:rPr>
            </w:pPr>
            <w:r>
              <w:rPr>
                <w:rFonts w:ascii="Arial" w:cs="Arial" w:eastAsia="Arial" w:hAnsi="Arial"/>
                <w:sz w:val="18"/>
                <w:szCs w:val="18"/>
                <w:color w:val="auto"/>
                <w:w w:val="90"/>
              </w:rPr>
              <w:t>September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200" w:lineRule="exact"/>
              <w:rPr>
                <w:sz w:val="20"/>
                <w:szCs w:val="20"/>
                <w:color w:val="auto"/>
              </w:rPr>
            </w:pPr>
            <w:r>
              <w:rPr>
                <w:rFonts w:ascii="Arial" w:cs="Arial" w:eastAsia="Arial" w:hAnsi="Arial"/>
                <w:sz w:val="18"/>
                <w:szCs w:val="18"/>
                <w:color w:val="auto"/>
                <w:w w:val="89"/>
              </w:rPr>
              <w:t>December</w:t>
            </w:r>
          </w:p>
        </w:tc>
        <w:tc>
          <w:tcPr>
            <w:tcW w:w="80" w:type="dxa"/>
            <w:vAlign w:val="bottom"/>
          </w:tcPr>
          <w:p>
            <w:pPr>
              <w:spacing w:after="0"/>
              <w:rPr>
                <w:sz w:val="17"/>
                <w:szCs w:val="17"/>
                <w:color w:val="auto"/>
              </w:rPr>
            </w:pPr>
          </w:p>
        </w:tc>
      </w:tr>
      <w:tr>
        <w:trPr>
          <w:trHeight w:val="235"/>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March 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June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80" w:type="dxa"/>
            <w:vAlign w:val="bottom"/>
          </w:tcPr>
          <w:p>
            <w:pPr>
              <w:spacing w:after="0"/>
              <w:rPr>
                <w:sz w:val="20"/>
                <w:szCs w:val="20"/>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70,829,297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73,171,558</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$ 71,971,851</w:t>
            </w: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60,953,384</w:t>
            </w:r>
          </w:p>
        </w:tc>
        <w:tc>
          <w:tcPr>
            <w:tcW w:w="80" w:type="dxa"/>
            <w:vAlign w:val="bottom"/>
            <w:shd w:val="clear" w:color="auto" w:fill="CCEEFF"/>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Benefits and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67,931,527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69,177,259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70,833,834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61,451,358</w:t>
            </w:r>
          </w:p>
        </w:tc>
        <w:tc>
          <w:tcPr>
            <w:tcW w:w="80" w:type="dxa"/>
            <w:vAlign w:val="bottom"/>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2,897,770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3,994,299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1,138,017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(497,974)</w:t>
            </w: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(1,037,770)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(1,508,435)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(41,179)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9,168,206</w:t>
            </w:r>
          </w:p>
        </w:tc>
        <w:tc>
          <w:tcPr>
            <w:tcW w:w="80" w:type="dxa"/>
            <w:vAlign w:val="bottom"/>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1,860,000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2,485,864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1,096,838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8,670,232</w:t>
            </w:r>
          </w:p>
        </w:tc>
        <w:tc>
          <w:tcPr>
            <w:tcW w:w="80" w:type="dxa"/>
            <w:vAlign w:val="bottom"/>
            <w:shd w:val="clear" w:color="auto" w:fill="CCEEFF"/>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Net earnings per common share (1)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18"/>
                <w:szCs w:val="18"/>
                <w:color w:val="auto"/>
              </w:rPr>
            </w:pPr>
          </w:p>
        </w:tc>
      </w:tr>
      <w:tr>
        <w:trPr>
          <w:trHeight w:val="214"/>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common share assuming dilution (1)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Earnings per share amounts have been adjusted retroactively for the effect of annual stock dividends.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42" w:lineRule="exact"/>
        <w:rPr>
          <w:sz w:val="20"/>
          <w:szCs w:val="20"/>
          <w:color w:val="auto"/>
        </w:rPr>
      </w:pPr>
    </w:p>
    <w:p>
      <w:pPr>
        <w:ind w:left="420" w:hanging="413"/>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204" w:lineRule="exact"/>
        <w:rPr>
          <w:sz w:val="20"/>
          <w:szCs w:val="20"/>
          <w:color w:val="auto"/>
        </w:rPr>
      </w:pPr>
    </w:p>
    <w:p>
      <w:pPr>
        <w:ind w:left="700" w:right="780" w:hanging="400"/>
        <w:spacing w:after="0" w:line="270"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5" w:lineRule="exact"/>
        <w:rPr>
          <w:rFonts w:ascii="Arial" w:cs="Arial" w:eastAsia="Arial" w:hAnsi="Arial"/>
          <w:sz w:val="18"/>
          <w:szCs w:val="18"/>
          <w:color w:val="auto"/>
        </w:rPr>
      </w:pPr>
    </w:p>
    <w:p>
      <w:pPr>
        <w:jc w:val="both"/>
        <w:ind w:left="700" w:hanging="400"/>
        <w:spacing w:after="0" w:line="255"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the Board of Directors of the Company, and provide reasonable assurance regarding prevention or timely detection of unauthorized acquisition, use, or disposition of the Company's assets that could have a material effect on the financial statements.</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2018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2018. Based on that assessment management believes that at December 31, 2018, the Company’s internal control over financial reporting was effective.</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change in the Company’s internal control over financial reporting that occurred in the fourth quarter 2018 that has materially affected, or is reasonably likely to materially affect, the Company’s internal control over financial reporting.</w:t>
      </w:r>
    </w:p>
    <w:p>
      <w:pPr>
        <w:spacing w:after="0"/>
        <w:rPr>
          <w:sz w:val="20"/>
          <w:szCs w:val="20"/>
          <w:color w:val="auto"/>
        </w:rPr>
      </w:pPr>
      <w:r>
        <w:rPr>
          <w:rFonts w:ascii="Arial" w:cs="Arial" w:eastAsia="Arial" w:hAnsi="Arial"/>
          <w:sz w:val="5"/>
          <w:szCs w:val="5"/>
          <w:color w:val="auto"/>
        </w:rPr>
        <w:t>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PART III</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Board of Directors consists of eight persons, five of whom are not employees of the Company. There are no family relationships between or among any of the directors and executive officers, except that Scott M. Quist and Christie Q. Overbaugh are brother and sister, Jason G. Overbaugh is the son of Ms. Christie Q. Overbaugh, and S. Andrew Quist and Adam G. Quist are the sons of Scott M. Quist. The following table sets forth certain information with respect to the directors and executive officers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20" w:type="dxa"/>
            <w:vAlign w:val="bottom"/>
            <w:gridSpan w:val="2"/>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Scott M. Quist</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65</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of the Board, President, Chief Executive Officer and 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Garrett S. Sill</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48</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Jason G. Overbaugh</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44</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National Marketing Director of Life Insurance and 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 Andrew Quist</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38</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General Counsel, and 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65</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General Counsel and Secretary</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62</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of Mortgage Operations</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Christie Q. Overbaugh</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70</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of Life Insurance Internal Operations</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Adam G. Quist</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33</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 Memorial Services, Assistant Secretary, and General Counsel</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John L. Cook</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64</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Gilbert A. Fuller</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78</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Robert G. Hunter</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59</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H. Craig Moody</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67</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Norman G. Wilbur</w:t>
            </w:r>
          </w:p>
        </w:tc>
        <w:tc>
          <w:tcPr>
            <w:tcW w:w="96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89"/>
              </w:rPr>
              <w:t>80</w:t>
            </w: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business experience of each of the Company’s directors.</w:t>
      </w:r>
    </w:p>
    <w:p>
      <w:pPr>
        <w:spacing w:after="0" w:line="274"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i w:val="1"/>
          <w:iCs w:val="1"/>
          <w:color w:val="auto"/>
        </w:rPr>
        <w:t xml:space="preserve">Scott M. Quist </w:t>
      </w:r>
      <w:r>
        <w:rPr>
          <w:rFonts w:ascii="Arial" w:cs="Arial" w:eastAsia="Arial" w:hAnsi="Arial"/>
          <w:sz w:val="16"/>
          <w:szCs w:val="16"/>
          <w:color w:val="auto"/>
        </w:rPr>
        <w:t>has served as Chairman of the Board and Chief Executive Officer of the Company since 2012. Mr. Quist also serves as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 position he has held since 2002. He has additionally served as a director of the Company since 1986. From 1993 to 2013, Mr. Quist served as Treasurer and a director of the National Alliance of Life Companies (NALC), a national trade association of over 200 life insurance companies, and as its President from 1990 to 2000. From 1986 to 1991, Mr. Quist was Treasurer and a director of The National Association of Life Companies, a trade association of 642 insurance companies until its merger with the American Council of Life Companies. Mr. Quist has been a member of the Board of Governors of the Forum 500 Section (representing small insurance companies) of the American Council of Life Insurance. He has also served as a regional director of Key Bank of Utah since 1993. Mr. Quist holds a B.S. degree in Accounting from Brigham Young University and received his law degree also from Brigham Young University. Mr. Quist’s significant expertise and deep understanding of the technical, organizational and strategic business aspects of the insurance industry, his management expertise, his 17 year tenure as President of the Company and 32 year tenure as a director, and his years of business and leadership experience led the Board of Directors to conclude that Mr. Quist should serve as Chairman of the Board, President, and Chief Executive Officer of the Company.</w:t>
      </w:r>
    </w:p>
    <w:p>
      <w:pPr>
        <w:spacing w:after="0" w:line="226" w:lineRule="exact"/>
        <w:rPr>
          <w:sz w:val="20"/>
          <w:szCs w:val="20"/>
          <w:color w:val="auto"/>
        </w:rPr>
      </w:pPr>
    </w:p>
    <w:p>
      <w:pPr>
        <w:jc w:val="both"/>
        <w:ind w:firstLine="641"/>
        <w:spacing w:after="0" w:line="286" w:lineRule="auto"/>
        <w:rPr>
          <w:sz w:val="20"/>
          <w:szCs w:val="20"/>
          <w:color w:val="auto"/>
        </w:rPr>
      </w:pPr>
      <w:r>
        <w:rPr>
          <w:rFonts w:ascii="Arial" w:cs="Arial" w:eastAsia="Arial" w:hAnsi="Arial"/>
          <w:sz w:val="16"/>
          <w:szCs w:val="16"/>
          <w:i w:val="1"/>
          <w:iCs w:val="1"/>
          <w:color w:val="auto"/>
        </w:rPr>
        <w:t xml:space="preserve">Jason G. Overbaugh </w:t>
      </w:r>
      <w:r>
        <w:rPr>
          <w:rFonts w:ascii="Arial" w:cs="Arial" w:eastAsia="Arial" w:hAnsi="Arial"/>
          <w:sz w:val="16"/>
          <w:szCs w:val="16"/>
          <w:color w:val="auto"/>
        </w:rPr>
        <w:t>has served as a director of the Company since July 2013. Mr. Overbaugh has also served as a Vice President and the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of the Company from 2002 to 2013. Mr. Overbaugh has additionally served as Vice President and National Marketing Director of Security National Life Insurance Company since 2006. From 2003 to 2006, he served as a Vice President of Security National Life Insurance Company with responsibilities as an investment manager over construction lending and commercial real estate investments. From 2000 to 2003, he served as a Vice President of Memorial Estates, Inc., with responsibilities over operations and sales. Mr. Overbaugh has served since 2007 as a director of the LOMA Life Insurance Council, a trade association of life insurance companies. He is also a member of the NFDA Trade Association. Mr. Overbaugh received a B.S. degree in Finance from the University of Utah. Mr. Overbaugh’s expertise in insurance and marketing, and his 22 years of experience with the Company in its insurance, real estate, and mortuary and cemetery operations led the Board of Directors to conclude that he should serve as a director of the Company.</w:t>
      </w:r>
    </w:p>
    <w:p>
      <w:pPr>
        <w:sectPr>
          <w:pgSz w:w="11900" w:h="16838" w:orient="portrait"/>
          <w:cols w:equalWidth="0" w:num="1">
            <w:col w:w="11420"/>
          </w:cols>
          <w:pgMar w:left="240" w:top="392"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247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type w:val="continuous"/>
        </w:sectPr>
      </w:pPr>
    </w:p>
    <w:bookmarkStart w:id="106" w:name="page107"/>
    <w:bookmarkEnd w:id="106"/>
    <w:p>
      <w:pPr>
        <w:jc w:val="both"/>
        <w:ind w:firstLine="685"/>
        <w:spacing w:after="0" w:line="285" w:lineRule="auto"/>
        <w:rPr>
          <w:sz w:val="20"/>
          <w:szCs w:val="20"/>
          <w:color w:val="auto"/>
        </w:rPr>
      </w:pPr>
      <w:r>
        <w:rPr>
          <w:rFonts w:ascii="Arial" w:cs="Arial" w:eastAsia="Arial" w:hAnsi="Arial"/>
          <w:sz w:val="16"/>
          <w:szCs w:val="16"/>
          <w:i w:val="1"/>
          <w:iCs w:val="1"/>
          <w:color w:val="auto"/>
        </w:rPr>
        <w:t xml:space="preserve">S. Andrew Quist </w:t>
      </w:r>
      <w:r>
        <w:rPr>
          <w:rFonts w:ascii="Arial" w:cs="Arial" w:eastAsia="Arial" w:hAnsi="Arial"/>
          <w:sz w:val="16"/>
          <w:szCs w:val="16"/>
          <w:color w:val="auto"/>
        </w:rPr>
        <w:t>has served as a director of the Company since July 2013. Mr. Quist has also served as a Vice President of the Company since 2010.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from 2007 to December 2017, he served as the Company’s Associate General Counsel and since December 2017 as the Company’s General Counsel, where his responsibilities have included the Company’s regulatory matters and acquisitions. In addition, Mr. Quist has served as Executive Vice President and Chief Operating Officer since 2010, and as Vice President from 2008 to 2010, of C&amp;J Financial, LLC, which funds the purchase of funeral and burial policies from funeral homes after the death of the insureds. Mr. Quist has also served since 2013 as a director of the National Alliance of Life Companies (NALC), a national trade association of over 200 life insurance companies. From 2014 to 2016, he served as President of the NALC. Mr. Quist previously served as President of the Utah Life Convention, a consortium of Utah domestic life insurers. Mr. Quist holds a B.S. degree in Accounting from Brigham Young University and received his law degree from the University of Southern California. Mr. Quist is a member of the State Bar of California. Mr. Quist’s expertise in insurance, legal and regulatory matters led the Board of Directors to conclude that he should serve as a director of the Company.</w:t>
      </w:r>
    </w:p>
    <w:p>
      <w:pPr>
        <w:spacing w:after="0" w:line="223"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i w:val="1"/>
          <w:iCs w:val="1"/>
          <w:color w:val="auto"/>
        </w:rPr>
        <w:t xml:space="preserve">John L. Cook </w:t>
      </w:r>
      <w:r>
        <w:rPr>
          <w:rFonts w:ascii="Arial" w:cs="Arial" w:eastAsia="Arial" w:hAnsi="Arial"/>
          <w:sz w:val="17"/>
          <w:szCs w:val="17"/>
          <w:color w:val="auto"/>
        </w:rPr>
        <w:t>has served as a director of the Company since December 2013. Mr. Cook has served since 1982 as co-owner and operator of Cook</w:t>
      </w:r>
      <w:r>
        <w:rPr>
          <w:rFonts w:ascii="Arial" w:cs="Arial" w:eastAsia="Arial" w:hAnsi="Arial"/>
          <w:sz w:val="17"/>
          <w:szCs w:val="17"/>
          <w:i w:val="1"/>
          <w:iCs w:val="1"/>
          <w:color w:val="auto"/>
        </w:rPr>
        <w:t xml:space="preserve"> </w:t>
      </w:r>
      <w:r>
        <w:rPr>
          <w:rFonts w:ascii="Arial" w:cs="Arial" w:eastAsia="Arial" w:hAnsi="Arial"/>
          <w:sz w:val="17"/>
          <w:szCs w:val="17"/>
          <w:color w:val="auto"/>
        </w:rPr>
        <w:t>Brothers Painting, Inc., a company that provides painting services for contractors and builders of residential and commercial properties. In addition, Mr. Cook attended the University of Utah. As a director, Mr. Cook advised the Board concerning the Company’s investments in commercial and residential real estate projects. Moreover, Mr. Cook’s extensive background in construction and building is important as the Company continues to acquire new real estate holdings and develop its current portfolio of undeveloped land. Mr. Cook’s years of experience in the construction industry and with construction projects led the Board of Directors to conclude that he should serve as a director of the Company.</w:t>
      </w:r>
    </w:p>
    <w:p>
      <w:pPr>
        <w:spacing w:after="0" w:line="234" w:lineRule="exact"/>
        <w:rPr>
          <w:sz w:val="20"/>
          <w:szCs w:val="20"/>
          <w:color w:val="auto"/>
        </w:rPr>
      </w:pPr>
    </w:p>
    <w:p>
      <w:pPr>
        <w:jc w:val="both"/>
        <w:ind w:firstLine="641"/>
        <w:spacing w:after="0" w:line="287" w:lineRule="auto"/>
        <w:rPr>
          <w:sz w:val="20"/>
          <w:szCs w:val="20"/>
          <w:color w:val="auto"/>
        </w:rPr>
      </w:pPr>
      <w:r>
        <w:rPr>
          <w:rFonts w:ascii="Arial" w:cs="Arial" w:eastAsia="Arial" w:hAnsi="Arial"/>
          <w:sz w:val="16"/>
          <w:szCs w:val="16"/>
          <w:i w:val="1"/>
          <w:iCs w:val="1"/>
          <w:color w:val="auto"/>
        </w:rPr>
        <w:t xml:space="preserve">Gilbert A. Fuller </w:t>
      </w:r>
      <w:r>
        <w:rPr>
          <w:rFonts w:ascii="Arial" w:cs="Arial" w:eastAsia="Arial" w:hAnsi="Arial"/>
          <w:sz w:val="16"/>
          <w:szCs w:val="16"/>
          <w:color w:val="auto"/>
        </w:rPr>
        <w:t>has served as a director of the Company since 2012. From 2006 until his retirement in 2008, Mr. Fuller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Chief Financial Officer and Secretary of USANA Health Sciences, Inc., a multinational manufacturer and direct seller of nutritional supplements. Mr. Fuller joined USANA in 1996 as the Vice President of Finance and served in that role until 1999 when he was appointed as its Senior Vice President. Mr. Fuller has served as a member of the Board of Directors of USANA since 2008. Mr. Fuller received a B.S. degree in Accounting and an M.B.A. degree from the University of Utah. Mr. Fuller’s accounting, finance and corporate strategy expertise and his years of financial, accounting and business experience with public and private companies, including USANA Health Sciences, Inc., which is listed on the New York Stock Exchange, where he served as an executive officer and continues to serve as a director, led the Board of Directors to conclude that he should serve as a director of the Company.</w:t>
      </w:r>
    </w:p>
    <w:p>
      <w:pPr>
        <w:spacing w:after="0" w:line="222"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i w:val="1"/>
          <w:iCs w:val="1"/>
          <w:color w:val="auto"/>
        </w:rPr>
        <w:t xml:space="preserve">Robert G. Hunter, M.D. </w:t>
      </w:r>
      <w:r>
        <w:rPr>
          <w:rFonts w:ascii="Arial" w:cs="Arial" w:eastAsia="Arial" w:hAnsi="Arial"/>
          <w:sz w:val="17"/>
          <w:szCs w:val="17"/>
          <w:color w:val="auto"/>
        </w:rPr>
        <w:t>has served as a director of the Company since 1998. Dr. Hunter is currently a practicing physician in private practice. Dr.</w:t>
      </w:r>
      <w:r>
        <w:rPr>
          <w:rFonts w:ascii="Arial" w:cs="Arial" w:eastAsia="Arial" w:hAnsi="Arial"/>
          <w:sz w:val="17"/>
          <w:szCs w:val="17"/>
          <w:i w:val="1"/>
          <w:iCs w:val="1"/>
          <w:color w:val="auto"/>
        </w:rPr>
        <w:t xml:space="preserve"> </w:t>
      </w:r>
      <w:r>
        <w:rPr>
          <w:rFonts w:ascii="Arial" w:cs="Arial" w:eastAsia="Arial" w:hAnsi="Arial"/>
          <w:sz w:val="17"/>
          <w:szCs w:val="17"/>
          <w:color w:val="auto"/>
        </w:rPr>
        <w:t>Hunter is Department Head of Otolaryngology, Head and Neck Surgery at Intermountain Medical Center and a past President of the medical staff of the Intermountain Medical Center. He is also a delegate to the Utah Medical Association and has served as a delegate representing the State of Utah to the American Medical Association. Dr. Hunter holds a B.S. degree in Microbiology from the University of Utah and received his medical degree from the University of Utah College of Medicine. Dr. Hunter’s medical expertise and experience, and his administrative and leadership experience from serving in a number of administrative positions in the medical profession led the Board of Directors to conclude that he should serve as a director of the Company.</w:t>
      </w:r>
    </w:p>
    <w:p>
      <w:pPr>
        <w:spacing w:after="0" w:line="234"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i w:val="1"/>
          <w:iCs w:val="1"/>
          <w:color w:val="auto"/>
        </w:rPr>
        <w:t xml:space="preserve">H. Craig Moody </w:t>
      </w:r>
      <w:r>
        <w:rPr>
          <w:rFonts w:ascii="Arial" w:cs="Arial" w:eastAsia="Arial" w:hAnsi="Arial"/>
          <w:sz w:val="18"/>
          <w:szCs w:val="18"/>
          <w:color w:val="auto"/>
        </w:rPr>
        <w:t>has served as a director of the Company since 1995. Mr. Moody is owner of Moody &amp; Associates, a political consulting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company. He is a former Speaker and House Majority Leader of the House of Representatives of the State of Utah. From 1989 to 1992, Mr. Moody was Co-Chairman of the Utah Legislative Audit Committee. Mr. Moody holds a B.S. degree in Political Science from the University of Utah. Mr. Moody’s real estate and governmental affairs expertise and years of business and leadership experience led the Board of Directors to conclude that he should serve as a director of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07" w:name="page108"/>
    <w:bookmarkEnd w:id="107"/>
    <w:p>
      <w:pPr>
        <w:jc w:val="both"/>
        <w:ind w:firstLine="641"/>
        <w:spacing w:after="0" w:line="252" w:lineRule="auto"/>
        <w:rPr>
          <w:sz w:val="20"/>
          <w:szCs w:val="20"/>
          <w:color w:val="auto"/>
        </w:rPr>
      </w:pPr>
      <w:r>
        <w:rPr>
          <w:rFonts w:ascii="Arial" w:cs="Arial" w:eastAsia="Arial" w:hAnsi="Arial"/>
          <w:sz w:val="18"/>
          <w:szCs w:val="18"/>
          <w:i w:val="1"/>
          <w:iCs w:val="1"/>
          <w:color w:val="auto"/>
        </w:rPr>
        <w:t xml:space="preserve">Norman G. Wilbur </w:t>
      </w:r>
      <w:r>
        <w:rPr>
          <w:rFonts w:ascii="Arial" w:cs="Arial" w:eastAsia="Arial" w:hAnsi="Arial"/>
          <w:sz w:val="18"/>
          <w:szCs w:val="18"/>
          <w:color w:val="auto"/>
        </w:rPr>
        <w:t>has served as a director of the Company since 1998. Mr. Wilbur worked for J.C. Penny's regional offices in budget and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His final position was Manager of Planning and Reporting for J.C. Penny's stores. After 36 years with J.C. Penny's, Mr. Wilbur opted for early retirement in 1997. Mr. Wilbur holds a B.S. degree in Accounting from the University of Utah. Mr. Wilbur’s financial expertise and business experience from a successful career at JC Penny’s led the Board of Directors to conclude that he should serve as a director of the Company. In addition, the Board of Directors’ determination that Mr. Wilbur is the Audit Committee “financial expert” lends further support to his financial acumen and qualification for serving as a director of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Board Committees, and Meetings</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Bylaws provide that the Board of Directors shall consist of not less than five or more than twelve members. The term of office of each director is for a period of one year or until the election and qualification of his successor. A director is not required to be a resident of the State of Utah or a stockholder of the Company. The Board of Directors held a total of five meetings during the fiscal year ended December 31, 2018. Each of the directors attended 75% or more of the meetings of the Board of Directors during 2018.</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size of the Board of Directors of the Company is eight members. A majority of the Board of Directors must qualify as "independent" as that term is defined in Rule 4200 of the listing standards of the Nasdaq Stock Market. The Board of Directors has affirmatively determined that five of the eight members of the Board of Directors, namely Messrs. John L. Cook, Gilbert A. Fuller, Robert G. Hunter, M.D., H. Craig Moody and Norman G. Wilbur, are independent under the listing standards of the Nasdaq Stock Market.</w:t>
      </w:r>
    </w:p>
    <w:p>
      <w:pPr>
        <w:spacing w:after="0" w:line="24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There are four committees of the Board of Directors, which meet periodically during the year: the Audit Committee, the Compensation Committee, the Executive Committee, and the Nominating and Corporate Governance Committee.</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Audit Committee directs the auditing activities of the Company's internal auditors and outside public accounting firm and approves the services of the outside public accounting firm. The Audit Committee consists of Messrs. John L. Cook, Gilbert A. Fuller, H. Craig Moody, and Norman G. Wilbur (Chairman of the committee). During 2018, the Audit Committee met on three occasions.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Compensation Committee is responsible for recommending to the Board of Directors for approval the annual compensation of each executive officer of the Company and the executive officers of the Company's subsidiaries, developing policy in the areas of compensation and fringe benefits, contributions under the Employee Stock Ownership Plan, contributions under the 401(k) Retirement Savings Plans, Non-Qualified Deferred Compensation Plan, granting of options under the stock option plans, and creating other employee compensation plans. The Compensation Committee consists of Messrs. John L. Cook, Gilbert A. Fuller, Robert G. Hunter, M.D., H. Craig Moody and Norman G. Wilbur (Chairman of the committee). During 2018, the Compensation Committee met on two occasions.</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Executive Committee reviews Company policy, major investment activities and other pertinent transactions of the Company. The Executive Committee consists of Messrs. Gilbert A. Fuller, H. Craig Moody, S. Andrew Quist and Scott M. Quist (Chairman of the committee). During 2018, the Executive Committee met on one occasion.</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Nominating and Corporate Governance Committee identifies individuals qualified to become Board members consistent with criteria approved by the Board, recommends to the Board the persons to be nominated by the Board for election as directors at a meeting of stockholders, and develops and recommends to the Board a set of corporate governance principles. The Nominating and Corporate Governance Committee consists of Messrs. John L. Cook, Gilbert A. Fuller, Robert G. Hunter, M.D., H. Craig Moody (Chairman of the committee), and Norman G. Wilbur. The Nominating and Corporate Governance Committee is composed solely of independent directors, as defined in the listing standards of the Nasdaq Stock Market. During 2018, the Nominating and Corporate Governance Committee met on two occasions.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Nominating Process</w:t>
      </w:r>
    </w:p>
    <w:p>
      <w:pPr>
        <w:spacing w:after="0" w:line="2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process for identifying and evaluating nominees for directors include the following steps: (1) the Nominating and Corporate Governance Committee, Chairman of the Board or other board members identify a need to fill vacancies or add newly created directorships; (2) the Chairman of the Nominating and Corporate Governance Committee initiates a search and seeks input from board members and senior management and, if necessary, obtains advice from legal or other advisors (but does not hire an outside search firm); (3) director candidates, including any candidates properly proposed by stockholders in accordance with the Company's Bylaws, are identified and presented to the Nominating and Corporate Governance Committee; (4) initial interviews with candidates are conducted by the Chairman of the Nominating and Corporate Governance Committee; (5) the Nominating and Corporate Governance Committee meets to consider and approve final candidate(s) and conduct further interviews as necessary; and (6) the Nominating and Corporate Governance Committee makes recommendations to the board for inclusion in the slate of directors at the annual meeting. The evaluation process will be the same whether the nominee is recommended by a stockholder or by a member of the Board of Directors.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Meetings of Non-Management Directors</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Company's independent directors meet regularly in executive session without management. The Board of Directors has designated a lead director to preside at executive sessions of independent directors. Mr. H. Craig Moody is currently the lead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8"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i w:val="1"/>
          <w:iCs w:val="1"/>
          <w:color w:val="auto"/>
        </w:rPr>
        <w:t xml:space="preserve">Garrett S. Sill </w:t>
      </w:r>
      <w:r>
        <w:rPr>
          <w:rFonts w:ascii="Arial" w:cs="Arial" w:eastAsia="Arial" w:hAnsi="Arial"/>
          <w:sz w:val="17"/>
          <w:szCs w:val="17"/>
          <w:color w:val="auto"/>
        </w:rPr>
        <w:t>has served as Chief Financial Officer and Treasurer since July 2013. From January 2013 to July 2013, Mr. Sill served as Acting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and Acting Treasurer. From 2011 to January 2013, Mr. Sill served as Vice President and Assistant Treasurer of Security National Life Insurance Company, a wholly owned subsidiary of the Company. From 2002 to 2011, Mr. Sill was Chief Financial Officer and Treasurer of SecurityNational Mortgage, a wholly owned subsidiary of the Company. Mr. Sill is a certified public accountant, having been licensed since 2002. He holds a B.A. degree in Accounting from Weber State University and a Master’s degree in Business Administration from the University of Utah. Mr. Sill also serves as a member of the Advisory Council of the School of Accounting and Taxation at Weber State University.</w:t>
      </w:r>
    </w:p>
    <w:p>
      <w:pPr>
        <w:spacing w:after="0" w:line="234"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i w:val="1"/>
          <w:iCs w:val="1"/>
          <w:color w:val="auto"/>
        </w:rPr>
        <w:t xml:space="preserve">Jeffrey R. Stephens </w:t>
      </w:r>
      <w:r>
        <w:rPr>
          <w:rFonts w:ascii="Arial" w:cs="Arial" w:eastAsia="Arial" w:hAnsi="Arial"/>
          <w:sz w:val="18"/>
          <w:szCs w:val="18"/>
          <w:color w:val="auto"/>
        </w:rPr>
        <w:t>has served as Senior General Counsel of the Company since December 2017, as General Counsel from 2006 to December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as Secretary of the Company since 2008. Mr. Stephens was in private practice from 1981 to 2006 in the states of Washington and Utah. Mr. Stephens holds a B.A. degree in Geography from the University of Utah and received his law degree from Brigham Young University. Mr. Stephens is a member of the Utah State Bar Association and the Washington State Bar Association.</w:t>
      </w:r>
    </w:p>
    <w:p>
      <w:pPr>
        <w:spacing w:after="0" w:line="242"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i w:val="1"/>
          <w:iCs w:val="1"/>
          <w:color w:val="auto"/>
        </w:rPr>
        <w:t xml:space="preserve">Stephen C. Johnson </w:t>
      </w:r>
      <w:r>
        <w:rPr>
          <w:rFonts w:ascii="Arial" w:cs="Arial" w:eastAsia="Arial" w:hAnsi="Arial"/>
          <w:sz w:val="17"/>
          <w:szCs w:val="17"/>
          <w:color w:val="auto"/>
        </w:rPr>
        <w:t>began serving as the Vice President of Mortgage Operations of the Company and as the President of SecurityNational Mortgage 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2016. Prior to Mr. Johnson’s appointment as President of SecurityNational Mortgage, Mr. Johnson served as Executive Vice President and Chief Operating Officer of SecurityNational Mortgage. Mr. Johnson has over 30 years of experience at the executive management level in the mortgage banking industry. Mr. Johnson holds a B.A. degree in International Relations from Brigham Young University and Master's degree in International Management and Finance from the American Graduate School of International Management (Thunderbird).</w:t>
      </w:r>
    </w:p>
    <w:p>
      <w:pPr>
        <w:spacing w:after="0" w:line="231" w:lineRule="exact"/>
        <w:rPr>
          <w:sz w:val="20"/>
          <w:szCs w:val="20"/>
          <w:color w:val="auto"/>
        </w:rPr>
      </w:pPr>
    </w:p>
    <w:p>
      <w:pPr>
        <w:jc w:val="both"/>
        <w:ind w:firstLine="641"/>
        <w:spacing w:after="0" w:line="292" w:lineRule="auto"/>
        <w:rPr>
          <w:sz w:val="20"/>
          <w:szCs w:val="20"/>
          <w:color w:val="auto"/>
        </w:rPr>
      </w:pPr>
      <w:r>
        <w:rPr>
          <w:rFonts w:ascii="Arial" w:cs="Arial" w:eastAsia="Arial" w:hAnsi="Arial"/>
          <w:sz w:val="16"/>
          <w:szCs w:val="16"/>
          <w:i w:val="1"/>
          <w:iCs w:val="1"/>
          <w:color w:val="auto"/>
        </w:rPr>
        <w:t xml:space="preserve">Christie Q. Overbaugh </w:t>
      </w:r>
      <w:r>
        <w:rPr>
          <w:rFonts w:ascii="Arial" w:cs="Arial" w:eastAsia="Arial" w:hAnsi="Arial"/>
          <w:sz w:val="16"/>
          <w:szCs w:val="16"/>
          <w:color w:val="auto"/>
        </w:rPr>
        <w:t>has served as Senior Vice President of Life Insurance Internal Operations of the Company since 2006, and a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from 1998 to June 2006. Ms. Overbaugh has also served as Vice President of Underwriting for Security National Life Insurance Company since 1998. From 1986 to 1991, she was Chief Underwriter for Investors Equity Life Insurance Company of Hawaii and Security National Life Insurance Company. From 1990 to 1991, Ms. Overbaugh was President of the Utah Home Office Underwriters Association. Ms. Overbaugh is currently a member of the Utah Home Office Underwriters Association and an Associate Member of LOMA (Life Office Management Association).</w:t>
      </w:r>
    </w:p>
    <w:p>
      <w:pPr>
        <w:spacing w:after="0" w:line="216" w:lineRule="exact"/>
        <w:rPr>
          <w:sz w:val="20"/>
          <w:szCs w:val="20"/>
          <w:color w:val="auto"/>
        </w:rPr>
      </w:pPr>
    </w:p>
    <w:p>
      <w:pPr>
        <w:jc w:val="both"/>
        <w:ind w:firstLine="641"/>
        <w:spacing w:after="0" w:line="268" w:lineRule="auto"/>
        <w:rPr>
          <w:sz w:val="20"/>
          <w:szCs w:val="20"/>
          <w:color w:val="auto"/>
        </w:rPr>
      </w:pPr>
      <w:r>
        <w:rPr>
          <w:rFonts w:ascii="Arial" w:cs="Arial" w:eastAsia="Arial" w:hAnsi="Arial"/>
          <w:sz w:val="17"/>
          <w:szCs w:val="17"/>
          <w:i w:val="1"/>
          <w:iCs w:val="1"/>
          <w:color w:val="auto"/>
        </w:rPr>
        <w:t xml:space="preserve">Adam G. Quist </w:t>
      </w:r>
      <w:r>
        <w:rPr>
          <w:rFonts w:ascii="Arial" w:cs="Arial" w:eastAsia="Arial" w:hAnsi="Arial"/>
          <w:sz w:val="17"/>
          <w:szCs w:val="17"/>
          <w:color w:val="auto"/>
        </w:rPr>
        <w:t>has served as Vice President – Memorial Services and Assistant Secretary of the Company since July 2015. From July 2015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2017, he also served as the Company’s Associate General Counsel. Since December 2017, Mr. Quist has served as the Company’s General Counsel. Mr. Quist has also served since July 2015 as Vice President of Memorial Estates, Inc. (“Memorial Estates”) and since July 2016 as Chief Operating Officer of Memorial Estates. Additionally, Mr. Quist has further served since July 2015 as Vice President of Memorial Mortuary, Inc. (“Memorial Mortuary”) and since July 2016 as Chief Operating Officer of Memorial Mortuary. Both Memorial Estates and Memorial Mortuary are wholly owned subsidiaries of the Company. Mr. Quist hold a B.S. degree and a Master’s degree in Accounting with an emphasis on taxation from Brigham Young University. He received his law degree from the University of Utah. Mr. Quist is a member of the Utah State Bar.</w:t>
      </w:r>
    </w:p>
    <w:p>
      <w:pPr>
        <w:spacing w:after="0" w:line="23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Board of Directors of the Company has a written procedure, which requires disclosure to the board of any material interest or any affiliation on the part of any of its officers, directors or employees that is in conflict or may be in conflict with the Company’s interests.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executive officers and directors of the Company hold office until the next Annual Meeting of Stockholders and until their successors have been elected and qualified.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Corporate Governance</w:t>
      </w:r>
    </w:p>
    <w:p>
      <w:pPr>
        <w:spacing w:after="0" w:line="2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Corporate Governance Guidelines</w:t>
      </w:r>
      <w:r>
        <w:rPr>
          <w:rFonts w:ascii="Arial" w:cs="Arial" w:eastAsia="Arial" w:hAnsi="Arial"/>
          <w:sz w:val="17"/>
          <w:szCs w:val="17"/>
          <w:color w:val="auto"/>
        </w:rPr>
        <w:t>. The Board of Directors has adopted the Security National Financial Corporation Corporate Governance Guidelines.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guidelines outline the functions of the board, director qualifications and responsibilities, and various processes and procedures designed to insure effective and responsive governance. The Board of Directors has also adopted a written committee charter for its Audit Committee and Compensation Committee. The guidelines and committee charters are reviewed from time to time in response to regulatory requirements and best practices and are revised accordingly. The full text of the guidelines and the committee charters are available on the Company’s website at </w:t>
      </w:r>
      <w:r>
        <w:rPr>
          <w:rFonts w:ascii="Arial" w:cs="Arial" w:eastAsia="Arial" w:hAnsi="Arial"/>
          <w:sz w:val="17"/>
          <w:szCs w:val="17"/>
          <w:u w:val="single" w:color="auto"/>
          <w:color w:val="0000FF"/>
        </w:rPr>
        <w:t>www.securitynational.com.</w:t>
      </w:r>
      <w:r>
        <w:rPr>
          <w:rFonts w:ascii="Arial" w:cs="Arial" w:eastAsia="Arial" w:hAnsi="Arial"/>
          <w:sz w:val="17"/>
          <w:szCs w:val="17"/>
          <w:color w:val="auto"/>
        </w:rPr>
        <w:t xml:space="preserve"> A copy of the Corporate Governance Guidelines may also be obtained at no charge by written request to the attention of Jeffrey R. Stephens, Secretary, Security National Financial Corporation, 5300 South 360 West, Suite 250, Salt Lake City, Utah 84123.</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Code of Business Conduct and Ethics</w:t>
      </w:r>
      <w:r>
        <w:rPr>
          <w:rFonts w:ascii="Arial" w:cs="Arial" w:eastAsia="Arial" w:hAnsi="Arial"/>
          <w:sz w:val="17"/>
          <w:szCs w:val="17"/>
          <w:color w:val="auto"/>
        </w:rPr>
        <w:t>. All of the Company’s officers, employees, and directors are required to comply with the Company’s Code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Conduct and Ethics to help insure that the Company’s business is conducted in accordance with appropriate standards of ethical behavior. The Company’s Code of Business Conduct and Ethics covers all areas of professional conduct, including customer relationships, conflicts of interest, insider trading, financial disclosures, intellectual property, and confidential information, as well as requiring adherence to all laws and regulations applicable to the Company’s business. Employees are required to report any violations or suspected violations of the Code. The Code includes an anti-retaliation statement. The full text of the Code of Business Conduct and Ethics is available on the Company’s website at </w:t>
      </w:r>
      <w:r>
        <w:rPr>
          <w:rFonts w:ascii="Arial" w:cs="Arial" w:eastAsia="Arial" w:hAnsi="Arial"/>
          <w:sz w:val="17"/>
          <w:szCs w:val="17"/>
          <w:u w:val="single" w:color="auto"/>
          <w:color w:val="0000FF"/>
        </w:rPr>
        <w:t>www.securitynational.com</w:t>
      </w:r>
      <w:r>
        <w:rPr>
          <w:rFonts w:ascii="Arial" w:cs="Arial" w:eastAsia="Arial" w:hAnsi="Arial"/>
          <w:sz w:val="17"/>
          <w:szCs w:val="17"/>
          <w:color w:val="0000FF"/>
        </w:rPr>
        <w:t>.</w:t>
      </w:r>
      <w:r>
        <w:rPr>
          <w:rFonts w:ascii="Arial" w:cs="Arial" w:eastAsia="Arial" w:hAnsi="Arial"/>
          <w:sz w:val="17"/>
          <w:szCs w:val="17"/>
          <w:color w:val="auto"/>
        </w:rPr>
        <w:t xml:space="preserve"> A copy of the Code of Business Conduct and Ethics may also be obtained at no charge by written request to the attention of Jeffrey R. Stephens, Secretary, Security National Financial Corporation, 5300 South 360 West, Suite 250, Salt Lake City, Utah 84123.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for each of the last two fiscal years, the compensation received by the Company’s Chief Executive Officer, the Company’s Chief Financial Officer, and the Company’s three other most highly compensated executive officers who were serving as executive officers at the end of 2018 (collectively, the “Named 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6"/>
          </w:tcPr>
          <w:p>
            <w:pPr>
              <w:ind w:left="1000"/>
              <w:spacing w:after="0"/>
              <w:rPr>
                <w:sz w:val="20"/>
                <w:szCs w:val="20"/>
                <w:color w:val="auto"/>
              </w:rPr>
            </w:pPr>
            <w:r>
              <w:rPr>
                <w:rFonts w:ascii="Arial" w:cs="Arial" w:eastAsia="Arial" w:hAnsi="Arial"/>
                <w:sz w:val="18"/>
                <w:szCs w:val="18"/>
                <w:b w:val="1"/>
                <w:bCs w:val="1"/>
                <w:color w:val="auto"/>
              </w:rPr>
              <w:t>SUMMARY COMPENSATION TABLE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Change in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Pension Value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Non-qualified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Non-Equity</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Deferred</w:t>
            </w: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All Other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Name and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Incentive Plan</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Compensation</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Compensation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Salary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Options Awards</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Compensation</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Earnings (1)</w:t>
            </w: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5"/>
        </w:trPr>
        <w:tc>
          <w:tcPr>
            <w:tcW w:w="96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480" w:type="dxa"/>
            <w:vAlign w:val="bottom"/>
          </w:tcPr>
          <w:p>
            <w:pPr>
              <w:ind w:left="80"/>
              <w:spacing w:after="0"/>
              <w:rPr>
                <w:sz w:val="20"/>
                <w:szCs w:val="20"/>
                <w:color w:val="auto"/>
              </w:rPr>
            </w:pPr>
            <w:r>
              <w:rPr>
                <w:rFonts w:ascii="Arial" w:cs="Arial" w:eastAsia="Arial" w:hAnsi="Arial"/>
                <w:sz w:val="18"/>
                <w:szCs w:val="18"/>
                <w:color w:val="auto"/>
                <w:w w:val="99"/>
              </w:rPr>
              <w:t>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Bonus ($)</w:t>
            </w:r>
          </w:p>
        </w:tc>
        <w:tc>
          <w:tcPr>
            <w:tcW w:w="12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Scott M.</w:t>
            </w: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Quist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3"/>
              </w:rPr>
              <w:t>Chairman of</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the</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2018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489,174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124,500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47,221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line="200" w:lineRule="exact"/>
              <w:rPr>
                <w:sz w:val="20"/>
                <w:szCs w:val="20"/>
                <w:color w:val="auto"/>
              </w:rPr>
            </w:pPr>
            <w:r>
              <w:rPr>
                <w:rFonts w:ascii="Arial" w:cs="Arial" w:eastAsia="Arial" w:hAnsi="Arial"/>
                <w:sz w:val="18"/>
                <w:szCs w:val="18"/>
                <w:color w:val="auto"/>
              </w:rPr>
              <w:t>Board,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spacing w:after="0"/>
              <w:rPr>
                <w:sz w:val="20"/>
                <w:szCs w:val="20"/>
                <w:color w:val="auto"/>
              </w:rPr>
            </w:pPr>
            <w:r>
              <w:rPr>
                <w:rFonts w:ascii="Arial" w:cs="Arial" w:eastAsia="Arial" w:hAnsi="Arial"/>
                <w:sz w:val="18"/>
                <w:szCs w:val="18"/>
                <w:color w:val="auto"/>
              </w:rPr>
              <w:t>and Chief</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487,925</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174,500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46,108</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708,533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Garrett 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Sill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Chief</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Financial</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2018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214,165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25,457</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line="200" w:lineRule="exact"/>
              <w:rPr>
                <w:sz w:val="20"/>
                <w:szCs w:val="20"/>
                <w:color w:val="auto"/>
              </w:rPr>
            </w:pPr>
            <w:r>
              <w:rPr>
                <w:rFonts w:ascii="Arial" w:cs="Arial" w:eastAsia="Arial" w:hAnsi="Arial"/>
                <w:sz w:val="18"/>
                <w:szCs w:val="18"/>
                <w:color w:val="auto"/>
              </w:rPr>
              <w:t>Officer and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60" w:type="dxa"/>
            <w:vAlign w:val="bottom"/>
            <w:gridSpan w:val="2"/>
          </w:tcPr>
          <w:p>
            <w:pPr>
              <w:spacing w:after="0"/>
              <w:rPr>
                <w:sz w:val="20"/>
                <w:szCs w:val="20"/>
                <w:color w:val="auto"/>
              </w:rPr>
            </w:pPr>
            <w:r>
              <w:rPr>
                <w:rFonts w:ascii="Arial" w:cs="Arial" w:eastAsia="Arial" w:hAnsi="Arial"/>
                <w:sz w:val="18"/>
                <w:szCs w:val="18"/>
                <w:color w:val="auto"/>
              </w:rPr>
              <w:t>Treasurer</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206,185</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25,007</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28,018</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259,210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Stephen C.</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Johnson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Vice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5"/>
              </w:rPr>
              <w:t>President of</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2018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361,284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17,900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18,257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line="200" w:lineRule="exact"/>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356,145</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27,900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18,219</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402,264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 Andrew</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Quist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Vice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and</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2018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221,228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41,075</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line="200" w:lineRule="exact"/>
              <w:rPr>
                <w:sz w:val="20"/>
                <w:szCs w:val="20"/>
                <w:color w:val="auto"/>
              </w:rPr>
            </w:pPr>
            <w:r>
              <w:rPr>
                <w:rFonts w:ascii="Arial" w:cs="Arial" w:eastAsia="Arial" w:hAnsi="Arial"/>
                <w:sz w:val="18"/>
                <w:szCs w:val="18"/>
                <w:color w:val="auto"/>
              </w:rPr>
              <w:t>General</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60" w:type="dxa"/>
            <w:vAlign w:val="bottom"/>
            <w:gridSpan w:val="2"/>
          </w:tcPr>
          <w:p>
            <w:pPr>
              <w:spacing w:after="0"/>
              <w:rPr>
                <w:sz w:val="20"/>
                <w:szCs w:val="20"/>
                <w:color w:val="auto"/>
              </w:rPr>
            </w:pPr>
            <w:r>
              <w:rPr>
                <w:rFonts w:ascii="Arial" w:cs="Arial" w:eastAsia="Arial" w:hAnsi="Arial"/>
                <w:sz w:val="18"/>
                <w:szCs w:val="18"/>
                <w:color w:val="auto"/>
              </w:rPr>
              <w:t>Counsel</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206,374</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40,325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27,630</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274,329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Jeffrey R.</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Stephens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Senior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2018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190,250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13,525</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line="200" w:lineRule="exact"/>
              <w:rPr>
                <w:sz w:val="20"/>
                <w:szCs w:val="20"/>
                <w:color w:val="auto"/>
              </w:rPr>
            </w:pPr>
            <w:r>
              <w:rPr>
                <w:rFonts w:ascii="Arial" w:cs="Arial" w:eastAsia="Arial" w:hAnsi="Arial"/>
                <w:sz w:val="18"/>
                <w:szCs w:val="18"/>
                <w:color w:val="auto"/>
                <w:w w:val="90"/>
              </w:rPr>
              <w:t>Counsel and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6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184,229</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13,225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26,668</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224,122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261" w:lineRule="exact"/>
        <w:rPr>
          <w:sz w:val="20"/>
          <w:szCs w:val="20"/>
          <w:color w:val="auto"/>
        </w:rPr>
      </w:pPr>
    </w:p>
    <w:p>
      <w:pPr>
        <w:ind w:left="700" w:hanging="693"/>
        <w:spacing w:after="0" w:line="287"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indicated under “Change in Pension Value and Non-Qualified Deferred Compensation Earnings” consist of amounts that the Company contributed into a trust for the benefit of the Named Executive Officers under the Company’s Non-Qualified Deferred Compensation Plan.</w:t>
      </w:r>
    </w:p>
    <w:p>
      <w:pPr>
        <w:ind w:left="700" w:hanging="693"/>
        <w:spacing w:after="0" w:line="247"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indicated under “All Other Compensation” consist of the following amounts that the Company paid for the benefit of the Named Executive Officers:</w:t>
      </w:r>
    </w:p>
    <w:p>
      <w:pPr>
        <w:spacing w:after="0" w:line="1" w:lineRule="exact"/>
        <w:rPr>
          <w:rFonts w:ascii="Arial" w:cs="Arial" w:eastAsia="Arial" w:hAnsi="Arial"/>
          <w:sz w:val="18"/>
          <w:szCs w:val="18"/>
          <w:color w:val="auto"/>
        </w:rPr>
      </w:pPr>
    </w:p>
    <w:p>
      <w:pPr>
        <w:jc w:val="both"/>
        <w:ind w:left="700" w:hanging="415"/>
        <w:spacing w:after="0" w:line="247"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payments related to the operation of automobiles for Scott M. Quist ($7,200 for each of the years 2018 and 2017); and Garrett S. Sill, Stephen C. Johnson, S. Andrew Quist, and Jeffrey R. Stephens ($-0- for each of the years 2018 and 2017). However, such payments do not include the furnishing of an automobile by the Company to Scott M. Quist, nor the payment of insurance and property taxes with respect to the automobile operated by such executive officer;</w:t>
      </w:r>
    </w:p>
    <w:p>
      <w:pPr>
        <w:spacing w:after="0" w:line="2" w:lineRule="exact"/>
        <w:rPr>
          <w:rFonts w:ascii="Arial" w:cs="Arial" w:eastAsia="Arial" w:hAnsi="Arial"/>
          <w:sz w:val="18"/>
          <w:szCs w:val="18"/>
          <w:color w:val="auto"/>
        </w:rPr>
      </w:pPr>
    </w:p>
    <w:p>
      <w:pPr>
        <w:ind w:left="700" w:hanging="420"/>
        <w:spacing w:after="0" w:line="247"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group life insurance premiums that the Company paid to a group life insurance plan for Scott M. Quist, Garrett S. Sill, Stephen C. Johnson, S. Andrew Quist, and Jeffrey R. Stephens ($178 for each of the years 2018 and 2017);</w:t>
      </w:r>
    </w:p>
    <w:p>
      <w:pPr>
        <w:spacing w:after="0" w:line="1" w:lineRule="exact"/>
        <w:rPr>
          <w:rFonts w:ascii="Arial" w:cs="Arial" w:eastAsia="Arial" w:hAnsi="Arial"/>
          <w:sz w:val="18"/>
          <w:szCs w:val="18"/>
          <w:color w:val="auto"/>
        </w:rPr>
      </w:pPr>
    </w:p>
    <w:p>
      <w:pPr>
        <w:ind w:left="700" w:hanging="415"/>
        <w:spacing w:after="0" w:line="247"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life insurance premiums that the Company paid for the benefit of Scott M. Quist ($14,934 for each of the years 2018 and 2017); and Garrett S. Sill, Stephen C. Johnson, S. Andrew Quist, and Jeffrey R. Stephens ($-0- for each of the years 2018 and 2017);</w:t>
      </w:r>
    </w:p>
    <w:p>
      <w:pPr>
        <w:spacing w:after="0" w:line="1" w:lineRule="exact"/>
        <w:rPr>
          <w:rFonts w:ascii="Arial" w:cs="Arial" w:eastAsia="Arial" w:hAnsi="Arial"/>
          <w:sz w:val="18"/>
          <w:szCs w:val="18"/>
          <w:color w:val="auto"/>
        </w:rPr>
      </w:pPr>
    </w:p>
    <w:p>
      <w:pPr>
        <w:jc w:val="both"/>
        <w:ind w:left="700" w:hanging="420"/>
        <w:spacing w:after="0" w:line="247"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medical insurance premiums that the Company paid to a medical insurance plan for Scott M. Quist ($13,658 for 2018 and $12,745 for 2017); Garrett S. Sill ($19,657 for 2018 and $18,341 for 2017); Stephen C. Johnson ($6,790 for 2018 and $6,790 for 2017); S. Andrew Quist ($19,654 for 2018 and $18,341 for 2017); and Jeffrey R. Stephens ($18,140 for 2018 and $18,341 for 2017);</w:t>
      </w:r>
    </w:p>
    <w:p>
      <w:pPr>
        <w:spacing w:after="0" w:line="1" w:lineRule="exact"/>
        <w:rPr>
          <w:rFonts w:ascii="Arial" w:cs="Arial" w:eastAsia="Arial" w:hAnsi="Arial"/>
          <w:sz w:val="18"/>
          <w:szCs w:val="18"/>
          <w:color w:val="auto"/>
        </w:rPr>
      </w:pPr>
    </w:p>
    <w:p>
      <w:pPr>
        <w:ind w:left="700" w:hanging="415"/>
        <w:spacing w:after="0" w:line="247"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long term disability insurance premiums that the Company paid to a provider of such insurance for Scott M. Quist, Garrett S. Sill, Stephen C. Johnson, S. Andrew Quist, and Jeffrey R. Stephens ($251 for each of the years 2018 and 2017);</w:t>
      </w:r>
    </w:p>
    <w:p>
      <w:pPr>
        <w:spacing w:after="0" w:line="1" w:lineRule="exact"/>
        <w:rPr>
          <w:rFonts w:ascii="Arial" w:cs="Arial" w:eastAsia="Arial" w:hAnsi="Arial"/>
          <w:sz w:val="18"/>
          <w:szCs w:val="18"/>
          <w:color w:val="auto"/>
        </w:rPr>
      </w:pPr>
    </w:p>
    <w:p>
      <w:pPr>
        <w:jc w:val="both"/>
        <w:ind w:left="700" w:hanging="405"/>
        <w:spacing w:after="0" w:line="247" w:lineRule="auto"/>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contributions that the Company made to defined contribution plans for Scott M. Quist ($11,000 for 2018 and $10,800 for 2017); Garrett S. Sill ($9,248 for 2018 and $8,561 for 2017); Stephen C. Johnson ($10,838 for 2018 and $10,800 for 2017); S. Andrew Quist ($7,080 for 2018 and $8,860 for 2017); and Jeffrey R. Stephens ($5,865 for 2018 and $7,898 for 2017); and</w:t>
      </w:r>
    </w:p>
    <w:p>
      <w:pPr>
        <w:spacing w:after="0" w:line="1" w:lineRule="exact"/>
        <w:rPr>
          <w:rFonts w:ascii="Arial" w:cs="Arial" w:eastAsia="Arial" w:hAnsi="Arial"/>
          <w:sz w:val="18"/>
          <w:szCs w:val="18"/>
          <w:color w:val="auto"/>
        </w:rPr>
      </w:pPr>
    </w:p>
    <w:p>
      <w:pPr>
        <w:ind w:left="700" w:hanging="420"/>
        <w:spacing w:after="0"/>
        <w:tabs>
          <w:tab w:leader="none" w:pos="7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contributions that the Company made to health savings accounts for Scott M. Quist, Garrett S. Sill, S. Andrew Quist and Jeffrey R. Stephens ($-0- for</w:t>
      </w:r>
    </w:p>
    <w:p>
      <w:pPr>
        <w:sectPr>
          <w:pgSz w:w="11900" w:h="16838" w:orient="portrait"/>
          <w:cols w:equalWidth="0" w:num="1">
            <w:col w:w="11420"/>
          </w:cols>
          <w:pgMar w:left="240" w:top="121" w:right="239" w:bottom="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each of the years 2018 and 2017); and Stephen C. Johnson ($200 for each of the years 2018 and 2017);</w:t>
      </w:r>
    </w:p>
    <w:p>
      <w:pPr>
        <w:sectPr>
          <w:pgSz w:w="11900" w:h="16838" w:orient="portrait"/>
          <w:cols w:equalWidth="0" w:num="1">
            <w:col w:w="9519"/>
          </w:cols>
          <w:pgMar w:left="940" w:top="125"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43815</wp:posOffset>
            </wp:positionV>
            <wp:extent cx="7247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9519"/>
          </w:cols>
          <w:pgMar w:left="940" w:top="125" w:right="1440"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SUPPLEMENTAL ALL OTHER COMPENSATION TABLE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all other compensation provided the Named Executive Officers for fiscal years 2018 and 2017.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Dividends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1"/>
              <w:spacing w:after="0"/>
              <w:rPr>
                <w:sz w:val="20"/>
                <w:szCs w:val="20"/>
                <w:color w:val="auto"/>
              </w:rPr>
            </w:pPr>
            <w:r>
              <w:rPr>
                <w:rFonts w:ascii="Arial" w:cs="Arial" w:eastAsia="Arial" w:hAnsi="Arial"/>
                <w:sz w:val="18"/>
                <w:szCs w:val="18"/>
                <w:color w:val="auto"/>
                <w:w w:val="87"/>
              </w:rPr>
              <w:t>Registrant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or</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6"/>
              </w:rPr>
              <w:t>Perks and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Payments/</w:t>
            </w:r>
          </w:p>
        </w:tc>
        <w:tc>
          <w:tcPr>
            <w:tcW w:w="1060" w:type="dxa"/>
            <w:vAlign w:val="bottom"/>
            <w:gridSpan w:val="3"/>
          </w:tcPr>
          <w:p>
            <w:pPr>
              <w:ind w:left="80"/>
              <w:spacing w:after="0"/>
              <w:rPr>
                <w:sz w:val="20"/>
                <w:szCs w:val="20"/>
                <w:color w:val="auto"/>
              </w:rPr>
            </w:pPr>
            <w:r>
              <w:rPr>
                <w:rFonts w:ascii="Arial" w:cs="Arial" w:eastAsia="Arial" w:hAnsi="Arial"/>
                <w:sz w:val="18"/>
                <w:szCs w:val="18"/>
                <w:color w:val="auto"/>
                <w:w w:val="90"/>
              </w:rPr>
              <w:t>Contributions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Name of</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31"/>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1"/>
              </w:rPr>
              <w:t>Discounted</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Accruals 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1"/>
              <w:spacing w:after="0"/>
              <w:rPr>
                <w:sz w:val="20"/>
                <w:szCs w:val="20"/>
                <w:color w:val="auto"/>
              </w:rPr>
            </w:pPr>
            <w:r>
              <w:rPr>
                <w:rFonts w:ascii="Arial" w:cs="Arial" w:eastAsia="Arial" w:hAnsi="Arial"/>
                <w:sz w:val="18"/>
                <w:szCs w:val="18"/>
                <w:color w:val="auto"/>
                <w:w w:val="92"/>
              </w:rPr>
              <w:t>to Defined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on Stock</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4"/>
              </w:rPr>
              <w:t>Personal</w:t>
            </w:r>
          </w:p>
        </w:tc>
        <w:tc>
          <w:tcPr>
            <w:tcW w:w="16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Tax</w:t>
            </w:r>
          </w:p>
        </w:tc>
        <w:tc>
          <w:tcPr>
            <w:tcW w:w="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Securities</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w w:val="96"/>
              </w:rPr>
              <w:t>Termination</w:t>
            </w:r>
          </w:p>
        </w:tc>
        <w:tc>
          <w:tcPr>
            <w:tcW w:w="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Contribution</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Insurance</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or Option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Other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Officer</w:t>
            </w:r>
          </w:p>
        </w:tc>
        <w:tc>
          <w:tcPr>
            <w:tcW w:w="540" w:type="dxa"/>
            <w:vAlign w:val="bottom"/>
          </w:tcPr>
          <w:p>
            <w:pPr>
              <w:ind w:left="10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Benefits</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6"/>
              </w:rPr>
              <w:t>Reimbursements</w:t>
            </w:r>
          </w:p>
        </w:tc>
        <w:tc>
          <w:tcPr>
            <w:tcW w:w="80" w:type="dxa"/>
            <w:vAlign w:val="bottom"/>
          </w:tcPr>
          <w:p>
            <w:pPr>
              <w:spacing w:after="0"/>
              <w:rPr>
                <w:sz w:val="20"/>
                <w:szCs w:val="2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Purchases</w:t>
            </w:r>
          </w:p>
        </w:tc>
        <w:tc>
          <w:tcPr>
            <w:tcW w:w="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Plans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right="11"/>
              <w:spacing w:after="0"/>
              <w:rPr>
                <w:sz w:val="20"/>
                <w:szCs w:val="20"/>
                <w:color w:val="auto"/>
              </w:rPr>
            </w:pPr>
            <w:r>
              <w:rPr>
                <w:rFonts w:ascii="Arial" w:cs="Arial" w:eastAsia="Arial" w:hAnsi="Arial"/>
                <w:sz w:val="18"/>
                <w:szCs w:val="18"/>
                <w:color w:val="auto"/>
                <w:w w:val="84"/>
              </w:rPr>
              <w:t>Plans</w:t>
            </w:r>
          </w:p>
        </w:tc>
        <w:tc>
          <w:tcPr>
            <w:tcW w:w="16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1"/>
              </w:rPr>
              <w:t>Premiums</w:t>
            </w: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680" w:type="dxa"/>
            <w:vAlign w:val="bottom"/>
            <w:gridSpan w:val="2"/>
          </w:tcPr>
          <w:p>
            <w:pPr>
              <w:jc w:val="right"/>
              <w:ind w:right="91"/>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Scott M.</w:t>
            </w: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Quist</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820" w:type="dxa"/>
            <w:vAlign w:val="bottom"/>
          </w:tcPr>
          <w:p>
            <w:pPr>
              <w:spacing w:after="0" w:line="200" w:lineRule="exact"/>
              <w:rPr>
                <w:sz w:val="20"/>
                <w:szCs w:val="20"/>
                <w:color w:val="auto"/>
              </w:rPr>
            </w:pPr>
            <w:r>
              <w:rPr>
                <w:rFonts w:ascii="Arial" w:cs="Arial" w:eastAsia="Arial" w:hAnsi="Arial"/>
                <w:sz w:val="18"/>
                <w:szCs w:val="18"/>
                <w:color w:val="auto"/>
              </w:rPr>
              <w:t>Garrett 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ind w:left="1140"/>
              <w:spacing w:after="0"/>
              <w:rPr>
                <w:sz w:val="20"/>
                <w:szCs w:val="20"/>
                <w:color w:val="auto"/>
              </w:rPr>
            </w:pPr>
            <w:r>
              <w:rPr>
                <w:rFonts w:ascii="Arial" w:cs="Arial" w:eastAsia="Arial" w:hAnsi="Arial"/>
                <w:sz w:val="18"/>
                <w:szCs w:val="18"/>
                <w:color w:val="auto"/>
              </w:rPr>
              <w:t>Sill</w:t>
            </w:r>
          </w:p>
        </w:tc>
        <w:tc>
          <w:tcPr>
            <w:tcW w:w="540" w:type="dxa"/>
            <w:vAlign w:val="bottom"/>
          </w:tcPr>
          <w:p>
            <w:pPr>
              <w:ind w:left="10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7,021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20,086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8"/>
              </w:rPr>
              <w:t>Stephen C.</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Johnson</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820" w:type="dxa"/>
            <w:vAlign w:val="bottom"/>
          </w:tcPr>
          <w:p>
            <w:pPr>
              <w:spacing w:after="0" w:line="200" w:lineRule="exact"/>
              <w:rPr>
                <w:sz w:val="20"/>
                <w:szCs w:val="20"/>
                <w:color w:val="auto"/>
              </w:rPr>
            </w:pPr>
            <w:r>
              <w:rPr>
                <w:rFonts w:ascii="Arial" w:cs="Arial" w:eastAsia="Arial" w:hAnsi="Arial"/>
                <w:sz w:val="18"/>
                <w:szCs w:val="18"/>
                <w:color w:val="auto"/>
                <w:w w:val="96"/>
              </w:rPr>
              <w:t>S. Andrew</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ind w:left="1140"/>
              <w:spacing w:after="0"/>
              <w:rPr>
                <w:sz w:val="20"/>
                <w:szCs w:val="20"/>
                <w:color w:val="auto"/>
              </w:rPr>
            </w:pPr>
            <w:r>
              <w:rPr>
                <w:rFonts w:ascii="Arial" w:cs="Arial" w:eastAsia="Arial" w:hAnsi="Arial"/>
                <w:sz w:val="18"/>
                <w:szCs w:val="18"/>
                <w:color w:val="auto"/>
              </w:rPr>
              <w:t>Quist</w:t>
            </w:r>
          </w:p>
        </w:tc>
        <w:tc>
          <w:tcPr>
            <w:tcW w:w="540" w:type="dxa"/>
            <w:vAlign w:val="bottom"/>
          </w:tcPr>
          <w:p>
            <w:pPr>
              <w:ind w:left="10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7,080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Jeffrey 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Stephens</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right"/>
              <w:ind w:right="731"/>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jc w:val="center"/>
        <w:ind w:left="740"/>
        <w:spacing w:after="0"/>
        <w:rPr>
          <w:sz w:val="20"/>
          <w:szCs w:val="20"/>
          <w:color w:val="auto"/>
        </w:rPr>
      </w:pPr>
      <w:r>
        <w:rPr>
          <w:rFonts w:ascii="Arial" w:cs="Arial" w:eastAsia="Arial" w:hAnsi="Arial"/>
          <w:sz w:val="18"/>
          <w:szCs w:val="18"/>
          <w:color w:val="auto"/>
        </w:rPr>
        <w:t>GRANTS OF PLAN-BASED AWARDS</w:t>
      </w:r>
    </w:p>
    <w:p>
      <w:pPr>
        <w:spacing w:after="0" w:line="24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sets forth certain information regarding options granted to the Named Executive Officers during the fiscal year ended December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31, 2018.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All Other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Awards: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Exercise or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 of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spacing w:after="0"/>
              <w:rPr>
                <w:sz w:val="20"/>
                <w:szCs w:val="20"/>
                <w:color w:val="auto"/>
              </w:rPr>
            </w:pPr>
            <w:r>
              <w:rPr>
                <w:rFonts w:ascii="Arial" w:cs="Arial" w:eastAsia="Arial" w:hAnsi="Arial"/>
                <w:sz w:val="18"/>
                <w:szCs w:val="18"/>
                <w:color w:val="auto"/>
                <w:w w:val="88"/>
              </w:rPr>
              <w:t>Estimated Future Payouts Under</w:t>
            </w:r>
          </w:p>
        </w:tc>
        <w:tc>
          <w:tcPr>
            <w:tcW w:w="22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Securities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Base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Closing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Equity Incentive Plan Awards</w:t>
            </w:r>
          </w:p>
        </w:tc>
        <w:tc>
          <w:tcPr>
            <w:tcW w:w="220" w:type="dxa"/>
            <w:vAlign w:val="bottom"/>
          </w:tcPr>
          <w:p>
            <w:pPr>
              <w:spacing w:after="0"/>
              <w:rPr>
                <w:sz w:val="20"/>
                <w:szCs w:val="20"/>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Underlying</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 Option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on Grant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and Option</w:t>
            </w:r>
          </w:p>
        </w:tc>
        <w:tc>
          <w:tcPr>
            <w:tcW w:w="0" w:type="dxa"/>
            <w:vAlign w:val="bottom"/>
          </w:tcPr>
          <w:p>
            <w:pPr>
              <w:spacing w:after="0"/>
              <w:rPr>
                <w:sz w:val="1"/>
                <w:szCs w:val="1"/>
                <w:color w:val="auto"/>
              </w:rPr>
            </w:pPr>
          </w:p>
        </w:tc>
      </w:tr>
      <w:tr>
        <w:trPr>
          <w:trHeight w:val="199"/>
        </w:trPr>
        <w:tc>
          <w:tcPr>
            <w:tcW w:w="1540" w:type="dxa"/>
            <w:vAlign w:val="bottom"/>
            <w:gridSpan w:val="2"/>
          </w:tcPr>
          <w:p>
            <w:pPr>
              <w:spacing w:after="0" w:line="200" w:lineRule="exact"/>
              <w:rPr>
                <w:sz w:val="20"/>
                <w:szCs w:val="20"/>
                <w:color w:val="auto"/>
              </w:rPr>
            </w:pPr>
            <w:r>
              <w:rPr>
                <w:rFonts w:ascii="Arial" w:cs="Arial" w:eastAsia="Arial" w:hAnsi="Arial"/>
                <w:sz w:val="18"/>
                <w:szCs w:val="18"/>
                <w:color w:val="auto"/>
              </w:rPr>
              <w:t>Name of Executive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line="200" w:lineRule="exact"/>
              <w:rPr>
                <w:sz w:val="20"/>
                <w:szCs w:val="20"/>
                <w:color w:val="auto"/>
              </w:rPr>
            </w:pPr>
            <w:r>
              <w:rPr>
                <w:rFonts w:ascii="Arial" w:cs="Arial" w:eastAsia="Arial" w:hAnsi="Arial"/>
                <w:sz w:val="18"/>
                <w:szCs w:val="18"/>
                <w:color w:val="auto"/>
                <w:w w:val="93"/>
              </w:rPr>
              <w:t>Grant</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w w:val="89"/>
              </w:rPr>
              <w:t>Threshold</w:t>
            </w:r>
          </w:p>
        </w:tc>
        <w:tc>
          <w:tcPr>
            <w:tcW w:w="220" w:type="dxa"/>
            <w:vAlign w:val="bottom"/>
          </w:tcPr>
          <w:p>
            <w:pPr>
              <w:spacing w:after="0"/>
              <w:rPr>
                <w:sz w:val="17"/>
                <w:szCs w:val="17"/>
                <w:color w:val="auto"/>
              </w:rPr>
            </w:pP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84"/>
              </w:rPr>
              <w:t>Target</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w w:val="94"/>
              </w:rPr>
              <w:t>Maximum</w:t>
            </w:r>
          </w:p>
        </w:tc>
        <w:tc>
          <w:tcPr>
            <w:tcW w:w="220" w:type="dxa"/>
            <w:vAlign w:val="bottom"/>
          </w:tcPr>
          <w:p>
            <w:pPr>
              <w:spacing w:after="0"/>
              <w:rPr>
                <w:sz w:val="17"/>
                <w:szCs w:val="17"/>
                <w:color w:val="auto"/>
              </w:rPr>
            </w:pPr>
          </w:p>
        </w:tc>
        <w:tc>
          <w:tcPr>
            <w:tcW w:w="88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0"/>
              </w:rPr>
              <w:t>Options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60"/>
              <w:spacing w:after="0" w:line="200" w:lineRule="exact"/>
              <w:rPr>
                <w:sz w:val="20"/>
                <w:szCs w:val="20"/>
                <w:color w:val="auto"/>
              </w:rPr>
            </w:pPr>
            <w:r>
              <w:rPr>
                <w:rFonts w:ascii="Arial" w:cs="Arial" w:eastAsia="Arial" w:hAnsi="Arial"/>
                <w:sz w:val="18"/>
                <w:szCs w:val="18"/>
                <w:color w:val="auto"/>
                <w:w w:val="89"/>
              </w:rPr>
              <w:t>Awards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Date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20"/>
              <w:spacing w:after="0" w:line="200" w:lineRule="exact"/>
              <w:rPr>
                <w:sz w:val="20"/>
                <w:szCs w:val="20"/>
                <w:color w:val="auto"/>
              </w:rPr>
            </w:pPr>
            <w:r>
              <w:rPr>
                <w:rFonts w:ascii="Arial" w:cs="Arial" w:eastAsia="Arial" w:hAnsi="Arial"/>
                <w:sz w:val="18"/>
                <w:szCs w:val="18"/>
                <w:color w:val="auto"/>
              </w:rPr>
              <w:t>Awards</w:t>
            </w:r>
          </w:p>
        </w:tc>
        <w:tc>
          <w:tcPr>
            <w:tcW w:w="0" w:type="dxa"/>
            <w:vAlign w:val="bottom"/>
          </w:tcPr>
          <w:p>
            <w:pPr>
              <w:spacing w:after="0"/>
              <w:rPr>
                <w:sz w:val="1"/>
                <w:szCs w:val="1"/>
                <w:color w:val="auto"/>
              </w:rPr>
            </w:pPr>
          </w:p>
        </w:tc>
      </w:tr>
      <w:tr>
        <w:trPr>
          <w:trHeight w:val="235"/>
        </w:trPr>
        <w:tc>
          <w:tcPr>
            <w:tcW w:w="15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Date</w:t>
            </w:r>
          </w:p>
        </w:tc>
        <w:tc>
          <w:tcPr>
            <w:tcW w:w="7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w:t>
            </w:r>
          </w:p>
        </w:tc>
        <w:tc>
          <w:tcPr>
            <w:tcW w:w="98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13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($/Sh)</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($/Sh)</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1"/>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11/30/18</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Garrett S. Sill</w:t>
            </w:r>
          </w:p>
        </w:tc>
        <w:tc>
          <w:tcPr>
            <w:tcW w:w="8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11/30/18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21,000</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25,681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1"/>
              </w:rPr>
              <w:t>Stephen C. Johnson</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 Andrew Quist</w:t>
            </w:r>
          </w:p>
        </w:tc>
        <w:tc>
          <w:tcPr>
            <w:tcW w:w="8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11/30/18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26,250</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32,102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4"/>
              </w:rPr>
              <w:t>Jeffrey R. Stephens</w:t>
            </w:r>
          </w:p>
        </w:tc>
        <w:tc>
          <w:tcPr>
            <w:tcW w:w="8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11/30/18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700" w:hanging="693"/>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stock options have been adjusted for the 5% annual stock dividend declared on November 30, 2018 and paid on February 1, 2019.</w:t>
      </w:r>
    </w:p>
    <w:p>
      <w:pPr>
        <w:spacing w:after="0" w:line="31" w:lineRule="exact"/>
        <w:rPr>
          <w:rFonts w:ascii="Arial" w:cs="Arial" w:eastAsia="Arial" w:hAnsi="Arial"/>
          <w:sz w:val="17"/>
          <w:szCs w:val="17"/>
          <w:color w:val="auto"/>
        </w:rPr>
      </w:pPr>
    </w:p>
    <w:p>
      <w:pPr>
        <w:ind w:left="700" w:hanging="693"/>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Prices have been adjusted for the effect of the 5% annual stock dividend declared on November 30, 2018 and paid on February 1,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outstanding equity awards held by Named Executive Officers at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9"/>
              </w:rPr>
              <w:t>Option Awards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Stock Awards</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200" w:lineRule="exact"/>
              <w:rPr>
                <w:sz w:val="20"/>
                <w:szCs w:val="20"/>
                <w:color w:val="auto"/>
              </w:rPr>
            </w:pPr>
            <w:r>
              <w:rPr>
                <w:rFonts w:ascii="Arial" w:cs="Arial" w:eastAsia="Arial" w:hAnsi="Arial"/>
                <w:sz w:val="18"/>
                <w:szCs w:val="18"/>
                <w:color w:val="auto"/>
                <w:w w:val="95"/>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Equity</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Incentive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Incentive</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Plan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Awards: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Awards: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Market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Payout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rPr>
              <w:t>of</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Market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Unearned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Unearned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2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Shares,</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 or</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Units 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Units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or Units</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Units of</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Unexercised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Rights</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Rights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Stock</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That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That Have</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That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Name of</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Exercise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Award</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Have Not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Have Not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Grant</w:t>
            </w:r>
          </w:p>
        </w:tc>
        <w:tc>
          <w:tcPr>
            <w:tcW w:w="100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Price (2)</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Grant</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2"/>
              </w:rPr>
              <w:t>Vested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Vested</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Officer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Scott M. Quist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07/02/14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3.66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07/02/19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12/05/14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127,629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0"/>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12/05/19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12/04/15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6.02</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12/04/20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12/02/16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92,610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0"/>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6.63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12/02/21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12/01/17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5.02</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12/02/22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11/30/18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73,500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5.77</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Garrett S. Sill</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12/06/13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3.56</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12/06/23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07/02/14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3.33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07/02/24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12/05/14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3.89</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12/05/24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12/04/15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5.47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12/04/25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12/02/16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11,576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6.03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12/02/26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12/01/17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12/01/27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11/30/18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5.24</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60" w:type="dxa"/>
            <w:vAlign w:val="bottom"/>
          </w:tcPr>
          <w:p>
            <w:pPr>
              <w:spacing w:after="0" w:line="200" w:lineRule="exact"/>
              <w:rPr>
                <w:sz w:val="20"/>
                <w:szCs w:val="20"/>
                <w:color w:val="auto"/>
              </w:rPr>
            </w:pPr>
            <w:r>
              <w:rPr>
                <w:rFonts w:ascii="Arial" w:cs="Arial" w:eastAsia="Arial" w:hAnsi="Arial"/>
                <w:sz w:val="18"/>
                <w:szCs w:val="18"/>
                <w:color w:val="auto"/>
              </w:rPr>
              <w:t>Stephen C.</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80" w:type="dxa"/>
            <w:vAlign w:val="bottom"/>
            <w:gridSpan w:val="2"/>
          </w:tcPr>
          <w:p>
            <w:pPr>
              <w:spacing w:after="0"/>
              <w:rPr>
                <w:sz w:val="20"/>
                <w:szCs w:val="20"/>
                <w:color w:val="auto"/>
              </w:rPr>
            </w:pPr>
            <w:r>
              <w:rPr>
                <w:rFonts w:ascii="Arial" w:cs="Arial" w:eastAsia="Arial" w:hAnsi="Arial"/>
                <w:sz w:val="18"/>
                <w:szCs w:val="18"/>
                <w:color w:val="auto"/>
              </w:rPr>
              <w:t>Johnson</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04/13/12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4,221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1.09</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04/13/22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12/06/13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3.56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12/06/23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07/02/14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3.33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07/02/24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12/05/14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12/05/24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12/04/15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5.47</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12/04/25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12/02/16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6.03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12/02/26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12/01/17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4.56</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12/01/27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60" w:type="dxa"/>
            <w:vAlign w:val="bottom"/>
          </w:tcPr>
          <w:p>
            <w:pPr>
              <w:spacing w:after="0" w:line="200" w:lineRule="exact"/>
              <w:rPr>
                <w:sz w:val="20"/>
                <w:szCs w:val="20"/>
                <w:color w:val="auto"/>
              </w:rPr>
            </w:pPr>
            <w:r>
              <w:rPr>
                <w:rFonts w:ascii="Arial" w:cs="Arial" w:eastAsia="Arial" w:hAnsi="Arial"/>
                <w:sz w:val="18"/>
                <w:szCs w:val="18"/>
                <w:color w:val="auto"/>
              </w:rPr>
              <w:t>S. Andrew</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80" w:type="dxa"/>
            <w:vAlign w:val="bottom"/>
            <w:gridSpan w:val="2"/>
          </w:tcPr>
          <w:p>
            <w:pPr>
              <w:spacing w:after="0"/>
              <w:rPr>
                <w:sz w:val="20"/>
                <w:szCs w:val="20"/>
                <w:color w:val="auto"/>
              </w:rPr>
            </w:pPr>
            <w:r>
              <w:rPr>
                <w:rFonts w:ascii="Arial" w:cs="Arial" w:eastAsia="Arial" w:hAnsi="Arial"/>
                <w:sz w:val="18"/>
                <w:szCs w:val="18"/>
                <w:color w:val="auto"/>
              </w:rPr>
              <w:t>Quist</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04/13/12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21,107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1.09</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04/13/22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12/06/13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3.56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12/06/23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07/02/14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3.33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07/02/24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12/05/14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12/05/24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12/04/15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5.47</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12/04/25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12/02/16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6.03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12/02/26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12/01/17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22,050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0"/>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4.80</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12/01/27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11/30/18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Jeffrey R.</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Stephens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04/13/12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04/13/22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12/06/13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3.56</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12/06/23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07/02/14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3.33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07/02/24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12/05/14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3.89</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12/05/24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12/04/15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5.47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12/04/25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12/02/16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6.03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12/02/26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12/01/17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12/01/27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11/30/18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5.24</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ind w:left="600"/>
              <w:spacing w:after="0"/>
              <w:rPr>
                <w:sz w:val="20"/>
                <w:szCs w:val="20"/>
                <w:color w:val="auto"/>
              </w:rPr>
            </w:pPr>
            <w:r>
              <w:rPr>
                <w:rFonts w:ascii="Arial" w:cs="Arial" w:eastAsia="Arial" w:hAnsi="Arial"/>
                <w:sz w:val="18"/>
                <w:szCs w:val="18"/>
                <w:color w:val="auto"/>
                <w:w w:val="82"/>
              </w:rPr>
              <w:t>--</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4" w:lineRule="exact"/>
        <w:rPr>
          <w:sz w:val="20"/>
          <w:szCs w:val="20"/>
          <w:color w:val="auto"/>
        </w:rPr>
      </w:pPr>
    </w:p>
    <w:p>
      <w:pPr>
        <w:ind w:left="700" w:hanging="693"/>
        <w:spacing w:after="0" w:line="24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for options granted to Scott M. Quist that have five-year terms, such grants have ten year terms. The vesting of any unvested shares is subject to the recipient’s continuous employment. This reflects the equivalent of Class A common shares.</w:t>
      </w:r>
    </w:p>
    <w:p>
      <w:pPr>
        <w:spacing w:after="0" w:line="1" w:lineRule="exact"/>
        <w:rPr>
          <w:rFonts w:ascii="Arial" w:cs="Arial" w:eastAsia="Arial" w:hAnsi="Arial"/>
          <w:sz w:val="18"/>
          <w:szCs w:val="18"/>
          <w:color w:val="auto"/>
        </w:rPr>
      </w:pPr>
    </w:p>
    <w:p>
      <w:pPr>
        <w:ind w:left="700" w:hanging="693"/>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Exercise prices have been adjusted for the effect of annual stock dividends.</w:t>
      </w:r>
    </w:p>
    <w:p>
      <w:pPr>
        <w:spacing w:after="0" w:line="6" w:lineRule="exact"/>
        <w:rPr>
          <w:rFonts w:ascii="Arial" w:cs="Arial" w:eastAsia="Arial" w:hAnsi="Arial"/>
          <w:sz w:val="18"/>
          <w:szCs w:val="18"/>
          <w:color w:val="auto"/>
        </w:rPr>
      </w:pPr>
    </w:p>
    <w:p>
      <w:pPr>
        <w:ind w:left="700" w:hanging="693"/>
        <w:spacing w:after="0" w:line="24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July 2, 2014, Scott Quist was granted stock options to purchase 50,000 shares of Class A common stock at an exercise price of $3.66 per share or 50,000 shares of Class C common stock at an exercise price of $3.66 per share, or any combination thereof.</w:t>
      </w:r>
    </w:p>
    <w:p>
      <w:pPr>
        <w:spacing w:after="0" w:line="1" w:lineRule="exact"/>
        <w:rPr>
          <w:rFonts w:ascii="Arial" w:cs="Arial" w:eastAsia="Arial" w:hAnsi="Arial"/>
          <w:sz w:val="18"/>
          <w:szCs w:val="18"/>
          <w:color w:val="auto"/>
        </w:rPr>
      </w:pPr>
    </w:p>
    <w:p>
      <w:pPr>
        <w:ind w:left="700" w:right="20" w:hanging="693"/>
        <w:spacing w:after="0" w:line="262"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December 5, 2014, Scott Quist was granted stock options to purchase 100,000 shares of Class A common stock at an exercise price of $4.27 per share or 100,000 shares of Class C common stock at an exercise price of $4.27 per share, or any combination thereof.</w:t>
      </w:r>
    </w:p>
    <w:p>
      <w:pPr>
        <w:ind w:left="700" w:right="20" w:hanging="693"/>
        <w:spacing w:after="0" w:line="262"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December 4, 2015, Scott Quist was granted stock options to purchase 100,000 shares of Class A common stock at an exercise price of $6.02 per share or 100,000 shares of Class C common stock at an exercise price of $6.02 per share, or any combination thereof.</w:t>
      </w:r>
    </w:p>
    <w:p>
      <w:pPr>
        <w:ind w:left="700" w:hanging="693"/>
        <w:spacing w:after="0" w:line="262"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December 2, 2016, Scott Quist was granted stock options to purchase 80,000 shares of Class A common stock at an exercise price of $6.63 per share or 80,000 shares of Class C common stock at an exercise price of $6.63 per share, or any combination thereof.</w:t>
      </w:r>
    </w:p>
    <w:p>
      <w:pPr>
        <w:ind w:left="700" w:hanging="693"/>
        <w:spacing w:after="0"/>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December 1, 2017, Garrett S. Sill was granted stock options to purchase 15,000 shares of Class A common stock at an exercise price of $4.56 per</w:t>
      </w:r>
    </w:p>
    <w:p>
      <w:pPr>
        <w:sectPr>
          <w:pgSz w:w="11900" w:h="16863" w:orient="portrait"/>
          <w:cols w:equalWidth="0" w:num="1">
            <w:col w:w="11420"/>
          </w:cols>
          <w:pgMar w:left="240" w:top="121" w:right="239" w:bottom="0" w:gutter="0" w:footer="0" w:header="0"/>
        </w:sectPr>
      </w:pPr>
    </w:p>
    <w:bookmarkStart w:id="115" w:name="page116"/>
    <w:bookmarkEnd w:id="115"/>
    <w:p>
      <w:pPr>
        <w:jc w:val="both"/>
        <w:ind w:left="700"/>
        <w:spacing w:after="0" w:line="267" w:lineRule="auto"/>
        <w:rPr>
          <w:sz w:val="20"/>
          <w:szCs w:val="20"/>
          <w:color w:val="auto"/>
        </w:rPr>
      </w:pPr>
      <w:r>
        <w:rPr>
          <w:rFonts w:ascii="Arial" w:cs="Arial" w:eastAsia="Arial" w:hAnsi="Arial"/>
          <w:sz w:val="17"/>
          <w:szCs w:val="17"/>
          <w:color w:val="auto"/>
        </w:rPr>
        <w:t>share or 15,000 shares of Class C common stock at an exercise price of $4.56 per share, or any combination thereof. Also, on December 1, 2017, S. Andrew Quist was granted stock options to purchase 20,000 shares of Class A common stock at an exercise price of $4.56 per share or 20,000 shares of Class C common stock at an exercise price of $4.56 per share, or any combination thereof.</w:t>
      </w:r>
    </w:p>
    <w:p>
      <w:pPr>
        <w:spacing w:after="0" w:line="1" w:lineRule="exact"/>
        <w:rPr>
          <w:sz w:val="20"/>
          <w:szCs w:val="20"/>
          <w:color w:val="auto"/>
        </w:rPr>
      </w:pPr>
    </w:p>
    <w:p>
      <w:pPr>
        <w:jc w:val="both"/>
        <w:ind w:left="700" w:hanging="693"/>
        <w:spacing w:after="0" w:line="262" w:lineRule="auto"/>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On November 30, 2018, Garrett S. Sill was granted stock options to purchase 20,000 shares of Class A common stock at an exercise price of $5.24 per share or 20,000 shares of Class C common stock at an exercise price of $5.24 per share, or any combination thereof. Also, on November 30, 2018, S. Andrew Quist was granted stock options to purchase 25,000 shares of Class A common stock at an exercise price of $5.24 per share or 20,000 shares of Class C common stock at an exercise price of $5.24 per share, or any combination thereof.</w:t>
      </w:r>
    </w:p>
    <w:p>
      <w:pPr>
        <w:ind w:left="700" w:right="160" w:hanging="693"/>
        <w:spacing w:after="0" w:line="255"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Stock options vest at the rate of 25% of the total number of shares subject to the options on March 1, 2019 and 25% of the total number of shares on the last day of each three month period thereafter.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OPTION AWARDS VESTING SCHEDULE</w:t>
      </w: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sets forth the vesting schedule of unexercisable options reported in the “Number of Securities Underlying Unexercised Options – Unexercisable” column of the table above.</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27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Grant Date</w:t>
            </w:r>
          </w:p>
        </w:tc>
        <w:tc>
          <w:tcPr>
            <w:tcW w:w="63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Vesting</w:t>
            </w:r>
          </w:p>
        </w:tc>
      </w:tr>
      <w:tr>
        <w:trPr>
          <w:trHeight w:val="199"/>
        </w:trPr>
        <w:tc>
          <w:tcPr>
            <w:tcW w:w="2740" w:type="dxa"/>
            <w:vAlign w:val="bottom"/>
            <w:shd w:val="clear" w:color="auto" w:fill="CCEEFF"/>
          </w:tcPr>
          <w:p>
            <w:pPr>
              <w:spacing w:after="0"/>
              <w:rPr>
                <w:sz w:val="17"/>
                <w:szCs w:val="17"/>
                <w:color w:val="auto"/>
              </w:rPr>
            </w:pPr>
          </w:p>
        </w:tc>
        <w:tc>
          <w:tcPr>
            <w:tcW w:w="63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8"/>
        </w:trPr>
        <w:tc>
          <w:tcPr>
            <w:tcW w:w="274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89"/>
              </w:rPr>
              <w:t>4/13/12</w:t>
            </w:r>
          </w:p>
        </w:tc>
        <w:tc>
          <w:tcPr>
            <w:tcW w:w="6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date.</w:t>
            </w:r>
          </w:p>
        </w:tc>
      </w:tr>
      <w:tr>
        <w:trPr>
          <w:trHeight w:val="199"/>
        </w:trPr>
        <w:tc>
          <w:tcPr>
            <w:tcW w:w="2740" w:type="dxa"/>
            <w:vAlign w:val="bottom"/>
          </w:tcPr>
          <w:p>
            <w:pPr>
              <w:spacing w:after="0"/>
              <w:rPr>
                <w:sz w:val="17"/>
                <w:szCs w:val="17"/>
                <w:color w:val="auto"/>
              </w:rPr>
            </w:pPr>
          </w:p>
        </w:tc>
        <w:tc>
          <w:tcPr>
            <w:tcW w:w="6380" w:type="dxa"/>
            <w:vAlign w:val="bottom"/>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7"/>
        </w:trPr>
        <w:tc>
          <w:tcPr>
            <w:tcW w:w="2740" w:type="dxa"/>
            <w:vAlign w:val="bottom"/>
          </w:tcPr>
          <w:p>
            <w:pPr>
              <w:jc w:val="center"/>
              <w:ind w:left="571"/>
              <w:spacing w:after="0"/>
              <w:rPr>
                <w:sz w:val="20"/>
                <w:szCs w:val="20"/>
                <w:color w:val="auto"/>
              </w:rPr>
            </w:pPr>
            <w:r>
              <w:rPr>
                <w:rFonts w:ascii="Arial" w:cs="Arial" w:eastAsia="Arial" w:hAnsi="Arial"/>
                <w:sz w:val="18"/>
                <w:szCs w:val="18"/>
                <w:color w:val="auto"/>
                <w:w w:val="91"/>
              </w:rPr>
              <w:t>12/06/13</w:t>
            </w:r>
          </w:p>
        </w:tc>
        <w:tc>
          <w:tcPr>
            <w:tcW w:w="6380" w:type="dxa"/>
            <w:vAlign w:val="bottom"/>
          </w:tcPr>
          <w:p>
            <w:pPr>
              <w:ind w:left="660"/>
              <w:spacing w:after="0"/>
              <w:rPr>
                <w:sz w:val="20"/>
                <w:szCs w:val="20"/>
                <w:color w:val="auto"/>
              </w:rPr>
            </w:pPr>
            <w:r>
              <w:rPr>
                <w:rFonts w:ascii="Arial" w:cs="Arial" w:eastAsia="Arial" w:hAnsi="Arial"/>
                <w:sz w:val="18"/>
                <w:szCs w:val="18"/>
                <w:color w:val="auto"/>
              </w:rPr>
              <w:t>date.</w:t>
            </w:r>
          </w:p>
        </w:tc>
      </w:tr>
      <w:tr>
        <w:trPr>
          <w:trHeight w:val="200"/>
        </w:trPr>
        <w:tc>
          <w:tcPr>
            <w:tcW w:w="2740" w:type="dxa"/>
            <w:vAlign w:val="bottom"/>
            <w:shd w:val="clear" w:color="auto" w:fill="CCEEFF"/>
          </w:tcPr>
          <w:p>
            <w:pPr>
              <w:spacing w:after="0"/>
              <w:rPr>
                <w:sz w:val="17"/>
                <w:szCs w:val="17"/>
                <w:color w:val="auto"/>
              </w:rPr>
            </w:pPr>
          </w:p>
        </w:tc>
        <w:tc>
          <w:tcPr>
            <w:tcW w:w="63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8"/>
        </w:trPr>
        <w:tc>
          <w:tcPr>
            <w:tcW w:w="274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1"/>
              </w:rPr>
              <w:t>07/02/14</w:t>
            </w:r>
          </w:p>
        </w:tc>
        <w:tc>
          <w:tcPr>
            <w:tcW w:w="6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date.</w:t>
            </w:r>
          </w:p>
        </w:tc>
      </w:tr>
      <w:tr>
        <w:trPr>
          <w:trHeight w:val="199"/>
        </w:trPr>
        <w:tc>
          <w:tcPr>
            <w:tcW w:w="2740" w:type="dxa"/>
            <w:vAlign w:val="bottom"/>
          </w:tcPr>
          <w:p>
            <w:pPr>
              <w:spacing w:after="0"/>
              <w:rPr>
                <w:sz w:val="17"/>
                <w:szCs w:val="17"/>
                <w:color w:val="auto"/>
              </w:rPr>
            </w:pPr>
          </w:p>
        </w:tc>
        <w:tc>
          <w:tcPr>
            <w:tcW w:w="6380" w:type="dxa"/>
            <w:vAlign w:val="bottom"/>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7"/>
        </w:trPr>
        <w:tc>
          <w:tcPr>
            <w:tcW w:w="2740" w:type="dxa"/>
            <w:vAlign w:val="bottom"/>
          </w:tcPr>
          <w:p>
            <w:pPr>
              <w:jc w:val="center"/>
              <w:ind w:left="571"/>
              <w:spacing w:after="0"/>
              <w:rPr>
                <w:sz w:val="20"/>
                <w:szCs w:val="20"/>
                <w:color w:val="auto"/>
              </w:rPr>
            </w:pPr>
            <w:r>
              <w:rPr>
                <w:rFonts w:ascii="Arial" w:cs="Arial" w:eastAsia="Arial" w:hAnsi="Arial"/>
                <w:sz w:val="18"/>
                <w:szCs w:val="18"/>
                <w:color w:val="auto"/>
                <w:w w:val="91"/>
              </w:rPr>
              <w:t>12/05/14</w:t>
            </w:r>
          </w:p>
        </w:tc>
        <w:tc>
          <w:tcPr>
            <w:tcW w:w="6380" w:type="dxa"/>
            <w:vAlign w:val="bottom"/>
          </w:tcPr>
          <w:p>
            <w:pPr>
              <w:ind w:left="660"/>
              <w:spacing w:after="0"/>
              <w:rPr>
                <w:sz w:val="20"/>
                <w:szCs w:val="20"/>
                <w:color w:val="auto"/>
              </w:rPr>
            </w:pPr>
            <w:r>
              <w:rPr>
                <w:rFonts w:ascii="Arial" w:cs="Arial" w:eastAsia="Arial" w:hAnsi="Arial"/>
                <w:sz w:val="18"/>
                <w:szCs w:val="18"/>
                <w:color w:val="auto"/>
              </w:rPr>
              <w:t>date.</w:t>
            </w:r>
          </w:p>
        </w:tc>
      </w:tr>
      <w:tr>
        <w:trPr>
          <w:trHeight w:val="200"/>
        </w:trPr>
        <w:tc>
          <w:tcPr>
            <w:tcW w:w="2740" w:type="dxa"/>
            <w:vAlign w:val="bottom"/>
            <w:shd w:val="clear" w:color="auto" w:fill="CCEEFF"/>
          </w:tcPr>
          <w:p>
            <w:pPr>
              <w:spacing w:after="0"/>
              <w:rPr>
                <w:sz w:val="17"/>
                <w:szCs w:val="17"/>
                <w:color w:val="auto"/>
              </w:rPr>
            </w:pPr>
          </w:p>
        </w:tc>
        <w:tc>
          <w:tcPr>
            <w:tcW w:w="63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8"/>
        </w:trPr>
        <w:tc>
          <w:tcPr>
            <w:tcW w:w="274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1"/>
              </w:rPr>
              <w:t>12/04/15</w:t>
            </w:r>
          </w:p>
        </w:tc>
        <w:tc>
          <w:tcPr>
            <w:tcW w:w="6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date.</w:t>
            </w:r>
          </w:p>
        </w:tc>
      </w:tr>
      <w:tr>
        <w:trPr>
          <w:trHeight w:val="199"/>
        </w:trPr>
        <w:tc>
          <w:tcPr>
            <w:tcW w:w="2740" w:type="dxa"/>
            <w:vAlign w:val="bottom"/>
          </w:tcPr>
          <w:p>
            <w:pPr>
              <w:spacing w:after="0"/>
              <w:rPr>
                <w:sz w:val="17"/>
                <w:szCs w:val="17"/>
                <w:color w:val="auto"/>
              </w:rPr>
            </w:pPr>
          </w:p>
        </w:tc>
        <w:tc>
          <w:tcPr>
            <w:tcW w:w="6380" w:type="dxa"/>
            <w:vAlign w:val="bottom"/>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7"/>
        </w:trPr>
        <w:tc>
          <w:tcPr>
            <w:tcW w:w="2740" w:type="dxa"/>
            <w:vAlign w:val="bottom"/>
          </w:tcPr>
          <w:p>
            <w:pPr>
              <w:jc w:val="center"/>
              <w:ind w:left="571"/>
              <w:spacing w:after="0"/>
              <w:rPr>
                <w:sz w:val="20"/>
                <w:szCs w:val="20"/>
                <w:color w:val="auto"/>
              </w:rPr>
            </w:pPr>
            <w:r>
              <w:rPr>
                <w:rFonts w:ascii="Arial" w:cs="Arial" w:eastAsia="Arial" w:hAnsi="Arial"/>
                <w:sz w:val="18"/>
                <w:szCs w:val="18"/>
                <w:color w:val="auto"/>
                <w:w w:val="91"/>
              </w:rPr>
              <w:t>12/02/16</w:t>
            </w:r>
          </w:p>
        </w:tc>
        <w:tc>
          <w:tcPr>
            <w:tcW w:w="6380" w:type="dxa"/>
            <w:vAlign w:val="bottom"/>
          </w:tcPr>
          <w:p>
            <w:pPr>
              <w:ind w:left="660"/>
              <w:spacing w:after="0"/>
              <w:rPr>
                <w:sz w:val="20"/>
                <w:szCs w:val="20"/>
                <w:color w:val="auto"/>
              </w:rPr>
            </w:pPr>
            <w:r>
              <w:rPr>
                <w:rFonts w:ascii="Arial" w:cs="Arial" w:eastAsia="Arial" w:hAnsi="Arial"/>
                <w:sz w:val="18"/>
                <w:szCs w:val="18"/>
                <w:color w:val="auto"/>
              </w:rPr>
              <w:t>date.</w:t>
            </w:r>
          </w:p>
        </w:tc>
      </w:tr>
      <w:tr>
        <w:trPr>
          <w:trHeight w:val="200"/>
        </w:trPr>
        <w:tc>
          <w:tcPr>
            <w:tcW w:w="2740" w:type="dxa"/>
            <w:vAlign w:val="bottom"/>
            <w:shd w:val="clear" w:color="auto" w:fill="CCEEFF"/>
          </w:tcPr>
          <w:p>
            <w:pPr>
              <w:spacing w:after="0"/>
              <w:rPr>
                <w:sz w:val="17"/>
                <w:szCs w:val="17"/>
                <w:color w:val="auto"/>
              </w:rPr>
            </w:pPr>
          </w:p>
        </w:tc>
        <w:tc>
          <w:tcPr>
            <w:tcW w:w="638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w w:val="93"/>
              </w:rPr>
              <w:t>These options vested 25% per quarter over a one year period after the grant</w:t>
            </w:r>
          </w:p>
        </w:tc>
      </w:tr>
      <w:tr>
        <w:trPr>
          <w:trHeight w:val="228"/>
        </w:trPr>
        <w:tc>
          <w:tcPr>
            <w:tcW w:w="274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1"/>
              </w:rPr>
              <w:t>12/01/17</w:t>
            </w:r>
          </w:p>
        </w:tc>
        <w:tc>
          <w:tcPr>
            <w:tcW w:w="6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date.</w:t>
            </w:r>
          </w:p>
        </w:tc>
      </w:tr>
      <w:tr>
        <w:trPr>
          <w:trHeight w:val="227"/>
        </w:trPr>
        <w:tc>
          <w:tcPr>
            <w:tcW w:w="2740" w:type="dxa"/>
            <w:vAlign w:val="bottom"/>
          </w:tcPr>
          <w:p>
            <w:pPr>
              <w:jc w:val="center"/>
              <w:ind w:left="571"/>
              <w:spacing w:after="0"/>
              <w:rPr>
                <w:sz w:val="20"/>
                <w:szCs w:val="20"/>
                <w:color w:val="auto"/>
              </w:rPr>
            </w:pPr>
            <w:r>
              <w:rPr>
                <w:rFonts w:ascii="Arial" w:cs="Arial" w:eastAsia="Arial" w:hAnsi="Arial"/>
                <w:sz w:val="18"/>
                <w:szCs w:val="18"/>
                <w:color w:val="auto"/>
                <w:w w:val="91"/>
              </w:rPr>
              <w:t>11/30/18</w:t>
            </w:r>
          </w:p>
        </w:tc>
        <w:tc>
          <w:tcPr>
            <w:tcW w:w="6380" w:type="dxa"/>
            <w:vAlign w:val="bottom"/>
          </w:tcPr>
          <w:p>
            <w:pPr>
              <w:ind w:left="660"/>
              <w:spacing w:after="0"/>
              <w:rPr>
                <w:sz w:val="20"/>
                <w:szCs w:val="20"/>
                <w:color w:val="auto"/>
              </w:rPr>
            </w:pPr>
            <w:r>
              <w:rPr>
                <w:rFonts w:ascii="Arial" w:cs="Arial" w:eastAsia="Arial" w:hAnsi="Arial"/>
                <w:sz w:val="18"/>
                <w:szCs w:val="18"/>
                <w:color w:val="auto"/>
                <w:w w:val="90"/>
              </w:rPr>
              <w:t>These options vest 25% per quarter over a one year period after the grant date.</w:t>
            </w: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sets forth all stock options exercised and value received upon exercise, and all stock awards vested and value realized upon vesting, by the Named Executive Officers during the year ended December 31,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8"/>
                <w:szCs w:val="18"/>
                <w:color w:val="auto"/>
              </w:rPr>
              <w:t>Option Awards</w:t>
            </w:r>
          </w:p>
        </w:tc>
        <w:tc>
          <w:tcPr>
            <w:tcW w:w="20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8"/>
                <w:szCs w:val="18"/>
                <w:color w:val="auto"/>
              </w:rPr>
              <w:t>Stock Awards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9"/>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20" w:type="dxa"/>
            <w:vAlign w:val="bottom"/>
          </w:tcPr>
          <w:p>
            <w:pPr>
              <w:jc w:val="center"/>
              <w:spacing w:after="0" w:line="200" w:lineRule="exact"/>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200" w:lineRule="exact"/>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Acquired on</w:t>
            </w:r>
          </w:p>
        </w:tc>
        <w:tc>
          <w:tcPr>
            <w:tcW w:w="1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Realized on</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Acquired on</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Realized on</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Vesting</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Vesting</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8"/>
        </w:trPr>
        <w:tc>
          <w:tcPr>
            <w:tcW w:w="4340" w:type="dxa"/>
            <w:vAlign w:val="bottom"/>
            <w:gridSpan w:val="4"/>
          </w:tcPr>
          <w:p>
            <w:pPr>
              <w:ind w:left="1140"/>
              <w:spacing w:after="0" w:line="188" w:lineRule="exact"/>
              <w:rPr>
                <w:sz w:val="20"/>
                <w:szCs w:val="20"/>
                <w:color w:val="auto"/>
              </w:rPr>
            </w:pPr>
            <w:r>
              <w:rPr>
                <w:rFonts w:ascii="Arial" w:cs="Arial" w:eastAsia="Arial" w:hAnsi="Arial"/>
                <w:sz w:val="18"/>
                <w:szCs w:val="18"/>
                <w:color w:val="auto"/>
              </w:rPr>
              <w:t>Name of Executive Officer</w:t>
            </w:r>
          </w:p>
        </w:tc>
        <w:tc>
          <w:tcPr>
            <w:tcW w:w="2580" w:type="dxa"/>
            <w:vAlign w:val="bottom"/>
            <w:gridSpan w:val="2"/>
          </w:tcPr>
          <w:p>
            <w:pPr>
              <w:jc w:val="right"/>
              <w:ind w:right="231"/>
              <w:spacing w:after="0" w:line="188"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1"/>
              <w:spacing w:after="0" w:line="188"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31"/>
              <w:spacing w:after="0" w:line="188"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left="51"/>
              <w:spacing w:after="0" w:line="188"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
        </w:trPr>
        <w:tc>
          <w:tcPr>
            <w:tcW w:w="1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Quist</w:t>
            </w:r>
          </w:p>
        </w:tc>
        <w:tc>
          <w:tcPr>
            <w:tcW w:w="1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Garrett S. Sill</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 Andrew Quist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20,102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87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jc w:val="right"/>
              <w:ind w:right="94"/>
              <w:spacing w:after="0"/>
              <w:rPr>
                <w:sz w:val="20"/>
                <w:szCs w:val="20"/>
                <w:color w:val="auto"/>
              </w:rPr>
            </w:pPr>
            <w:r>
              <w:rPr>
                <w:rFonts w:ascii="Arial" w:cs="Arial" w:eastAsia="Arial" w:hAnsi="Arial"/>
                <w:sz w:val="14"/>
                <w:szCs w:val="14"/>
                <w:color w:val="auto"/>
              </w:rPr>
              <w:t>111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present value as of December 31, 2018 of the benefit of the Named Executive Officers under the defined benefit pension plan.</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Present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0"/>
              </w:rPr>
              <w:t>Years</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Payments</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Credited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During Last</w:t>
            </w:r>
          </w:p>
        </w:tc>
        <w:tc>
          <w:tcPr>
            <w:tcW w:w="80" w:type="dxa"/>
            <w:vAlign w:val="bottom"/>
          </w:tcPr>
          <w:p>
            <w:pPr>
              <w:spacing w:after="0"/>
              <w:rPr>
                <w:sz w:val="18"/>
                <w:szCs w:val="18"/>
                <w:color w:val="auto"/>
              </w:rPr>
            </w:pPr>
          </w:p>
        </w:tc>
      </w:tr>
      <w:tr>
        <w:trPr>
          <w:trHeight w:val="214"/>
        </w:trPr>
        <w:tc>
          <w:tcPr>
            <w:tcW w:w="2700" w:type="dxa"/>
            <w:vAlign w:val="bottom"/>
            <w:gridSpan w:val="2"/>
          </w:tcPr>
          <w:p>
            <w:pPr>
              <w:spacing w:after="0"/>
              <w:rPr>
                <w:sz w:val="20"/>
                <w:szCs w:val="20"/>
                <w:color w:val="auto"/>
              </w:rPr>
            </w:pPr>
            <w:r>
              <w:rPr>
                <w:rFonts w:ascii="Arial" w:cs="Arial" w:eastAsia="Arial" w:hAnsi="Arial"/>
                <w:sz w:val="18"/>
                <w:szCs w:val="18"/>
                <w:color w:val="auto"/>
              </w:rPr>
              <w:t>Name of</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Service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Benefit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80" w:type="dxa"/>
            <w:vAlign w:val="bottom"/>
          </w:tcPr>
          <w:p>
            <w:pPr>
              <w:spacing w:after="0"/>
              <w:rPr>
                <w:sz w:val="18"/>
                <w:szCs w:val="18"/>
                <w:color w:val="auto"/>
              </w:rPr>
            </w:pPr>
          </w:p>
        </w:tc>
      </w:tr>
      <w:tr>
        <w:trPr>
          <w:trHeight w:val="235"/>
        </w:trPr>
        <w:tc>
          <w:tcPr>
            <w:tcW w:w="270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3160" w:type="dxa"/>
            <w:vAlign w:val="bottom"/>
          </w:tcPr>
          <w:p>
            <w:pPr>
              <w:jc w:val="center"/>
              <w:ind w:left="131"/>
              <w:spacing w:after="0"/>
              <w:rPr>
                <w:sz w:val="20"/>
                <w:szCs w:val="20"/>
                <w:color w:val="auto"/>
              </w:rPr>
            </w:pPr>
            <w:r>
              <w:rPr>
                <w:rFonts w:ascii="Arial" w:cs="Arial" w:eastAsia="Arial" w:hAnsi="Arial"/>
                <w:sz w:val="18"/>
                <w:szCs w:val="18"/>
                <w:color w:val="auto"/>
                <w:w w:val="87"/>
              </w:rPr>
              <w:t>Plan Name</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M. Quist</w:t>
            </w:r>
          </w:p>
        </w:tc>
        <w:tc>
          <w:tcPr>
            <w:tcW w:w="3160" w:type="dxa"/>
            <w:vAlign w:val="bottom"/>
            <w:tcBorders>
              <w:top w:val="single" w:sz="8" w:color="auto"/>
            </w:tcBorders>
            <w:shd w:val="clear" w:color="auto" w:fill="CCEEFF"/>
          </w:tcPr>
          <w:p>
            <w:pPr>
              <w:jc w:val="center"/>
              <w:ind w:left="131"/>
              <w:spacing w:after="0"/>
              <w:rPr>
                <w:sz w:val="20"/>
                <w:szCs w:val="20"/>
                <w:color w:val="auto"/>
              </w:rPr>
            </w:pPr>
            <w:r>
              <w:rPr>
                <w:rFonts w:ascii="Arial" w:cs="Arial" w:eastAsia="Arial" w:hAnsi="Arial"/>
                <w:sz w:val="18"/>
                <w:szCs w:val="18"/>
                <w:color w:val="auto"/>
                <w:w w:val="88"/>
              </w:rPr>
              <w:t>None</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Garrett S. Sill</w:t>
            </w:r>
          </w:p>
        </w:tc>
        <w:tc>
          <w:tcPr>
            <w:tcW w:w="3160" w:type="dxa"/>
            <w:vAlign w:val="bottom"/>
          </w:tcPr>
          <w:p>
            <w:pPr>
              <w:jc w:val="center"/>
              <w:ind w:left="131"/>
              <w:spacing w:after="0"/>
              <w:rPr>
                <w:sz w:val="20"/>
                <w:szCs w:val="20"/>
                <w:color w:val="auto"/>
              </w:rPr>
            </w:pPr>
            <w:r>
              <w:rPr>
                <w:rFonts w:ascii="Arial" w:cs="Arial" w:eastAsia="Arial" w:hAnsi="Arial"/>
                <w:sz w:val="18"/>
                <w:szCs w:val="18"/>
                <w:color w:val="auto"/>
                <w:w w:val="88"/>
              </w:rPr>
              <w:t>None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31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None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 Andrew Quist</w:t>
            </w:r>
          </w:p>
        </w:tc>
        <w:tc>
          <w:tcPr>
            <w:tcW w:w="3160" w:type="dxa"/>
            <w:vAlign w:val="bottom"/>
          </w:tcPr>
          <w:p>
            <w:pPr>
              <w:jc w:val="center"/>
              <w:ind w:left="131"/>
              <w:spacing w:after="0"/>
              <w:rPr>
                <w:sz w:val="20"/>
                <w:szCs w:val="20"/>
                <w:color w:val="auto"/>
              </w:rPr>
            </w:pPr>
            <w:r>
              <w:rPr>
                <w:rFonts w:ascii="Arial" w:cs="Arial" w:eastAsia="Arial" w:hAnsi="Arial"/>
                <w:sz w:val="18"/>
                <w:szCs w:val="18"/>
                <w:color w:val="auto"/>
                <w:w w:val="88"/>
              </w:rPr>
              <w:t>None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Jeffrey R.Stephens</w:t>
            </w:r>
          </w:p>
        </w:tc>
        <w:tc>
          <w:tcPr>
            <w:tcW w:w="316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8"/>
              </w:rPr>
              <w:t>None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sets forth certain information as of December 31, 2018 with respect to compensation plans (including individual compensation arrangements) under which the Company’s equity securities are authorized for issuance, aggregated as follows:</w:t>
      </w:r>
    </w:p>
    <w:p>
      <w:pPr>
        <w:spacing w:after="0" w:line="228" w:lineRule="exact"/>
        <w:rPr>
          <w:sz w:val="20"/>
          <w:szCs w:val="20"/>
          <w:color w:val="auto"/>
        </w:rPr>
      </w:pPr>
    </w:p>
    <w:p>
      <w:pPr>
        <w:ind w:left="600" w:hanging="313"/>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220" w:lineRule="exact"/>
        <w:rPr>
          <w:rFonts w:ascii="Arial" w:cs="Arial" w:eastAsia="Arial" w:hAnsi="Arial"/>
          <w:sz w:val="18"/>
          <w:szCs w:val="18"/>
          <w:color w:val="auto"/>
        </w:rPr>
      </w:pPr>
    </w:p>
    <w:p>
      <w:pPr>
        <w:ind w:left="600" w:hanging="313"/>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B</w:t>
            </w:r>
          </w:p>
        </w:tc>
        <w:tc>
          <w:tcPr>
            <w:tcW w:w="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Available for</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Future</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 to</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Issuance</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be Issued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under Equity</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upon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Compensation</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 of</w:t>
            </w: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Plans</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20" w:type="dxa"/>
            <w:vAlign w:val="bottom"/>
            <w:gridSpan w:val="3"/>
          </w:tcPr>
          <w:p>
            <w:pPr>
              <w:jc w:val="center"/>
              <w:ind w:left="291"/>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(Excluding</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Options,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Options,</w:t>
            </w:r>
          </w:p>
        </w:tc>
        <w:tc>
          <w:tcPr>
            <w:tcW w:w="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Warrants</w:t>
            </w:r>
          </w:p>
        </w:tc>
        <w:tc>
          <w:tcPr>
            <w:tcW w:w="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Reflected in</w:t>
            </w:r>
          </w:p>
        </w:tc>
      </w:tr>
      <w:tr>
        <w:trPr>
          <w:trHeight w:val="192"/>
        </w:trPr>
        <w:tc>
          <w:tcPr>
            <w:tcW w:w="4720" w:type="dxa"/>
            <w:vAlign w:val="bottom"/>
            <w:gridSpan w:val="3"/>
          </w:tcPr>
          <w:p>
            <w:pPr>
              <w:spacing w:after="0" w:line="192" w:lineRule="exact"/>
              <w:rPr>
                <w:sz w:val="20"/>
                <w:szCs w:val="20"/>
                <w:color w:val="auto"/>
              </w:rPr>
            </w:pPr>
            <w:r>
              <w:rPr>
                <w:rFonts w:ascii="Arial" w:cs="Arial" w:eastAsia="Arial" w:hAnsi="Arial"/>
                <w:sz w:val="18"/>
                <w:szCs w:val="18"/>
                <w:b w:val="1"/>
                <w:bCs w:val="1"/>
                <w:color w:val="auto"/>
              </w:rPr>
              <w:t>Plan Category</w:t>
            </w:r>
          </w:p>
        </w:tc>
        <w:tc>
          <w:tcPr>
            <w:tcW w:w="640" w:type="dxa"/>
            <w:vAlign w:val="bottom"/>
          </w:tcPr>
          <w:p>
            <w:pPr>
              <w:spacing w:after="0"/>
              <w:rPr>
                <w:sz w:val="16"/>
                <w:szCs w:val="16"/>
                <w:color w:val="auto"/>
              </w:rPr>
            </w:pPr>
          </w:p>
        </w:tc>
        <w:tc>
          <w:tcPr>
            <w:tcW w:w="1180" w:type="dxa"/>
            <w:vAlign w:val="bottom"/>
            <w:gridSpan w:val="2"/>
          </w:tcPr>
          <w:p>
            <w:pPr>
              <w:jc w:val="center"/>
              <w:ind w:right="260"/>
              <w:spacing w:after="0" w:line="192" w:lineRule="exact"/>
              <w:rPr>
                <w:sz w:val="20"/>
                <w:szCs w:val="20"/>
                <w:color w:val="auto"/>
              </w:rPr>
            </w:pPr>
            <w:r>
              <w:rPr>
                <w:rFonts w:ascii="Arial" w:cs="Arial" w:eastAsia="Arial" w:hAnsi="Arial"/>
                <w:sz w:val="18"/>
                <w:szCs w:val="18"/>
                <w:b w:val="1"/>
                <w:bCs w:val="1"/>
                <w:color w:val="auto"/>
                <w:w w:val="90"/>
              </w:rPr>
              <w:t>and Rights</w:t>
            </w:r>
          </w:p>
        </w:tc>
        <w:tc>
          <w:tcPr>
            <w:tcW w:w="60" w:type="dxa"/>
            <w:vAlign w:val="bottom"/>
          </w:tcPr>
          <w:p>
            <w:pPr>
              <w:spacing w:after="0"/>
              <w:rPr>
                <w:sz w:val="16"/>
                <w:szCs w:val="16"/>
                <w:color w:val="auto"/>
              </w:rPr>
            </w:pPr>
          </w:p>
        </w:tc>
        <w:tc>
          <w:tcPr>
            <w:tcW w:w="1180" w:type="dxa"/>
            <w:vAlign w:val="bottom"/>
            <w:gridSpan w:val="3"/>
          </w:tcPr>
          <w:p>
            <w:pPr>
              <w:jc w:val="center"/>
              <w:ind w:right="240"/>
              <w:spacing w:after="0" w:line="192" w:lineRule="exact"/>
              <w:rPr>
                <w:sz w:val="20"/>
                <w:szCs w:val="20"/>
                <w:color w:val="auto"/>
              </w:rPr>
            </w:pPr>
            <w:r>
              <w:rPr>
                <w:rFonts w:ascii="Arial" w:cs="Arial" w:eastAsia="Arial" w:hAnsi="Arial"/>
                <w:sz w:val="18"/>
                <w:szCs w:val="18"/>
                <w:b w:val="1"/>
                <w:bCs w:val="1"/>
                <w:color w:val="auto"/>
                <w:w w:val="88"/>
              </w:rPr>
              <w:t>and Rights</w:t>
            </w:r>
          </w:p>
        </w:tc>
        <w:tc>
          <w:tcPr>
            <w:tcW w:w="60" w:type="dxa"/>
            <w:vAlign w:val="bottom"/>
          </w:tcPr>
          <w:p>
            <w:pPr>
              <w:spacing w:after="0"/>
              <w:rPr>
                <w:sz w:val="16"/>
                <w:szCs w:val="16"/>
                <w:color w:val="auto"/>
              </w:rPr>
            </w:pPr>
          </w:p>
        </w:tc>
        <w:tc>
          <w:tcPr>
            <w:tcW w:w="1300" w:type="dxa"/>
            <w:vAlign w:val="bottom"/>
            <w:gridSpan w:val="2"/>
          </w:tcPr>
          <w:p>
            <w:pPr>
              <w:jc w:val="center"/>
              <w:ind w:right="220"/>
              <w:spacing w:after="0" w:line="192" w:lineRule="exact"/>
              <w:rPr>
                <w:sz w:val="20"/>
                <w:szCs w:val="20"/>
                <w:color w:val="auto"/>
              </w:rPr>
            </w:pPr>
            <w:r>
              <w:rPr>
                <w:rFonts w:ascii="Arial" w:cs="Arial" w:eastAsia="Arial" w:hAnsi="Arial"/>
                <w:sz w:val="18"/>
                <w:szCs w:val="18"/>
                <w:b w:val="1"/>
                <w:bCs w:val="1"/>
                <w:color w:val="auto"/>
                <w:w w:val="92"/>
              </w:rPr>
              <w:t>Column A)</w:t>
            </w:r>
          </w:p>
        </w:tc>
      </w:tr>
      <w:tr>
        <w:trPr>
          <w:trHeight w:val="27"/>
        </w:trPr>
        <w:tc>
          <w:tcPr>
            <w:tcW w:w="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3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 (1)</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1,588,554(2)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443,553(3)</w:t>
            </w:r>
          </w:p>
        </w:tc>
      </w:tr>
      <w:tr>
        <w:trPr>
          <w:trHeight w:val="215"/>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258" w:lineRule="exact"/>
        <w:rPr>
          <w:sz w:val="20"/>
          <w:szCs w:val="20"/>
          <w:color w:val="auto"/>
        </w:rPr>
      </w:pPr>
    </w:p>
    <w:p>
      <w:pPr>
        <w:jc w:val="both"/>
        <w:ind w:left="700" w:hanging="693"/>
        <w:spacing w:after="0" w:line="285"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reflects the 2013 Stock Option Plan (the "2013 Plan") and the 2014 Director Stock Option Plan (the "2014 Director Plan"). The 2013 Plan was approved by the stockholders at the annual stockholders meeting held on July 12, 2013, which reserved 450,000 shares of Class A common stock of which 150,000 shares of Class A common stock could be issued in place of up to 150,000 shares of Class C common stock for issuance thereunder. The 2014 Director Plan was approved by stockholders at the annual stockholders meeting held on July 2, 2014, which reserved 150,000 shares of Class A common stock for issuance thereunder. The 2013 Plan was amended by the stockholders at the annual stockholders meeting held on July 1, 2015 to authorize an additional 450,000 shares of Class A common stock to be available for issuance under the Plan, of which up to 200,000 Class A common shares may be issued as up to 200,000 shares of Class C common stock. The 2013 Plan was further amended by the stockholders at the annual stockholders meeting held on June 29, 2017 to authorize an additional 500,000 shares of Class A common stock to be available for issuance under the Plan, of which up to 250,000 Class A common shares may be issued in place of up to 250,000 shares of Class C common stock.</w:t>
      </w:r>
    </w:p>
    <w:p>
      <w:pPr>
        <w:spacing w:after="0" w:line="169" w:lineRule="exact"/>
        <w:rPr>
          <w:rFonts w:ascii="Arial" w:cs="Arial" w:eastAsia="Arial" w:hAnsi="Arial"/>
          <w:sz w:val="16"/>
          <w:szCs w:val="16"/>
          <w:color w:val="auto"/>
        </w:rPr>
      </w:pPr>
    </w:p>
    <w:p>
      <w:pPr>
        <w:ind w:left="700" w:hanging="693"/>
        <w:spacing w:after="0"/>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weighted average exercise prices reflect solely the shares of Class A common stock that will be issued upon exercise of outstanding options.</w:t>
      </w:r>
    </w:p>
    <w:p>
      <w:pPr>
        <w:spacing w:after="0" w:line="243" w:lineRule="exact"/>
        <w:rPr>
          <w:rFonts w:ascii="Arial" w:cs="Arial" w:eastAsia="Arial" w:hAnsi="Arial"/>
          <w:sz w:val="16"/>
          <w:szCs w:val="16"/>
          <w:color w:val="auto"/>
        </w:rPr>
      </w:pPr>
    </w:p>
    <w:p>
      <w:pPr>
        <w:ind w:left="700" w:hanging="693"/>
        <w:spacing w:after="0" w:line="270"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number includes 396,782 shares of Class A common stock available for future issuance under the 2013 Plan, and 46,771 shares of Class A common stock available for future issuance under the 2014 Director Plan.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Employment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Scott M. Quist</w:t>
      </w:r>
    </w:p>
    <w:p>
      <w:pPr>
        <w:spacing w:after="0" w:line="27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December 4, 2012, the Company entered into an employment agreement with Scott M. Quist, Chairman of the Board, President and Chief Executive Officer of the Company. The agreement was for a six-year term beginning on December 4, 2012 and ending on December 4, 2018. Under the terms of the Agreement, the Board of Directors may, in its sole discretion, extend the term of the agreement for an additional four-year term provided that Mr. Quist has continued to perform his duties with usual and customary care, diligence and prudence commensurate with his position with the Company. In addition, Mr. Quist is required to perform such additional duties as may be assigned to him from time to time by the Company’s Board of Directors.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December 4, 2018, the Board members approved a motion to extend Mr. Quist’s employment agreement for an additional four-year term ending December 2022. Mr. Quist abstained from voting on the motion to extend his employment agreement for the additional four-year term. Under the terms of the agreement, Mr. Quist is to devote his full time to the Company, serving as Chairman of the Board, President and Chief Executive Officer at not less than his current salary and benefits. The Company also agrees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event of a sale or merger of the Company and Mr. Quist is not retained in his current position, the Company would be obligated to continue paying Mr. Quist’s current compensation and benefits for seven years following the merger or sale. The employment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$660,000 and $755,302 during the years ended December 31, 2018 and 2017, respectively, to cover the present value of anticipated retirement benefits under the employment agreement. The liability accrued was $5,191,670 and $4,531,670 as of December 31, 2018 and 2017,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Directors of the Company (but not including directors who are employees) are currently paid a director’s fee of $21,600 per year by the Company for their services and are reimbursed for their expenses in attending board and committee meetings. An additional fee of $750 is paid to each audit committee member for each audit committee meeting attended. Each director is provided with an annual grant of stock options to purchase 1,000 shares of Class A common stock, which occurred under the 2000 Director Stock Option Plan for years 2000 to 2005, under the 2006 Director Stock Option Plan and under the 2014 Director Plan for years 2006 to 2018. During 2018 each director was granted additional stock options to purchase 1,000 shares of Class A common stock.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of the Company’s non-employee directors for fiscal 2018.</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Change in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Pension Value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89"/>
              </w:rPr>
              <w:t>Fees Earned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Non-Equity</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Nonqualified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89"/>
              </w:rPr>
              <w:t>or Paid in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Incentive Plan</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60" w:type="dxa"/>
            <w:vAlign w:val="bottom"/>
          </w:tcPr>
          <w:p>
            <w:pPr>
              <w:spacing w:after="0"/>
              <w:rPr>
                <w:sz w:val="18"/>
                <w:szCs w:val="18"/>
                <w:color w:val="auto"/>
              </w:rPr>
            </w:pPr>
          </w:p>
        </w:tc>
        <w:tc>
          <w:tcPr>
            <w:tcW w:w="1360" w:type="dxa"/>
            <w:vAlign w:val="bottom"/>
            <w:gridSpan w:val="3"/>
          </w:tcPr>
          <w:p>
            <w:pPr>
              <w:jc w:val="right"/>
              <w:ind w:right="448"/>
              <w:spacing w:after="0"/>
              <w:rPr>
                <w:sz w:val="20"/>
                <w:szCs w:val="20"/>
                <w:color w:val="auto"/>
              </w:rPr>
            </w:pPr>
            <w:r>
              <w:rPr>
                <w:rFonts w:ascii="Arial" w:cs="Arial" w:eastAsia="Arial" w:hAnsi="Arial"/>
                <w:sz w:val="18"/>
                <w:szCs w:val="18"/>
                <w:color w:val="auto"/>
              </w:rPr>
              <w:t>All Other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85"/>
              </w:rPr>
              <w:t>Cash</w:t>
            </w:r>
          </w:p>
        </w:tc>
        <w:tc>
          <w:tcPr>
            <w:tcW w:w="16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w w:val="97"/>
              </w:rPr>
              <w:t>Option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99"/>
              </w:rPr>
              <w:t>Compensation</w:t>
            </w:r>
          </w:p>
        </w:tc>
        <w:tc>
          <w:tcPr>
            <w:tcW w:w="118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Compensation</w:t>
            </w:r>
          </w:p>
        </w:tc>
        <w:tc>
          <w:tcPr>
            <w:tcW w:w="1520" w:type="dxa"/>
            <w:vAlign w:val="bottom"/>
            <w:gridSpan w:val="4"/>
          </w:tcPr>
          <w:p>
            <w:pPr>
              <w:jc w:val="right"/>
              <w:ind w:right="268"/>
              <w:spacing w:after="0"/>
              <w:rPr>
                <w:sz w:val="20"/>
                <w:szCs w:val="20"/>
                <w:color w:val="auto"/>
              </w:rPr>
            </w:pPr>
            <w:r>
              <w:rPr>
                <w:rFonts w:ascii="Arial" w:cs="Arial" w:eastAsia="Arial" w:hAnsi="Arial"/>
                <w:sz w:val="18"/>
                <w:szCs w:val="18"/>
                <w:color w:val="auto"/>
                <w:w w:val="99"/>
              </w:rPr>
              <w:t>Compensation</w:t>
            </w:r>
          </w:p>
        </w:tc>
        <w:tc>
          <w:tcPr>
            <w:tcW w:w="720" w:type="dxa"/>
            <w:vAlign w:val="bottom"/>
          </w:tcPr>
          <w:p>
            <w:pPr>
              <w:jc w:val="right"/>
              <w:ind w:right="171"/>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5"/>
        </w:trPr>
        <w:tc>
          <w:tcPr>
            <w:tcW w:w="2540" w:type="dxa"/>
            <w:vAlign w:val="bottom"/>
            <w:gridSpan w:val="2"/>
          </w:tcPr>
          <w:p>
            <w:pPr>
              <w:ind w:left="1140"/>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90"/>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 xml:space="preserve">Awards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1"/>
              </w:rPr>
              <w:t xml:space="preserve">Awards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12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2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4"/>
        </w:trPr>
        <w:tc>
          <w:tcPr>
            <w:tcW w:w="11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John L. Cook (1)</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99"/>
        </w:trPr>
        <w:tc>
          <w:tcPr>
            <w:tcW w:w="116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Gilbert A. Fuller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7"/>
        </w:trPr>
        <w:tc>
          <w:tcPr>
            <w:tcW w:w="2540" w:type="dxa"/>
            <w:vAlign w:val="bottom"/>
            <w:gridSpan w:val="2"/>
          </w:tcPr>
          <w:p>
            <w:pPr>
              <w:jc w:val="right"/>
              <w:ind w:right="109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31,554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1"/>
        </w:trPr>
        <w:tc>
          <w:tcPr>
            <w:tcW w:w="116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Robert G. Hunter,</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M.D. (3)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199"/>
        </w:trPr>
        <w:tc>
          <w:tcPr>
            <w:tcW w:w="116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H. Craig Moody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7"/>
        </w:trPr>
        <w:tc>
          <w:tcPr>
            <w:tcW w:w="2540" w:type="dxa"/>
            <w:vAlign w:val="bottom"/>
            <w:gridSpan w:val="2"/>
          </w:tcPr>
          <w:p>
            <w:pPr>
              <w:jc w:val="right"/>
              <w:ind w:right="109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31,554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1"/>
        </w:trPr>
        <w:tc>
          <w:tcPr>
            <w:tcW w:w="116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Norman G. Wilbur</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138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w w:val="81"/>
              </w:rPr>
              <w:t>(5)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603"/>
        </w:trPr>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gridSpan w:val="2"/>
          </w:tcPr>
          <w:p>
            <w:pPr>
              <w:jc w:val="right"/>
              <w:ind w:right="871"/>
              <w:spacing w:after="0"/>
              <w:rPr>
                <w:sz w:val="20"/>
                <w:szCs w:val="20"/>
                <w:color w:val="auto"/>
              </w:rPr>
            </w:pPr>
            <w:r>
              <w:rPr>
                <w:rFonts w:ascii="Arial" w:cs="Arial" w:eastAsia="Arial" w:hAnsi="Arial"/>
                <w:sz w:val="14"/>
                <w:szCs w:val="14"/>
                <w:color w:val="auto"/>
                <w:w w:val="94"/>
              </w:rPr>
              <w:t>113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___________________</w:t>
      </w:r>
    </w:p>
    <w:p>
      <w:pPr>
        <w:spacing w:after="0" w:line="278" w:lineRule="exact"/>
        <w:rPr>
          <w:sz w:val="20"/>
          <w:szCs w:val="20"/>
          <w:color w:val="auto"/>
        </w:rPr>
      </w:pPr>
    </w:p>
    <w:p>
      <w:pPr>
        <w:ind w:left="700" w:hanging="693"/>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Cook has options to purchase 37,132 shares of the Company’s Class A common stock.</w:t>
      </w:r>
    </w:p>
    <w:p>
      <w:pPr>
        <w:spacing w:after="0" w:line="19" w:lineRule="exact"/>
        <w:rPr>
          <w:rFonts w:ascii="Arial" w:cs="Arial" w:eastAsia="Arial" w:hAnsi="Arial"/>
          <w:sz w:val="18"/>
          <w:szCs w:val="18"/>
          <w:color w:val="auto"/>
        </w:rPr>
      </w:pPr>
    </w:p>
    <w:p>
      <w:pPr>
        <w:ind w:left="700" w:hanging="693"/>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Fuller has options to purchase 38,540 shares of the Company’s Class A common stock.</w:t>
      </w:r>
    </w:p>
    <w:p>
      <w:pPr>
        <w:spacing w:after="0" w:line="6" w:lineRule="exact"/>
        <w:rPr>
          <w:rFonts w:ascii="Arial" w:cs="Arial" w:eastAsia="Arial" w:hAnsi="Arial"/>
          <w:sz w:val="18"/>
          <w:szCs w:val="18"/>
          <w:color w:val="auto"/>
        </w:rPr>
      </w:pPr>
    </w:p>
    <w:p>
      <w:pPr>
        <w:ind w:left="700" w:hanging="693"/>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 Hunter has options to purchase 73,526 shares of the Company’s Class A common stock.</w:t>
      </w:r>
    </w:p>
    <w:p>
      <w:pPr>
        <w:spacing w:after="0" w:line="6" w:lineRule="exact"/>
        <w:rPr>
          <w:rFonts w:ascii="Arial" w:cs="Arial" w:eastAsia="Arial" w:hAnsi="Arial"/>
          <w:sz w:val="18"/>
          <w:szCs w:val="18"/>
          <w:color w:val="auto"/>
        </w:rPr>
      </w:pPr>
    </w:p>
    <w:p>
      <w:pPr>
        <w:ind w:left="700" w:hanging="693"/>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Moody has options to purchase 73,526 shares of the Company’s Class A common stock.</w:t>
      </w:r>
    </w:p>
    <w:p>
      <w:pPr>
        <w:spacing w:after="0" w:line="6" w:lineRule="exact"/>
        <w:rPr>
          <w:rFonts w:ascii="Arial" w:cs="Arial" w:eastAsia="Arial" w:hAnsi="Arial"/>
          <w:sz w:val="18"/>
          <w:szCs w:val="18"/>
          <w:color w:val="auto"/>
        </w:rPr>
      </w:pPr>
    </w:p>
    <w:p>
      <w:pPr>
        <w:ind w:left="700" w:hanging="693"/>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Wilbur has options to purchase 30,711 shares of the Company’s Class A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Retirement Savings Plan</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1995, the Company’s Board of Directors adopted a 401(k) Retirement Savings Plan. Under the terms of the 401(k) plan, effective as of January 1, 1995, the Company made discretionary employer matching contributions to its employees who choose to participate in the plan. The plan allowed the board to determine the amount of the contribution at the end of each year. During the period from January 1, 1995 to December 31, 2007 the Board had adopted a contribution formula specifying that such discretionary employer matching contributions would equal 50% of the participating employee’s contribution to the plan to purchase the Company’s stock up to a maximum discretionary employee contribution of 1/2 of 1% of participating employees’ compensation, as defined by the plan.</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persons who have completed at least one year’s service with the Company and satisfy other plan requirements are eligible to participate in the 401(k) plan. All Company matching contributions are invested in the Company’s Class A common stock. Also, the Company may contribute at the discretion of the Company’s Board of Directors an Employer Profit Sharing Contribution to the 401(k) plan. The Employer Profit Sharing Contribution is to be divided among three different classes of participants in the plan based upon the participant’s title in the Company. All amounts contributed to the plan are deposited into a trust fund administered by an independent trustee.</w:t>
      </w:r>
    </w:p>
    <w:p>
      <w:pPr>
        <w:spacing w:after="0" w:line="2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Beginning January 1, 2008, the Company elected to be a “Safe Harbor” Plan for its matching 401(k) contributions. The Company will match 100% of up to 3% of an employee’s total annual compensation and 50% of 4% to 5% of an employee’s annual compensation. The match is in shares of the Company’s Class A common stock. The Company’s contribution for 2018 and 2017 was $1,480,913 and $1,534,861 respectively, under the “Safe Harbor”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7, 2018, the Board approved the Security National Financial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 (ESOP)</w:t>
      </w:r>
    </w:p>
    <w:p>
      <w:pPr>
        <w:spacing w:after="0" w:line="27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Effective January 1, 1980, the Company adopted an employee stock ownership plan (the “ESOP Plan”) for the benefit of career employees of the Company and its subsidiaries. Under the ESOP Plan, the Company has discretionary power to make contributions on behalf of all eligible employees into a trust created under the ESOP Plan. Employees become eligible to participate in the ESOP Plan when they have attained the age of 19 and have completed one year of service (a twelve</w:t>
      </w:r>
      <w:r>
        <w:rPr>
          <w:rFonts w:ascii="MS PGothic" w:cs="MS PGothic" w:eastAsia="MS PGothic" w:hAnsi="MS PGothic"/>
          <w:sz w:val="18"/>
          <w:szCs w:val="18"/>
          <w:color w:val="auto"/>
        </w:rPr>
        <w:t>‑</w:t>
      </w:r>
      <w:r>
        <w:rPr>
          <w:rFonts w:ascii="Arial" w:cs="Arial" w:eastAsia="Arial" w:hAnsi="Arial"/>
          <w:sz w:val="18"/>
          <w:szCs w:val="18"/>
          <w:color w:val="auto"/>
        </w:rPr>
        <w:t>month period in which the Employee completes at least 1,040 hours of service).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contributions under the ESOP Plan are allocated to eligible employees on the same ratio that each eligible employee’s compensation bears to total compensation for all eligible employees during each year. To date, the ESOP Plan has approximately 287 participants and had $-0- contributions payable to the Plan in 2018. Benefits under the ESOP Plan vest as follows: 20% after the second year of eligible service by an employee, an additional 20% in the third, fourth, fifth and sixth years of eligible service by an employee.</w:t>
      </w:r>
    </w:p>
    <w:p>
      <w:pPr>
        <w:spacing w:after="0" w:line="2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Benefits under the ESOP Plan will be paid out in one lump sum or in installments in the event the employee becomes disabled, reaches the age of 65, or is terminated by the Company and demonstrates financial hardship. The ESOP Plan Committee, however, retains discretion to determine the final method of payment. Finally, the Company reserves the right to amend or terminate the ESOP Plan at any time. The trustees of the trust fund under the ESOP Plan are Scott M. Quist (Chairman), S. Andrew Quist, and Robert G. Hunter, who each serve as a director of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2001, the Company’s Board of Directors adopted a Non-Qualified Deferred Compensation Plan, and this plan was amended in 2005.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2018 and 2017. The investment committees of the Company’s Non-Qualified Deferred Compensation Plan consists of Scott M. Quist, Stephen C. Johnson, and Garrett S. Sill.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table sets forth contributions to the non-qualified deferred compensation account of the Named Executive Officers in fiscal 2018 and the aggregate balance of deferred compensation of the Named Executive Officers at December 31, 2018.</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Registrant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16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8"/>
              </w:rPr>
              <w:t>Aggregate</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Aggregate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Contributions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Earnings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Withdrawals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31"/>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In Last FY</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In Last FY</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in last FY</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at last FYE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80" w:type="dxa"/>
            <w:vAlign w:val="bottom"/>
            <w:gridSpan w:val="3"/>
          </w:tcPr>
          <w:p>
            <w:pPr>
              <w:spacing w:after="0" w:line="188" w:lineRule="exact"/>
              <w:rPr>
                <w:sz w:val="20"/>
                <w:szCs w:val="20"/>
                <w:color w:val="auto"/>
              </w:rPr>
            </w:pPr>
            <w:r>
              <w:rPr>
                <w:rFonts w:ascii="Arial" w:cs="Arial" w:eastAsia="Arial" w:hAnsi="Arial"/>
                <w:sz w:val="18"/>
                <w:szCs w:val="18"/>
                <w:color w:val="auto"/>
              </w:rPr>
              <w:t>Name</w:t>
            </w:r>
          </w:p>
        </w:tc>
        <w:tc>
          <w:tcPr>
            <w:tcW w:w="2140" w:type="dxa"/>
            <w:vAlign w:val="bottom"/>
            <w:gridSpan w:val="2"/>
          </w:tcPr>
          <w:p>
            <w:pPr>
              <w:jc w:val="center"/>
              <w:ind w:left="1051"/>
              <w:spacing w:after="0" w:line="188" w:lineRule="exact"/>
              <w:rPr>
                <w:sz w:val="20"/>
                <w:szCs w:val="20"/>
                <w:color w:val="auto"/>
              </w:rPr>
            </w:pPr>
            <w:r>
              <w:rPr>
                <w:rFonts w:ascii="Arial" w:cs="Arial" w:eastAsia="Arial" w:hAnsi="Arial"/>
                <w:sz w:val="18"/>
                <w:szCs w:val="18"/>
                <w:color w:val="auto"/>
                <w:w w:val="90"/>
              </w:rPr>
              <w:t>($)</w:t>
            </w:r>
          </w:p>
        </w:tc>
        <w:tc>
          <w:tcPr>
            <w:tcW w:w="1120" w:type="dxa"/>
            <w:vAlign w:val="bottom"/>
            <w:gridSpan w:val="2"/>
          </w:tcPr>
          <w:p>
            <w:pPr>
              <w:jc w:val="center"/>
              <w:ind w:left="71"/>
              <w:spacing w:after="0" w:line="188" w:lineRule="exact"/>
              <w:rPr>
                <w:sz w:val="20"/>
                <w:szCs w:val="20"/>
                <w:color w:val="auto"/>
              </w:rPr>
            </w:pPr>
            <w:r>
              <w:rPr>
                <w:rFonts w:ascii="Arial" w:cs="Arial" w:eastAsia="Arial" w:hAnsi="Arial"/>
                <w:sz w:val="18"/>
                <w:szCs w:val="18"/>
                <w:color w:val="auto"/>
                <w:w w:val="90"/>
              </w:rPr>
              <w:t>($)</w:t>
            </w:r>
          </w:p>
        </w:tc>
        <w:tc>
          <w:tcPr>
            <w:tcW w:w="1060" w:type="dxa"/>
            <w:vAlign w:val="bottom"/>
            <w:gridSpan w:val="2"/>
          </w:tcPr>
          <w:p>
            <w:pPr>
              <w:jc w:val="center"/>
              <w:ind w:left="71"/>
              <w:spacing w:after="0" w:line="188"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91"/>
              <w:spacing w:after="0" w:line="188"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1"/>
              <w:spacing w:after="0" w:line="188" w:lineRule="exact"/>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Quist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Garrett S. Sill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Johnson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 Andrew Quist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 Stephens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Amended Stock Option Plan</w:t>
      </w: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24, 2013, the Company adopted the Security National Financial Corporation 2013 Stock Option Plan (the “2013 Plan”), which reserved 450,000 shares of Class A common stock to be made available for issuance thereunder, of which up to 150,000 shares of Class C common stock could be issued in place of up to 150,000 shares of Class A common stock. The 2013 Plan provides for the grant of options and the award or sale of stock to officers, directors, and employees of the Company. Both “incentive stock options”, as defined under Section 422A of the Internal Revenue Code of 1986 and “non-qualified options” may be granted under the 2013 Plan.</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2015, the stockholders approved an amendment to the 2013 Plan to authorize an additional 450,000 shares of Class A common stock under the Plan, of which up to 200,000 Class C common stock may be issued in place of up to 200,000 shares of Class A common stock. On June 29, 2017, the stockholders approved an amendment to the 2013 Plan to authorize an additional 500,000 shares of Class A common stock under the Plan, of which up to 250,000 Class C common stock may be issued in place of up to 250,000 shares of Class A common stock.</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2013 Plan is to be administered by the Board of Directors or by a committee designated by the Board. The terms of options granted or stock awards or sales affected under the 2013 Plan are to be determined by the Board of Directors or its committee. No options may be exercised for a term of more than ten years from the date of the grant. Options intended as incentive stock options may be issued only to employees, and must meet certain conditions imposed by the Internal Revenue Code, including a requirement that the option exercise price be no less than the fair market value of the option shares on the date of grant. The 2013 Plan provides that the exercise price for non-qualified options will not be less than at least 50% of the fair market value of the stock subject to such option as of the date of grant of such options, as determined by the Company’s Board of Directors.</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2013 Plan also provides that if the shares of common stock shall be subdivided or combined into a greater or smaller number of shares or if the Company shall issue any shares of common stock as a stock dividend on its outstanding common stock, the number of shares of common stock deliverable upon the exercise of options shall be increased or decreased proportionately, an appropriate adjustments shall be made in the purchase prices to reflect such subdivision, combination or stock dividend. In addition, the number of shares of common stock reserved for purposes of the plan shall be adjusted by the same proportion. No options may be exercised for a term of more than ten years from the date of grant.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21" w:name="page122"/>
    <w:bookmarkEnd w:id="121"/>
    <w:p>
      <w:pPr>
        <w:jc w:val="both"/>
        <w:spacing w:after="0" w:line="269" w:lineRule="auto"/>
        <w:rPr>
          <w:sz w:val="20"/>
          <w:szCs w:val="20"/>
          <w:color w:val="auto"/>
        </w:rPr>
      </w:pPr>
      <w:r>
        <w:rPr>
          <w:rFonts w:ascii="Arial" w:cs="Arial" w:eastAsia="Arial" w:hAnsi="Arial"/>
          <w:sz w:val="17"/>
          <w:szCs w:val="17"/>
          <w:color w:val="auto"/>
        </w:rPr>
        <w:t>On December 4, 2015, the Board of Directors approved a resolution to amend the Company’s 2013 Stock Option Plan to include additional equity incentive awards. These additional incentive awards in the plan consist of Stock Appreciation Rights (SARs), Restricted Stock Units (RSUs) and Performance Share Awards. Stock Appreciation Rights are awards that entitle the recipient to receive cash or stock equal to the excess of the Company’s stock price on the date the SAR is exercised. Restricted Stock Units entitle the recipient to receive RSUs that require the Company on the distribution dates to transfer to the recipient one unrestricted, fully transferable share of stock for each RSU scheduled to be paid out on that date. Performance Share Awards entitle the recipient to receive stock based on the Company meeting certain performance goals.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2013 Plan has a term of ten years. The Board of Directors may amend or terminate the 2013 Plan at any time, from time to time, subject to approval of certain modifications to the 2013 Plan by the stockholders of the Company as may be required by law or the 2013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Stock Option Plan</w:t>
      </w: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16, 2014, the Company adopted the 2014 Director Stock Option Plan (the “2014 Director Plan”). The 2014 Director Plan provides for the grant by the Company of options to purchase up to an aggregate of 150,000 shares of Class A common stock for issuance there under. The 2014 Director Plan provides that each member of the Company’s Board of Directors who is not an employee or paid consultant of the Company is automatically eligible to receive options to purchase the Company’s Class A common stock under the plan. The 2014 Director Plan replaces the Company’s 2006 Director Plan, which was terminated on July 2, 2014.</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the 2014 Director Plan provides that beginning on December 7, 2014, and on each anniversary date thereof during the term plan, each outside director shall automatically receive an option to purchase 1,000 shares of Class A common stock. Also, each new outside director who joins the Board after the effective date shall be granted an option to purchase 1,000 shares of Class A common stock upon the date which such person first becomes an outside director and an annual grant of an option to purchase 1,000 shares of Class A common stock on each anniversary date thereof during the term of the 2014 Director Plan. The options granted to outside directors shall vest in four equal quarterly installments over a one year period from the date of grant, until such shares are fully vested. The primary purposes of the 2014 Director Plan are to enhance the Company’s ability to attract and retain well-qualified persons for service as directors and to provide incentives to such directors to continue their association with the Company.</w:t>
      </w: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of a merger of the Company with or into another company, or a consolidation, acquisition of stock or assets or other change in control transaction involving the Company, each option granted under the 2014 Director Plan becomes exercisable in full, unless such option is assumed by the successor corporation. In the event the transaction is not approved by a majority of the “Continuing Directors” (as defined in the 2014 Director Plan), each option becomes fully vested and exercisable in full immediately prior to the consummation of such transaction, whether or not assumed by the successor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Plan</w:t>
      </w: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11, 2015, the Board approved the Security National Financial Corporation Stock Purchase Plan for the mutual benefit of the Company and its stockholders. Under the terms of the Plan, the Company has the option to purchase shares of Class A common stock from its officers and directors who exercise the stock options granted to them under any of the Company’s stock option plans with the proceeds from such purchase to be used to pay the taxes owed by such officers and directors as a result of the exercise of their stock options. Additionally, the officers and directors who exercise their stock options may, in their discretion, request that the Company purchase shares of their Class A common stock with the proceeds from such sale to be used to pay the taxes owed by such officers and directors as a result of the exercise of their stock options.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authorized under the plan to purchase no more than 60,000 shares of Class A common stock in any calendar year to pay the taxes owed by the officers and directors who exercise their stock options under the Stock Purchase Plan. The Company’s purchase price for the Class A common stock under the Stock Purchase Plan shall be equal to the closing sales price of the Company’s Class A common stock as reported by The Nasdaq National Market on the day that the applicable stock options are exercised by such officers and directors. The Company may only purchase shares of Class A common stock from the officers and directors exercising their stock options under the Stock Purchase Plan during the “Trading Window” as defined in the Company’s Insider Trading Policy and Guidelines.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Securities Exchange Act of 1934, as amended, requires the Company’s executive officers, directors and persons who own more than 10% of a registered class of the Company’s equity securities to file reports of ownership and periodic changes in ownership of the Company’s Class A and Class C common stock with the Securities and Exchange Commission. Such persons are also required to furnish the Company with copies of all Section 16(a) reports they file.</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solely on its review of the copies of stock reports received by the Company with respect to fiscal 2018, or written representations from certain reporting persons, the Company believes that its directors, executive officers and greater than 10% beneficial owners complied with all Section 16(a) filing requirements applicable to them, except that each of the executive officers and directors, through an oversight, filed one late Form 4 report disclosing the granting of stock options on November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security ownership information of the Company’s Class A and Class C common stock as of March 31, 2019, (i) for persons who own beneficially more than 5% of the Company’s outstanding Class A or Class C common stock, (ii) for each director of the Company, and (iii) for all executive officers and directors of the Company as a group.</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Class A and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8"/>
                <w:szCs w:val="18"/>
                <w:color w:val="auto"/>
              </w:rPr>
              <w:t>Class A</w:t>
            </w:r>
          </w:p>
        </w:tc>
        <w:tc>
          <w:tcPr>
            <w:tcW w:w="2200" w:type="dxa"/>
            <w:vAlign w:val="bottom"/>
            <w:gridSpan w:val="4"/>
          </w:tcPr>
          <w:p>
            <w:pPr>
              <w:jc w:val="right"/>
              <w:ind w:right="940"/>
              <w:spacing w:after="0"/>
              <w:rPr>
                <w:sz w:val="20"/>
                <w:szCs w:val="20"/>
                <w:color w:val="auto"/>
              </w:rPr>
            </w:pPr>
            <w:r>
              <w:rPr>
                <w:rFonts w:ascii="Arial" w:cs="Arial" w:eastAsia="Arial" w:hAnsi="Arial"/>
                <w:sz w:val="18"/>
                <w:szCs w:val="18"/>
                <w:color w:val="auto"/>
              </w:rPr>
              <w:t>Class C</w:t>
            </w:r>
          </w:p>
        </w:tc>
        <w:tc>
          <w:tcPr>
            <w:tcW w:w="2100" w:type="dxa"/>
            <w:vAlign w:val="bottom"/>
            <w:gridSpan w:val="4"/>
          </w:tcPr>
          <w:p>
            <w:pPr>
              <w:jc w:val="center"/>
              <w:ind w:right="160"/>
              <w:spacing w:after="0"/>
              <w:rPr>
                <w:sz w:val="20"/>
                <w:szCs w:val="20"/>
                <w:color w:val="auto"/>
              </w:rPr>
            </w:pPr>
            <w:r>
              <w:rPr>
                <w:rFonts w:ascii="Arial" w:cs="Arial" w:eastAsia="Arial" w:hAnsi="Arial"/>
                <w:sz w:val="18"/>
                <w:szCs w:val="18"/>
                <w:color w:val="auto"/>
                <w:w w:val="85"/>
              </w:rPr>
              <w:t>Class C</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Percent</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Percent</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of</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35"/>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 and Address (1)</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Owned</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6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George R. and Shirley C. Quist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Family Partnership, Ltd. (2)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1,525,732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664,946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2,190,678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3"/>
              </w:rPr>
              <w:t>401(k) Retirement Savings Plan (3)</w:t>
            </w:r>
          </w:p>
        </w:tc>
        <w:tc>
          <w:tcPr>
            <w:tcW w:w="900" w:type="dxa"/>
            <w:vAlign w:val="bottom"/>
          </w:tcPr>
          <w:p>
            <w:pPr>
              <w:jc w:val="right"/>
              <w:spacing w:after="0"/>
              <w:rPr>
                <w:sz w:val="20"/>
                <w:szCs w:val="20"/>
                <w:color w:val="auto"/>
              </w:rPr>
            </w:pPr>
            <w:r>
              <w:rPr>
                <w:rFonts w:ascii="Arial" w:cs="Arial" w:eastAsia="Arial" w:hAnsi="Arial"/>
                <w:sz w:val="18"/>
                <w:szCs w:val="18"/>
                <w:color w:val="auto"/>
              </w:rPr>
              <w:t>2,148,760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14.3%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2,148,760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M. Quist (4)(5)(6)(7)(8)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1,563,161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2,003,120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Jordan Capital Partners, L.P. (9)</w:t>
            </w:r>
          </w:p>
        </w:tc>
        <w:tc>
          <w:tcPr>
            <w:tcW w:w="900" w:type="dxa"/>
            <w:vAlign w:val="bottom"/>
          </w:tcPr>
          <w:p>
            <w:pPr>
              <w:jc w:val="right"/>
              <w:spacing w:after="0"/>
              <w:rPr>
                <w:sz w:val="20"/>
                <w:szCs w:val="20"/>
                <w:color w:val="auto"/>
              </w:rPr>
            </w:pPr>
            <w:r>
              <w:rPr>
                <w:rFonts w:ascii="Arial" w:cs="Arial" w:eastAsia="Arial" w:hAnsi="Arial"/>
                <w:sz w:val="18"/>
                <w:szCs w:val="18"/>
                <w:color w:val="auto"/>
              </w:rPr>
              <w:t>994,851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994,851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Non-Qualified Deferred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Plan (10)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879,956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879,956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2"/>
          </w:tcPr>
          <w:p>
            <w:pPr>
              <w:spacing w:after="0" w:line="200" w:lineRule="exact"/>
              <w:rPr>
                <w:sz w:val="20"/>
                <w:szCs w:val="20"/>
                <w:color w:val="auto"/>
              </w:rPr>
            </w:pPr>
            <w:r>
              <w:rPr>
                <w:rFonts w:ascii="Arial" w:cs="Arial" w:eastAsia="Arial" w:hAnsi="Arial"/>
                <w:sz w:val="18"/>
                <w:szCs w:val="18"/>
                <w:color w:val="auto"/>
                <w:w w:val="99"/>
              </w:rPr>
              <w:t>Employee Stock Ownership Plan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60" w:type="dxa"/>
            <w:vAlign w:val="bottom"/>
            <w:gridSpan w:val="3"/>
          </w:tcPr>
          <w:p>
            <w:pPr>
              <w:spacing w:after="0"/>
              <w:rPr>
                <w:sz w:val="20"/>
                <w:szCs w:val="20"/>
                <w:color w:val="auto"/>
              </w:rPr>
            </w:pPr>
            <w:r>
              <w:rPr>
                <w:rFonts w:ascii="Arial" w:cs="Arial" w:eastAsia="Arial" w:hAnsi="Arial"/>
                <w:sz w:val="18"/>
                <w:szCs w:val="18"/>
                <w:color w:val="auto"/>
              </w:rPr>
              <w:t>(ESOP) (11)</w:t>
            </w:r>
          </w:p>
        </w:tc>
        <w:tc>
          <w:tcPr>
            <w:tcW w:w="900" w:type="dxa"/>
            <w:vAlign w:val="bottom"/>
          </w:tcPr>
          <w:p>
            <w:pPr>
              <w:jc w:val="right"/>
              <w:spacing w:after="0"/>
              <w:rPr>
                <w:sz w:val="20"/>
                <w:szCs w:val="20"/>
                <w:color w:val="auto"/>
              </w:rPr>
            </w:pPr>
            <w:r>
              <w:rPr>
                <w:rFonts w:ascii="Arial" w:cs="Arial" w:eastAsia="Arial" w:hAnsi="Arial"/>
                <w:sz w:val="18"/>
                <w:szCs w:val="18"/>
                <w:color w:val="auto"/>
              </w:rPr>
              <w:t>495,618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900" w:type="dxa"/>
            <w:vAlign w:val="bottom"/>
          </w:tcPr>
          <w:p>
            <w:pPr>
              <w:jc w:val="right"/>
              <w:spacing w:after="0"/>
              <w:rPr>
                <w:sz w:val="20"/>
                <w:szCs w:val="20"/>
                <w:color w:val="auto"/>
              </w:rPr>
            </w:pPr>
            <w:r>
              <w:rPr>
                <w:rFonts w:ascii="Arial" w:cs="Arial" w:eastAsia="Arial" w:hAnsi="Arial"/>
                <w:sz w:val="18"/>
                <w:szCs w:val="18"/>
                <w:color w:val="auto"/>
              </w:rPr>
              <w:t>307,491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900" w:type="dxa"/>
            <w:vAlign w:val="bottom"/>
          </w:tcPr>
          <w:p>
            <w:pPr>
              <w:jc w:val="right"/>
              <w:spacing w:after="0"/>
              <w:rPr>
                <w:sz w:val="20"/>
                <w:szCs w:val="20"/>
                <w:color w:val="auto"/>
              </w:rPr>
            </w:pPr>
            <w:r>
              <w:rPr>
                <w:rFonts w:ascii="Arial" w:cs="Arial" w:eastAsia="Arial" w:hAnsi="Arial"/>
                <w:sz w:val="18"/>
                <w:szCs w:val="18"/>
                <w:color w:val="auto"/>
              </w:rPr>
              <w:t>803,109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Christie Q. Overbaugh (12)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316,306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31,912</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348,218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Jason G. Overbaugh (13)</w:t>
            </w:r>
          </w:p>
        </w:tc>
        <w:tc>
          <w:tcPr>
            <w:tcW w:w="900" w:type="dxa"/>
            <w:vAlign w:val="bottom"/>
          </w:tcPr>
          <w:p>
            <w:pPr>
              <w:jc w:val="right"/>
              <w:spacing w:after="0"/>
              <w:rPr>
                <w:sz w:val="20"/>
                <w:szCs w:val="20"/>
                <w:color w:val="auto"/>
              </w:rPr>
            </w:pPr>
            <w:r>
              <w:rPr>
                <w:rFonts w:ascii="Arial" w:cs="Arial" w:eastAsia="Arial" w:hAnsi="Arial"/>
                <w:sz w:val="18"/>
                <w:szCs w:val="18"/>
                <w:color w:val="auto"/>
              </w:rPr>
              <w:t>272,638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900" w:type="dxa"/>
            <w:vAlign w:val="bottom"/>
          </w:tcPr>
          <w:p>
            <w:pPr>
              <w:jc w:val="right"/>
              <w:spacing w:after="0"/>
              <w:rPr>
                <w:sz w:val="20"/>
                <w:szCs w:val="20"/>
                <w:color w:val="auto"/>
              </w:rPr>
            </w:pPr>
            <w:r>
              <w:rPr>
                <w:rFonts w:ascii="Arial" w:cs="Arial" w:eastAsia="Arial" w:hAnsi="Arial"/>
                <w:sz w:val="18"/>
                <w:szCs w:val="18"/>
                <w:color w:val="auto"/>
              </w:rPr>
              <w:t>28,612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301,250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Andrew Quist (6)(14)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230,264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Associated Investors (15)</w:t>
            </w:r>
          </w:p>
        </w:tc>
        <w:tc>
          <w:tcPr>
            <w:tcW w:w="900" w:type="dxa"/>
            <w:vAlign w:val="bottom"/>
          </w:tcPr>
          <w:p>
            <w:pPr>
              <w:jc w:val="right"/>
              <w:spacing w:after="0"/>
              <w:rPr>
                <w:sz w:val="20"/>
                <w:szCs w:val="20"/>
                <w:color w:val="auto"/>
              </w:rPr>
            </w:pPr>
            <w:r>
              <w:rPr>
                <w:rFonts w:ascii="Arial" w:cs="Arial" w:eastAsia="Arial" w:hAnsi="Arial"/>
                <w:sz w:val="18"/>
                <w:szCs w:val="18"/>
                <w:color w:val="auto"/>
              </w:rPr>
              <w:t>82,558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129,807</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900" w:type="dxa"/>
            <w:vAlign w:val="bottom"/>
          </w:tcPr>
          <w:p>
            <w:pPr>
              <w:jc w:val="right"/>
              <w:spacing w:after="0"/>
              <w:rPr>
                <w:sz w:val="20"/>
                <w:szCs w:val="20"/>
                <w:color w:val="auto"/>
              </w:rPr>
            </w:pPr>
            <w:r>
              <w:rPr>
                <w:rFonts w:ascii="Arial" w:cs="Arial" w:eastAsia="Arial" w:hAnsi="Arial"/>
                <w:sz w:val="18"/>
                <w:szCs w:val="18"/>
                <w:color w:val="auto"/>
              </w:rPr>
              <w:t>212,365</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Estate of George R. Quist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202,417</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Garrett S. Sill (5)(7)(16)</w:t>
            </w:r>
          </w:p>
        </w:tc>
        <w:tc>
          <w:tcPr>
            <w:tcW w:w="900" w:type="dxa"/>
            <w:vAlign w:val="bottom"/>
          </w:tcPr>
          <w:p>
            <w:pPr>
              <w:jc w:val="right"/>
              <w:spacing w:after="0"/>
              <w:rPr>
                <w:sz w:val="20"/>
                <w:szCs w:val="20"/>
                <w:color w:val="auto"/>
              </w:rPr>
            </w:pPr>
            <w:r>
              <w:rPr>
                <w:rFonts w:ascii="Arial" w:cs="Arial" w:eastAsia="Arial" w:hAnsi="Arial"/>
                <w:sz w:val="18"/>
                <w:szCs w:val="18"/>
                <w:color w:val="auto"/>
              </w:rPr>
              <w:t>103,794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125,582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R. Stephens (17)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H. Craig Moody (18)</w:t>
            </w:r>
          </w:p>
        </w:tc>
        <w:tc>
          <w:tcPr>
            <w:tcW w:w="900" w:type="dxa"/>
            <w:vAlign w:val="bottom"/>
          </w:tcPr>
          <w:p>
            <w:pPr>
              <w:jc w:val="right"/>
              <w:spacing w:after="0"/>
              <w:rPr>
                <w:sz w:val="20"/>
                <w:szCs w:val="20"/>
                <w:color w:val="auto"/>
              </w:rPr>
            </w:pPr>
            <w:r>
              <w:rPr>
                <w:rFonts w:ascii="Arial" w:cs="Arial" w:eastAsia="Arial" w:hAnsi="Arial"/>
                <w:sz w:val="18"/>
                <w:szCs w:val="18"/>
                <w:color w:val="auto"/>
              </w:rPr>
              <w:t>94,909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Hunter, M.D. (6)(19)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Stephen C. Johnson(5)(7)(20)</w:t>
            </w:r>
          </w:p>
        </w:tc>
        <w:tc>
          <w:tcPr>
            <w:tcW w:w="900" w:type="dxa"/>
            <w:vAlign w:val="bottom"/>
          </w:tcPr>
          <w:p>
            <w:pPr>
              <w:jc w:val="right"/>
              <w:spacing w:after="0"/>
              <w:rPr>
                <w:sz w:val="20"/>
                <w:szCs w:val="20"/>
                <w:color w:val="auto"/>
              </w:rPr>
            </w:pPr>
            <w:r>
              <w:rPr>
                <w:rFonts w:ascii="Arial" w:cs="Arial" w:eastAsia="Arial" w:hAnsi="Arial"/>
                <w:sz w:val="18"/>
                <w:szCs w:val="18"/>
                <w:color w:val="auto"/>
              </w:rPr>
              <w:t>79,029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G. Quist (21)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Gilbert A. Fuller (22)</w:t>
            </w:r>
          </w:p>
        </w:tc>
        <w:tc>
          <w:tcPr>
            <w:tcW w:w="900" w:type="dxa"/>
            <w:vAlign w:val="bottom"/>
          </w:tcPr>
          <w:p>
            <w:pPr>
              <w:jc w:val="right"/>
              <w:spacing w:after="0"/>
              <w:rPr>
                <w:sz w:val="20"/>
                <w:szCs w:val="20"/>
                <w:color w:val="auto"/>
              </w:rPr>
            </w:pPr>
            <w:r>
              <w:rPr>
                <w:rFonts w:ascii="Arial" w:cs="Arial" w:eastAsia="Arial" w:hAnsi="Arial"/>
                <w:sz w:val="18"/>
                <w:szCs w:val="18"/>
                <w:color w:val="auto"/>
              </w:rPr>
              <w:t>34,484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Cook (23)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Norman G. Wilbur (24)</w:t>
            </w:r>
          </w:p>
        </w:tc>
        <w:tc>
          <w:tcPr>
            <w:tcW w:w="900" w:type="dxa"/>
            <w:vAlign w:val="bottom"/>
          </w:tcPr>
          <w:p>
            <w:pPr>
              <w:jc w:val="right"/>
              <w:spacing w:after="0"/>
              <w:rPr>
                <w:sz w:val="20"/>
                <w:szCs w:val="20"/>
                <w:color w:val="auto"/>
              </w:rPr>
            </w:pPr>
            <w:r>
              <w:rPr>
                <w:rFonts w:ascii="Arial" w:cs="Arial" w:eastAsia="Arial" w:hAnsi="Arial"/>
                <w:sz w:val="18"/>
                <w:szCs w:val="18"/>
                <w:color w:val="auto"/>
              </w:rPr>
              <w:t>27,059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640" w:type="dxa"/>
            <w:vAlign w:val="bottom"/>
            <w:gridSpan w:val="2"/>
          </w:tcPr>
          <w:p>
            <w:pPr>
              <w:spacing w:after="0" w:line="200" w:lineRule="exact"/>
              <w:rPr>
                <w:sz w:val="20"/>
                <w:szCs w:val="20"/>
                <w:color w:val="auto"/>
              </w:rPr>
            </w:pPr>
            <w:r>
              <w:rPr>
                <w:rFonts w:ascii="Arial" w:cs="Arial" w:eastAsia="Arial" w:hAnsi="Arial"/>
                <w:sz w:val="18"/>
                <w:szCs w:val="18"/>
                <w:color w:val="auto"/>
                <w:w w:val="95"/>
              </w:rPr>
              <w:t>All directors and executive officers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60" w:type="dxa"/>
            <w:vAlign w:val="bottom"/>
            <w:gridSpan w:val="3"/>
          </w:tcPr>
          <w:p>
            <w:pPr>
              <w:spacing w:after="0"/>
              <w:rPr>
                <w:sz w:val="20"/>
                <w:szCs w:val="20"/>
                <w:color w:val="auto"/>
              </w:rPr>
            </w:pPr>
            <w:r>
              <w:rPr>
                <w:rFonts w:ascii="Arial" w:cs="Arial" w:eastAsia="Arial" w:hAnsi="Arial"/>
                <w:sz w:val="18"/>
                <w:szCs w:val="18"/>
                <w:color w:val="auto"/>
              </w:rPr>
              <w:t>(13 persons)</w:t>
            </w:r>
          </w:p>
        </w:tc>
        <w:tc>
          <w:tcPr>
            <w:tcW w:w="900" w:type="dxa"/>
            <w:vAlign w:val="bottom"/>
          </w:tcPr>
          <w:p>
            <w:pPr>
              <w:jc w:val="right"/>
              <w:spacing w:after="0"/>
              <w:rPr>
                <w:sz w:val="20"/>
                <w:szCs w:val="20"/>
                <w:color w:val="auto"/>
              </w:rPr>
            </w:pPr>
            <w:r>
              <w:rPr>
                <w:rFonts w:ascii="Arial" w:cs="Arial" w:eastAsia="Arial" w:hAnsi="Arial"/>
                <w:sz w:val="18"/>
                <w:szCs w:val="18"/>
                <w:color w:val="auto"/>
              </w:rPr>
              <w:t>1,837,638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900" w:type="dxa"/>
            <w:vAlign w:val="bottom"/>
          </w:tcPr>
          <w:p>
            <w:pPr>
              <w:jc w:val="right"/>
              <w:spacing w:after="0"/>
              <w:rPr>
                <w:sz w:val="20"/>
                <w:szCs w:val="20"/>
                <w:color w:val="auto"/>
              </w:rPr>
            </w:pPr>
            <w:r>
              <w:rPr>
                <w:rFonts w:ascii="Arial" w:cs="Arial" w:eastAsia="Arial" w:hAnsi="Arial"/>
                <w:sz w:val="18"/>
                <w:szCs w:val="18"/>
                <w:color w:val="auto"/>
              </w:rPr>
              <w:t>1,695,873</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62.8%</w:t>
            </w:r>
          </w:p>
        </w:tc>
        <w:tc>
          <w:tcPr>
            <w:tcW w:w="900" w:type="dxa"/>
            <w:vAlign w:val="bottom"/>
          </w:tcPr>
          <w:p>
            <w:pPr>
              <w:jc w:val="right"/>
              <w:spacing w:after="0"/>
              <w:rPr>
                <w:sz w:val="20"/>
                <w:szCs w:val="20"/>
                <w:color w:val="auto"/>
              </w:rPr>
            </w:pPr>
            <w:r>
              <w:rPr>
                <w:rFonts w:ascii="Arial" w:cs="Arial" w:eastAsia="Arial" w:hAnsi="Arial"/>
                <w:sz w:val="18"/>
                <w:szCs w:val="18"/>
                <w:color w:val="auto"/>
              </w:rPr>
              <w:t>3,533,511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Less than 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ind w:left="680" w:hanging="673"/>
        <w:spacing w:after="0" w:line="255"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indicated, the address of each listed stockholder is c/o Security National Financial Corporation, 5300 South 360 West, Suite 250, Salt Lake City, Utah 84123.</w:t>
      </w:r>
    </w:p>
    <w:p>
      <w:pPr>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stock is owned by the George R. and Shirley C. Quist Family Partnership, Ltd., of which Scott M. Quist is the managing general partner and, accordingly, exercises sole voting and investment powers with respect to such shares.</w:t>
      </w:r>
    </w:p>
    <w:p>
      <w:pPr>
        <w:spacing w:after="0" w:line="1"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investment committee of the 401(k) Retirement Savings Plan consists of Scott M. Quist, Stephen C. Johnson and Garrett S. Sill, who exercise shared voting and investment powers with respect to such shares.</w:t>
      </w:r>
    </w:p>
    <w:p>
      <w:pPr>
        <w:spacing w:after="0" w:line="1" w:lineRule="exact"/>
        <w:rPr>
          <w:rFonts w:ascii="Arial" w:cs="Arial" w:eastAsia="Arial" w:hAnsi="Arial"/>
          <w:sz w:val="18"/>
          <w:szCs w:val="18"/>
          <w:color w:val="auto"/>
        </w:rPr>
      </w:pPr>
    </w:p>
    <w:p>
      <w:pPr>
        <w:jc w:val="both"/>
        <w:ind w:left="680" w:hanging="673"/>
        <w:spacing w:after="0" w:line="262"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Mr. Scott Quist is the Company’s Chairman of the Board, President, and Chief Executive Officer. Includes options to purchase 101,063 shares of Class A common stock and 405,604 shares of Class C common stock that are currently exercisable or will become exercisable within 60 days of March 31, 2019. Mr. Quist’s options to purchase 405,604 shares of Class C common stock may also, at Mr. Quist’s election, consist of options to purchase 405,604 shares of Class A common stock, or any combination thereof. Mr.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1" w:lineRule="exact"/>
        <w:rPr>
          <w:rFonts w:ascii="Arial" w:cs="Arial" w:eastAsia="Arial" w:hAnsi="Arial"/>
          <w:sz w:val="17"/>
          <w:szCs w:val="17"/>
          <w:color w:val="auto"/>
        </w:rPr>
      </w:pPr>
    </w:p>
    <w:p>
      <w:pPr>
        <w:jc w:val="both"/>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include 2,148,760 shares of Class A common stock owned by the Company’s 401(k) Retirement Savings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8"/>
          <w:szCs w:val="18"/>
          <w:color w:val="auto"/>
        </w:rPr>
      </w:pPr>
    </w:p>
    <w:p>
      <w:pPr>
        <w:jc w:val="both"/>
        <w:ind w:left="680" w:right="2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include 495,618 shares of Class A common stock and 307,491 shares of Class C common stock owned by the Company’s Employee Stock Ownership Plan (ESOP), of which Scott M. Quist, S. Andrew Quist and Robert G. Hunter are the trustees and, accordingly, exercise shared voting and investment powers with respect to such shares.</w:t>
      </w:r>
    </w:p>
    <w:p>
      <w:pPr>
        <w:spacing w:after="0" w:line="1" w:lineRule="exact"/>
        <w:rPr>
          <w:rFonts w:ascii="Arial" w:cs="Arial" w:eastAsia="Arial" w:hAnsi="Arial"/>
          <w:sz w:val="18"/>
          <w:szCs w:val="18"/>
          <w:color w:val="auto"/>
        </w:rPr>
      </w:pPr>
    </w:p>
    <w:p>
      <w:pPr>
        <w:jc w:val="both"/>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include 879,956 shares of Class A common stock owned by the Company’s Non-Qualified Deferred Compensation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8"/>
          <w:szCs w:val="18"/>
          <w:color w:val="auto"/>
        </w:rPr>
      </w:pPr>
    </w:p>
    <w:p>
      <w:pPr>
        <w:jc w:val="both"/>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include 82,558 shares of Class A common stock and 129,807 shares of Class C common stock owned by Associated Investors, a Utah general partnership, of which Scott M. Quist is the managing partner and, accordingly, exercises sole voting and investment powers with respect to such shares.</w:t>
      </w:r>
    </w:p>
    <w:p>
      <w:pPr>
        <w:spacing w:after="0" w:line="1" w:lineRule="exact"/>
        <w:rPr>
          <w:rFonts w:ascii="Arial" w:cs="Arial" w:eastAsia="Arial" w:hAnsi="Arial"/>
          <w:sz w:val="18"/>
          <w:szCs w:val="18"/>
          <w:color w:val="auto"/>
        </w:rPr>
      </w:pPr>
    </w:p>
    <w:p>
      <w:pPr>
        <w:jc w:val="both"/>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solely on the Schedule 13G filed on February 8, 2019, Jordan Capital Partners, L.P. has shared voting and dispositive power with respect to 910,851 shares of the Company’s Class A common stock, or 6.0% of the outstanding shares of Class A common stock. Jordan Capital AM, LLC is the general partner of Jordan Capital Partners, L.P., which has shared voting and dispositive power with respect to 994,851 shares of the Company’s Class A common stock, or 6.6% of the outstanding shares of Class A common stock. The address for Jordan Capital Partners, L.P. and Jordan Capital AM, LLC is 6001 River Road, Suite 100, Columbus, Georgia 31904.</w:t>
      </w:r>
    </w:p>
    <w:p>
      <w:pPr>
        <w:spacing w:after="0" w:line="2"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investment committee of the Company’s Non-Qualified Deferred Compensation Plan consists of Scott M. Quist, Stephen C. Johnson and Garrett S. Sill, who exercise shared voting and investment powers with respect to such shares.</w:t>
      </w:r>
    </w:p>
    <w:p>
      <w:pPr>
        <w:spacing w:after="0" w:line="1"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trustees of the Employee Stock Ownership Plan (ESOP) consist of Scott M. Quist, S. Andrew Quist and Robert G. Hunter who exercise shared voting and investment powers with respect to such shares.</w:t>
      </w:r>
    </w:p>
    <w:p>
      <w:pPr>
        <w:spacing w:after="0" w:line="1" w:lineRule="exact"/>
        <w:rPr>
          <w:rFonts w:ascii="Arial" w:cs="Arial" w:eastAsia="Arial" w:hAnsi="Arial"/>
          <w:sz w:val="18"/>
          <w:szCs w:val="18"/>
          <w:color w:val="auto"/>
        </w:rPr>
      </w:pPr>
    </w:p>
    <w:p>
      <w:pPr>
        <w:ind w:left="680" w:hanging="673"/>
        <w:spacing w:after="0" w:line="262"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Ms. Overbaugh is the Company’s Senior Vice President of Life Insurance Internal Operations. Includes options to purchase 40,587 shares of Class A common stock granted to Ms. Overbaugh that are currently exercisable or will become exercisable within 60 days of March 31, 2019.</w:t>
      </w:r>
    </w:p>
    <w:p>
      <w:pPr>
        <w:jc w:val="both"/>
        <w:ind w:left="680" w:hanging="673"/>
        <w:spacing w:after="0" w:line="278"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Mr. Overbaugh is the Company’s Vice President, National Marketing Director of Life Insurance, and a director. Includes options to purchase 99,155 shares of Class A common stock and options to purchase 28,612 shares of Class C common stock that are currently exercisable or will become exercisable within 60 days of March 31, 2019. The options to purchase 28,612 shares of Class C common stock may also, at Mr. Overbaugh’s election, consist of options to purchase 28,612 shares of Class A common stock, or any combination thereof. Mr. Overbaugh has elected to purchase Class C common shares with such options to the extent there are sufficient authorized but unissued Class C common shares available for issuance with respect to such options. Otherwise, Mr. Overbaugh will elect to purchase shares of Class A common stock with respect to such options.</w:t>
      </w:r>
    </w:p>
    <w:p>
      <w:pPr>
        <w:spacing w:after="0" w:line="2" w:lineRule="exact"/>
        <w:rPr>
          <w:rFonts w:ascii="Arial" w:cs="Arial" w:eastAsia="Arial" w:hAnsi="Arial"/>
          <w:sz w:val="16"/>
          <w:szCs w:val="16"/>
          <w:color w:val="auto"/>
        </w:rPr>
      </w:pPr>
    </w:p>
    <w:p>
      <w:pPr>
        <w:jc w:val="both"/>
        <w:ind w:left="680" w:hanging="673"/>
        <w:spacing w:after="0" w:line="266"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Mr. Andrew Quist is the Company’s Vice President, General Counsel, and a director. Includes options to purchase 120,262 shares of Class A common stock and options to purchase 28,612 shares of Class C common stock that are currently exercisable or will become exercisable within 60 days of March 31, 2019. The options to purchase 28,612 shares of Class C common stock may also, at Mr. Quist’s election, consist of options to purchase 28,612 shares of Class A common stock, or any combination thereof. Mr. Andrew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124" w:name="page125"/>
    <w:bookmarkEnd w:id="124"/>
    <w:p>
      <w:pPr>
        <w:ind w:left="680" w:hanging="673"/>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managing general partner of Associated Investors is Scott M. Quist, who exercises sole voting and investment powers with respect to such shares.</w:t>
      </w:r>
    </w:p>
    <w:p>
      <w:pPr>
        <w:spacing w:after="0" w:line="42" w:lineRule="exact"/>
        <w:rPr>
          <w:rFonts w:ascii="Arial" w:cs="Arial" w:eastAsia="Arial" w:hAnsi="Arial"/>
          <w:sz w:val="16"/>
          <w:szCs w:val="16"/>
          <w:color w:val="auto"/>
        </w:rPr>
      </w:pPr>
    </w:p>
    <w:p>
      <w:pPr>
        <w:jc w:val="both"/>
        <w:ind w:left="680" w:hanging="673"/>
        <w:spacing w:after="0" w:line="262"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Mr. Sill is the Company’s Chief Financial Officer and Treasurer. Includes options to purchase 44,408 shares of Class A common stock and options to purchase 21,788 shares of Class C common stock that are currently exercisable or will become exercisable within 60 days of March 31, 2019. The options to purchase 21,788 shares of Class C common stock may also, at Mr. Sill’s election, consist of options to purchase 21,788 shares of Class A common stock, or any combination thereof. Mr. Sill has elected to purchase Class C common shares with such options to the extent there are sufficient authorized but unissued Class C common shares available for issuance with respect to such options. Otherwise, Mr. Sill will elect to purchase shares of Class A common stock with respect to such options.</w:t>
      </w:r>
    </w:p>
    <w:p>
      <w:pPr>
        <w:spacing w:after="0" w:line="1" w:lineRule="exact"/>
        <w:rPr>
          <w:rFonts w:ascii="Arial" w:cs="Arial" w:eastAsia="Arial" w:hAnsi="Arial"/>
          <w:sz w:val="17"/>
          <w:szCs w:val="17"/>
          <w:color w:val="auto"/>
        </w:rPr>
      </w:pPr>
    </w:p>
    <w:p>
      <w:pPr>
        <w:ind w:left="680" w:hanging="673"/>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Stephens is the Company’s Senior General Counsel and Secretary. Includes options to purchase 35,791 shares of Class A common stock granted to Mr. Stephens that are currently exercisable or will become exercisable within 60 days of March 31, 2019.</w:t>
      </w:r>
    </w:p>
    <w:p>
      <w:pPr>
        <w:spacing w:after="0" w:line="1"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Moody is a director of the Company. Includes options to purchase 68,800 shares of Class A common stock granted to Mr. Moody that are currently exercisable or will become exercisable within 60 days of March 31, 2019.</w:t>
      </w:r>
    </w:p>
    <w:p>
      <w:pPr>
        <w:spacing w:after="0" w:line="1"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Dr. Hunter is a director of the Company. Includes options to purchase 68,800 shares of Class A common stock granted to Dr. Hunter that are currently exercisable or will become exercisable within 60 days of March 31, 2019.</w:t>
      </w:r>
    </w:p>
    <w:p>
      <w:pPr>
        <w:spacing w:after="0" w:line="1"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Johnson is the Company’s Vice President of Mortgage Operations. Includes options to purchase 48,697 shares of Class A common stock granted to Mr. Johnson that are currently exercisable or will become exercisable within 60 days of March 31, 2019.</w:t>
      </w:r>
    </w:p>
    <w:p>
      <w:pPr>
        <w:spacing w:after="0" w:line="1" w:lineRule="exact"/>
        <w:rPr>
          <w:rFonts w:ascii="Arial" w:cs="Arial" w:eastAsia="Arial" w:hAnsi="Arial"/>
          <w:sz w:val="18"/>
          <w:szCs w:val="18"/>
          <w:color w:val="auto"/>
        </w:rPr>
      </w:pPr>
    </w:p>
    <w:p>
      <w:pPr>
        <w:jc w:val="both"/>
        <w:ind w:left="680" w:hanging="673"/>
        <w:spacing w:after="0" w:line="278" w:lineRule="auto"/>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Mr. Adam Quist is the Vice President – Memorial Services, Assistant Secretary, and General Counsel of the Company. Includes options to purchase 22,638 shares of Class A common stock and options to purchase 21,788 shares of Class C common stock that are currently exercisable or will become exercisable within 60 days of March 31, 2019. The options to purchase 21,788 shares of Class C common stock may also, at Mr. Quist’s election, consist of options to purchase 21,788 shares of Class A common stock, or any combination thereof. Mr. Adam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2" w:lineRule="exact"/>
        <w:rPr>
          <w:rFonts w:ascii="Arial" w:cs="Arial" w:eastAsia="Arial" w:hAnsi="Arial"/>
          <w:sz w:val="16"/>
          <w:szCs w:val="16"/>
          <w:color w:val="auto"/>
        </w:rPr>
      </w:pPr>
    </w:p>
    <w:p>
      <w:pPr>
        <w:ind w:left="680" w:hanging="673"/>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Fuller is a director of the Company. Includes options to purchase 33,814 shares of Class A common stock granted to Mr. Fuller that are currently exercisable or will become exercisable within 60 days of March 31, 2019.</w:t>
      </w:r>
    </w:p>
    <w:p>
      <w:pPr>
        <w:spacing w:after="0" w:line="1" w:lineRule="exact"/>
        <w:rPr>
          <w:rFonts w:ascii="Arial" w:cs="Arial" w:eastAsia="Arial" w:hAnsi="Arial"/>
          <w:sz w:val="18"/>
          <w:szCs w:val="18"/>
          <w:color w:val="auto"/>
        </w:rPr>
      </w:pPr>
    </w:p>
    <w:p>
      <w:pPr>
        <w:ind w:left="680" w:hanging="673"/>
        <w:spacing w:after="0" w:line="24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Cook is a director of the Company. Includes options to purchase 32,406 shares of Class A common stock granted to Mr. Cook that are currently exercisable or will become exercisable within 60 days of March 31, 2019.</w:t>
      </w:r>
    </w:p>
    <w:p>
      <w:pPr>
        <w:spacing w:after="0" w:line="1" w:lineRule="exact"/>
        <w:rPr>
          <w:rFonts w:ascii="Arial" w:cs="Arial" w:eastAsia="Arial" w:hAnsi="Arial"/>
          <w:sz w:val="18"/>
          <w:szCs w:val="18"/>
          <w:color w:val="auto"/>
        </w:rPr>
      </w:pPr>
    </w:p>
    <w:p>
      <w:pPr>
        <w:ind w:left="680" w:hanging="673"/>
        <w:spacing w:after="0" w:line="255"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Wilbur is a director of the Company. Includes options to purchase 25,985 shares of Class A common stock granted to Mr. Wilbur that are currently exercisable or will become exercisable within 60 days of March 31, 2019.</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Company’s executive officers and directors, as a group, own beneficially approximately 19.1% of the outstanding shares of the Company’s Class A and Class C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summarizes the fees of the Company’s current independent auditors, billed to the Company for each of the last two fiscal years for audit and other services. All of these fees were reviewed and approved by the Audit Committee of the Board of Directors: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8"/>
                <w:szCs w:val="18"/>
                <w:color w:val="auto"/>
              </w:rPr>
              <w:t>Fee Category</w:t>
            </w:r>
          </w:p>
        </w:tc>
        <w:tc>
          <w:tcPr>
            <w:tcW w:w="18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7"/>
                <w:szCs w:val="17"/>
                <w:color w:val="auto"/>
              </w:rPr>
            </w:pPr>
          </w:p>
        </w:tc>
      </w:tr>
      <w:tr>
        <w:trPr>
          <w:trHeight w:val="27"/>
        </w:trPr>
        <w:tc>
          <w:tcPr>
            <w:tcW w:w="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853,567</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All Other Fees (4)</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895,038</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979,567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74" w:lineRule="exact"/>
        <w:rPr>
          <w:sz w:val="20"/>
          <w:szCs w:val="20"/>
          <w:color w:val="auto"/>
        </w:rPr>
      </w:pPr>
    </w:p>
    <w:p>
      <w:pPr>
        <w:jc w:val="both"/>
        <w:ind w:left="700" w:hanging="693"/>
        <w:spacing w:after="0" w:line="259"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Audit fees consist of aggregate fees billed for professional services rendered for the audit of the Company’s annual financial statements and review of the interim financial statements included in quarterly reports or services that are normally provided by the independent auditor in connection with statutory and regulatory filings for the years ended December 31, 2018 and 2017.</w:t>
      </w:r>
    </w:p>
    <w:p>
      <w:pPr>
        <w:spacing w:after="0" w:line="184" w:lineRule="exact"/>
        <w:rPr>
          <w:rFonts w:ascii="Arial" w:cs="Arial" w:eastAsia="Arial" w:hAnsi="Arial"/>
          <w:sz w:val="18"/>
          <w:szCs w:val="18"/>
          <w:color w:val="auto"/>
        </w:rPr>
      </w:pPr>
    </w:p>
    <w:p>
      <w:pPr>
        <w:jc w:val="both"/>
        <w:ind w:left="700" w:hanging="693"/>
        <w:spacing w:after="0" w:line="259"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Audit related fees consist of aggregate fees billed for assurance and related services that are reasonably related to the performance of the audit or review of the Company’s financial statements and are not reported under “Audit Fees”. These fees include review of registration statements, and audits of the Company’s ESOP and 401(k) Plans.</w:t>
      </w:r>
    </w:p>
    <w:p>
      <w:pPr>
        <w:spacing w:after="0" w:line="184" w:lineRule="exact"/>
        <w:rPr>
          <w:rFonts w:ascii="Arial" w:cs="Arial" w:eastAsia="Arial" w:hAnsi="Arial"/>
          <w:sz w:val="18"/>
          <w:szCs w:val="18"/>
          <w:color w:val="auto"/>
        </w:rPr>
      </w:pPr>
    </w:p>
    <w:p>
      <w:pPr>
        <w:ind w:left="700" w:hanging="693"/>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fees consist of aggregate fees billed for professional services for tax compliance, tax advice, and tax planning.</w:t>
      </w:r>
    </w:p>
    <w:p>
      <w:pPr>
        <w:spacing w:after="0" w:line="220" w:lineRule="exact"/>
        <w:rPr>
          <w:rFonts w:ascii="Arial" w:cs="Arial" w:eastAsia="Arial" w:hAnsi="Arial"/>
          <w:sz w:val="18"/>
          <w:szCs w:val="18"/>
          <w:color w:val="auto"/>
        </w:rPr>
      </w:pPr>
    </w:p>
    <w:p>
      <w:pPr>
        <w:ind w:left="700" w:hanging="693"/>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fees consist of aggregate fees billed for products and services by the independent auditors, other than those disclosed above.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22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“Index to Consolidated Financial Statements” under Item 8 above.</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20" w:lineRule="exact"/>
        <w:rPr>
          <w:sz w:val="20"/>
          <w:szCs w:val="20"/>
          <w:color w:val="auto"/>
        </w:rPr>
      </w:pPr>
    </w:p>
    <w:p>
      <w:pPr>
        <w:ind w:left="2300" w:right="220" w:hanging="1101"/>
        <w:spacing w:after="0" w:line="270" w:lineRule="auto"/>
        <w:tabs>
          <w:tab w:leader="none" w:pos="2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Condensed Balance Sheets as of December 31, 2018 and 2017 and Condensed Statement of Earnings and Cash Flows for the years ended 2018 and 2017</w:t>
      </w:r>
    </w:p>
    <w:p>
      <w:pPr>
        <w:spacing w:after="0" w:line="389"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Reinsurance</w:t>
      </w:r>
    </w:p>
    <w:p>
      <w:pPr>
        <w:spacing w:after="0" w:line="220" w:lineRule="exact"/>
        <w:rPr>
          <w:sz w:val="20"/>
          <w:szCs w:val="20"/>
          <w:color w:val="auto"/>
        </w:rPr>
      </w:pPr>
    </w:p>
    <w:p>
      <w:pPr>
        <w:ind w:left="2300" w:hanging="1145"/>
        <w:spacing w:after="0"/>
        <w:tabs>
          <w:tab w:leader="none" w:pos="2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Valuation and Qualifying Accounts</w:t>
      </w:r>
    </w:p>
    <w:p>
      <w:pPr>
        <w:spacing w:after="0" w:line="220" w:lineRule="exact"/>
        <w:rPr>
          <w:sz w:val="20"/>
          <w:szCs w:val="20"/>
          <w:color w:val="auto"/>
        </w:rPr>
      </w:pPr>
    </w:p>
    <w:p>
      <w:pPr>
        <w:ind w:right="560"/>
        <w:spacing w:after="0" w:line="220" w:lineRule="exact"/>
        <w:rPr>
          <w:sz w:val="20"/>
          <w:szCs w:val="20"/>
          <w:color w:val="auto"/>
        </w:rPr>
      </w:pPr>
      <w:r>
        <w:rPr>
          <w:rFonts w:ascii="Arial" w:cs="Arial" w:eastAsia="Arial" w:hAnsi="Arial"/>
          <w:sz w:val="18"/>
          <w:szCs w:val="18"/>
          <w:color w:val="auto"/>
        </w:rPr>
        <w:t>All other schedules to the consolidated financial statements required by Article 7 of Regulation S</w:t>
      </w:r>
      <w:r>
        <w:rPr>
          <w:rFonts w:ascii="MS PGothic" w:cs="MS PGothic" w:eastAsia="MS PGothic" w:hAnsi="MS PGothic"/>
          <w:sz w:val="18"/>
          <w:szCs w:val="18"/>
          <w:color w:val="auto"/>
        </w:rPr>
        <w:t>‑</w:t>
      </w:r>
      <w:r>
        <w:rPr>
          <w:rFonts w:ascii="Arial" w:cs="Arial" w:eastAsia="Arial" w:hAnsi="Arial"/>
          <w:sz w:val="18"/>
          <w:szCs w:val="18"/>
          <w:color w:val="auto"/>
        </w:rPr>
        <w:t>X are not required under the related instructions or are inapplicable and therefore have been omitted.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spacing w:after="0"/>
        <w:tabs>
          <w:tab w:leader="none" w:pos="5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Exhibits</w:t>
      </w:r>
    </w:p>
    <w:p>
      <w:pPr>
        <w:spacing w:after="0" w:line="220"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The following Exhibits are filed herewith pursuant to Rule 601 of Regulation S</w:t>
      </w:r>
      <w:r>
        <w:rPr>
          <w:rFonts w:ascii="MS PGothic" w:cs="MS PGothic" w:eastAsia="MS PGothic" w:hAnsi="MS PGothic"/>
          <w:sz w:val="18"/>
          <w:szCs w:val="18"/>
          <w:color w:val="auto"/>
        </w:rPr>
        <w:t>‑</w:t>
      </w:r>
      <w:r>
        <w:rPr>
          <w:rFonts w:ascii="Arial" w:cs="Arial" w:eastAsia="Arial" w:hAnsi="Arial"/>
          <w:sz w:val="18"/>
          <w:szCs w:val="18"/>
          <w:color w:val="auto"/>
        </w:rPr>
        <w:t>K or are incorporated by reference to previous filings.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w:t>
            </w:r>
          </w:p>
        </w:tc>
        <w:tc>
          <w:tcPr>
            <w:tcW w:w="9700" w:type="dxa"/>
            <w:vAlign w:val="bottom"/>
            <w:gridSpan w:val="11"/>
            <w:shd w:val="clear" w:color="auto" w:fill="CCEEFF"/>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Articles of Amendment and Restatement to Articles of Incorporation (6)</w:t>
              </w:r>
            </w:hyperlink>
          </w:p>
        </w:tc>
      </w:tr>
      <w:tr>
        <w:trPr>
          <w:trHeight w:val="174"/>
        </w:trPr>
        <w:tc>
          <w:tcPr>
            <w:tcW w:w="1720" w:type="dxa"/>
            <w:vAlign w:val="bottom"/>
            <w:tcBorders>
              <w:top w:val="single" w:sz="8" w:color="CCEEFF"/>
            </w:tcBorders>
          </w:tcPr>
          <w:p>
            <w:pPr>
              <w:ind w:left="580"/>
              <w:spacing w:after="0" w:line="174" w:lineRule="exact"/>
              <w:rPr>
                <w:sz w:val="20"/>
                <w:szCs w:val="20"/>
                <w:color w:val="auto"/>
              </w:rPr>
            </w:pPr>
            <w:r>
              <w:rPr>
                <w:rFonts w:ascii="Arial" w:cs="Arial" w:eastAsia="Arial" w:hAnsi="Arial"/>
                <w:sz w:val="18"/>
                <w:szCs w:val="18"/>
                <w:color w:val="auto"/>
              </w:rPr>
              <w:t>3.2</w:t>
            </w:r>
          </w:p>
        </w:tc>
        <w:tc>
          <w:tcPr>
            <w:tcW w:w="5160" w:type="dxa"/>
            <w:vAlign w:val="bottom"/>
            <w:tcBorders>
              <w:top w:val="single" w:sz="8" w:color="0000EE"/>
            </w:tcBorders>
            <w:gridSpan w:val="6"/>
          </w:tcPr>
          <w:p>
            <w:pPr>
              <w:spacing w:after="0" w:line="174" w:lineRule="exact"/>
              <w:rPr>
                <w:rFonts w:ascii="Arial" w:cs="Arial" w:eastAsia="Arial" w:hAnsi="Arial"/>
                <w:sz w:val="18"/>
                <w:szCs w:val="18"/>
                <w:color w:val="0000EE"/>
              </w:rPr>
            </w:pPr>
            <w:hyperlink r:id="rId131">
              <w:r>
                <w:rPr>
                  <w:rFonts w:ascii="Arial" w:cs="Arial" w:eastAsia="Arial" w:hAnsi="Arial"/>
                  <w:sz w:val="18"/>
                  <w:szCs w:val="18"/>
                  <w:color w:val="0000EE"/>
                </w:rPr>
                <w:t>Amended and Restated Bylaws (8)</w:t>
              </w:r>
            </w:hyperlink>
          </w:p>
        </w:tc>
        <w:tc>
          <w:tcPr>
            <w:tcW w:w="4540" w:type="dxa"/>
            <w:vAlign w:val="bottom"/>
            <w:tcBorders>
              <w:top w:val="single" w:sz="8" w:color="CCEEFF"/>
            </w:tcBorders>
            <w:gridSpan w:val="5"/>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4.1</w:t>
            </w:r>
          </w:p>
        </w:tc>
        <w:tc>
          <w:tcPr>
            <w:tcW w:w="97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Specimen Class A Stock Certificate (1)</w:t>
            </w:r>
          </w:p>
        </w:tc>
      </w:tr>
      <w:tr>
        <w:trPr>
          <w:trHeight w:val="214"/>
        </w:trPr>
        <w:tc>
          <w:tcPr>
            <w:tcW w:w="1720" w:type="dxa"/>
            <w:vAlign w:val="bottom"/>
          </w:tcPr>
          <w:p>
            <w:pPr>
              <w:ind w:left="580"/>
              <w:spacing w:after="0"/>
              <w:rPr>
                <w:sz w:val="20"/>
                <w:szCs w:val="20"/>
                <w:color w:val="auto"/>
              </w:rPr>
            </w:pPr>
            <w:r>
              <w:rPr>
                <w:rFonts w:ascii="Arial" w:cs="Arial" w:eastAsia="Arial" w:hAnsi="Arial"/>
                <w:sz w:val="18"/>
                <w:szCs w:val="18"/>
                <w:color w:val="auto"/>
              </w:rPr>
              <w:t>4.2</w:t>
            </w:r>
          </w:p>
        </w:tc>
        <w:tc>
          <w:tcPr>
            <w:tcW w:w="9700" w:type="dxa"/>
            <w:vAlign w:val="bottom"/>
            <w:gridSpan w:val="11"/>
          </w:tcPr>
          <w:p>
            <w:pPr>
              <w:spacing w:after="0"/>
              <w:rPr>
                <w:sz w:val="20"/>
                <w:szCs w:val="20"/>
                <w:color w:val="auto"/>
              </w:rPr>
            </w:pPr>
            <w:r>
              <w:rPr>
                <w:rFonts w:ascii="Arial" w:cs="Arial" w:eastAsia="Arial" w:hAnsi="Arial"/>
                <w:sz w:val="18"/>
                <w:szCs w:val="18"/>
                <w:color w:val="auto"/>
              </w:rPr>
              <w:t>Specimen Class C Stock Certificate (1)</w:t>
            </w:r>
          </w:p>
        </w:tc>
      </w:tr>
      <w:tr>
        <w:trPr>
          <w:trHeight w:val="214"/>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4.3</w:t>
            </w:r>
          </w:p>
        </w:tc>
        <w:tc>
          <w:tcPr>
            <w:tcW w:w="97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Specimen Preferred Stock Certificate and Certificate of Designation of Preferred Stock (1)</w:t>
            </w:r>
          </w:p>
        </w:tc>
      </w:tr>
      <w:tr>
        <w:trPr>
          <w:trHeight w:val="174"/>
        </w:trPr>
        <w:tc>
          <w:tcPr>
            <w:tcW w:w="1720" w:type="dxa"/>
            <w:vAlign w:val="bottom"/>
          </w:tcPr>
          <w:p>
            <w:pPr>
              <w:ind w:left="580"/>
              <w:spacing w:after="0" w:line="174" w:lineRule="exact"/>
              <w:rPr>
                <w:sz w:val="20"/>
                <w:szCs w:val="20"/>
                <w:color w:val="auto"/>
              </w:rPr>
            </w:pPr>
            <w:r>
              <w:rPr>
                <w:rFonts w:ascii="Arial" w:cs="Arial" w:eastAsia="Arial" w:hAnsi="Arial"/>
                <w:sz w:val="18"/>
                <w:szCs w:val="18"/>
                <w:color w:val="auto"/>
              </w:rPr>
              <w:t>7.1</w:t>
            </w:r>
          </w:p>
        </w:tc>
        <w:tc>
          <w:tcPr>
            <w:tcW w:w="9700" w:type="dxa"/>
            <w:vAlign w:val="bottom"/>
            <w:gridSpan w:val="11"/>
          </w:tcPr>
          <w:p>
            <w:pPr>
              <w:spacing w:after="0" w:line="174" w:lineRule="exact"/>
              <w:rPr>
                <w:rFonts w:ascii="Arial" w:cs="Arial" w:eastAsia="Arial" w:hAnsi="Arial"/>
                <w:sz w:val="18"/>
                <w:szCs w:val="18"/>
                <w:color w:val="0000EE"/>
              </w:rPr>
            </w:pPr>
            <w:hyperlink r:id="rId132">
              <w:r>
                <w:rPr>
                  <w:rFonts w:ascii="Arial" w:cs="Arial" w:eastAsia="Arial" w:hAnsi="Arial"/>
                  <w:sz w:val="18"/>
                  <w:szCs w:val="18"/>
                  <w:color w:val="0000EE"/>
                </w:rPr>
                <w:t>Letter from Eide Bailly, LLP (7)</w:t>
              </w:r>
            </w:hyperlink>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w:t>
            </w:r>
          </w:p>
        </w:tc>
        <w:tc>
          <w:tcPr>
            <w:tcW w:w="97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Amended and Restated Employee Stock Ownership Plan (ESOP) and Trust Agreement (1)</w:t>
            </w:r>
          </w:p>
        </w:tc>
      </w:tr>
      <w:tr>
        <w:trPr>
          <w:trHeight w:val="174"/>
        </w:trPr>
        <w:tc>
          <w:tcPr>
            <w:tcW w:w="1720" w:type="dxa"/>
            <w:vAlign w:val="bottom"/>
          </w:tcPr>
          <w:p>
            <w:pPr>
              <w:ind w:left="580"/>
              <w:spacing w:after="0" w:line="174" w:lineRule="exact"/>
              <w:rPr>
                <w:sz w:val="20"/>
                <w:szCs w:val="20"/>
                <w:color w:val="auto"/>
              </w:rPr>
            </w:pPr>
            <w:r>
              <w:rPr>
                <w:rFonts w:ascii="Arial" w:cs="Arial" w:eastAsia="Arial" w:hAnsi="Arial"/>
                <w:sz w:val="18"/>
                <w:szCs w:val="18"/>
                <w:color w:val="auto"/>
              </w:rPr>
              <w:t>10.2</w:t>
            </w:r>
          </w:p>
        </w:tc>
        <w:tc>
          <w:tcPr>
            <w:tcW w:w="9700" w:type="dxa"/>
            <w:vAlign w:val="bottom"/>
            <w:gridSpan w:val="11"/>
          </w:tcPr>
          <w:p>
            <w:pPr>
              <w:spacing w:after="0" w:line="174" w:lineRule="exact"/>
              <w:rPr>
                <w:rFonts w:ascii="Arial" w:cs="Arial" w:eastAsia="Arial" w:hAnsi="Arial"/>
                <w:sz w:val="18"/>
                <w:szCs w:val="18"/>
                <w:color w:val="0000EE"/>
              </w:rPr>
            </w:pPr>
            <w:hyperlink r:id="rId133">
              <w:r>
                <w:rPr>
                  <w:rFonts w:ascii="Arial" w:cs="Arial" w:eastAsia="Arial" w:hAnsi="Arial"/>
                  <w:sz w:val="18"/>
                  <w:szCs w:val="18"/>
                  <w:color w:val="0000EE"/>
                </w:rPr>
                <w:t>2013 Amended and Restated Stock Option and Other Equity Incentive Awards Plan (2)</w:t>
              </w:r>
            </w:hyperlink>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4"/>
        </w:trPr>
        <w:tc>
          <w:tcPr>
            <w:tcW w:w="1720" w:type="dxa"/>
            <w:vAlign w:val="bottom"/>
            <w:shd w:val="clear" w:color="auto" w:fill="CCEEFF"/>
          </w:tcPr>
          <w:p>
            <w:pPr>
              <w:ind w:left="580"/>
              <w:spacing w:after="0" w:line="174" w:lineRule="exact"/>
              <w:rPr>
                <w:sz w:val="20"/>
                <w:szCs w:val="20"/>
                <w:color w:val="auto"/>
              </w:rPr>
            </w:pPr>
            <w:r>
              <w:rPr>
                <w:rFonts w:ascii="Arial" w:cs="Arial" w:eastAsia="Arial" w:hAnsi="Arial"/>
                <w:sz w:val="18"/>
                <w:szCs w:val="18"/>
                <w:color w:val="auto"/>
              </w:rPr>
              <w:t>10.3</w:t>
            </w:r>
          </w:p>
        </w:tc>
        <w:tc>
          <w:tcPr>
            <w:tcW w:w="9700" w:type="dxa"/>
            <w:vAlign w:val="bottom"/>
            <w:gridSpan w:val="11"/>
            <w:shd w:val="clear" w:color="auto" w:fill="CCEEFF"/>
          </w:tcPr>
          <w:p>
            <w:pPr>
              <w:spacing w:after="0" w:line="174" w:lineRule="exact"/>
              <w:rPr>
                <w:rFonts w:ascii="Arial" w:cs="Arial" w:eastAsia="Arial" w:hAnsi="Arial"/>
                <w:sz w:val="18"/>
                <w:szCs w:val="18"/>
                <w:color w:val="0000EE"/>
              </w:rPr>
            </w:pPr>
            <w:hyperlink r:id="rId134">
              <w:r>
                <w:rPr>
                  <w:rFonts w:ascii="Arial" w:cs="Arial" w:eastAsia="Arial" w:hAnsi="Arial"/>
                  <w:sz w:val="18"/>
                  <w:szCs w:val="18"/>
                  <w:color w:val="0000EE"/>
                </w:rPr>
                <w:t>2014 Director Stock Option Plan (3)</w:t>
              </w:r>
            </w:hyperlink>
          </w:p>
        </w:tc>
      </w:tr>
      <w:tr>
        <w:trPr>
          <w:trHeight w:val="20"/>
        </w:trPr>
        <w:tc>
          <w:tcPr>
            <w:tcW w:w="17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720" w:type="dxa"/>
            <w:vAlign w:val="bottom"/>
          </w:tcPr>
          <w:p>
            <w:pPr>
              <w:ind w:left="580"/>
              <w:spacing w:after="0" w:line="174" w:lineRule="exact"/>
              <w:rPr>
                <w:sz w:val="20"/>
                <w:szCs w:val="20"/>
                <w:color w:val="auto"/>
              </w:rPr>
            </w:pPr>
            <w:r>
              <w:rPr>
                <w:rFonts w:ascii="Arial" w:cs="Arial" w:eastAsia="Arial" w:hAnsi="Arial"/>
                <w:sz w:val="18"/>
                <w:szCs w:val="18"/>
                <w:color w:val="auto"/>
              </w:rPr>
              <w:t>10.4</w:t>
            </w:r>
          </w:p>
        </w:tc>
        <w:tc>
          <w:tcPr>
            <w:tcW w:w="9700" w:type="dxa"/>
            <w:vAlign w:val="bottom"/>
            <w:gridSpan w:val="11"/>
          </w:tcPr>
          <w:p>
            <w:pPr>
              <w:spacing w:after="0" w:line="174" w:lineRule="exact"/>
              <w:rPr>
                <w:rFonts w:ascii="Arial" w:cs="Arial" w:eastAsia="Arial" w:hAnsi="Arial"/>
                <w:sz w:val="18"/>
                <w:szCs w:val="18"/>
                <w:color w:val="0000EE"/>
              </w:rPr>
            </w:pPr>
            <w:hyperlink r:id="rId135">
              <w:r>
                <w:rPr>
                  <w:rFonts w:ascii="Arial" w:cs="Arial" w:eastAsia="Arial" w:hAnsi="Arial"/>
                  <w:sz w:val="18"/>
                  <w:szCs w:val="18"/>
                  <w:color w:val="0000EE"/>
                </w:rPr>
                <w:t>Employment Agreement with Scott M. Quist (4)</w:t>
              </w:r>
            </w:hyperlink>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1720" w:type="dxa"/>
            <w:vAlign w:val="bottom"/>
            <w:shd w:val="clear" w:color="auto" w:fill="CCEEFF"/>
          </w:tcPr>
          <w:p>
            <w:pPr>
              <w:ind w:left="580"/>
              <w:spacing w:after="0" w:line="174" w:lineRule="exact"/>
              <w:rPr>
                <w:sz w:val="20"/>
                <w:szCs w:val="20"/>
                <w:color w:val="auto"/>
              </w:rPr>
            </w:pPr>
            <w:r>
              <w:rPr>
                <w:rFonts w:ascii="Arial" w:cs="Arial" w:eastAsia="Arial" w:hAnsi="Arial"/>
                <w:sz w:val="18"/>
                <w:szCs w:val="18"/>
                <w:color w:val="auto"/>
              </w:rPr>
              <w:t>10.5</w:t>
            </w:r>
          </w:p>
        </w:tc>
        <w:tc>
          <w:tcPr>
            <w:tcW w:w="9700" w:type="dxa"/>
            <w:vAlign w:val="bottom"/>
            <w:gridSpan w:val="11"/>
            <w:shd w:val="clear" w:color="auto" w:fill="CCEEFF"/>
          </w:tcPr>
          <w:p>
            <w:pPr>
              <w:spacing w:after="0" w:line="174"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Stock Purchase Agreement among Security National Financial Corporation, Beta Capital Corp., and Ronald D. Maxson (9)</w:t>
              </w:r>
            </w:hyperlink>
          </w:p>
        </w:tc>
      </w:tr>
      <w:tr>
        <w:trPr>
          <w:trHeight w:val="174"/>
        </w:trPr>
        <w:tc>
          <w:tcPr>
            <w:tcW w:w="1720" w:type="dxa"/>
            <w:vAlign w:val="bottom"/>
            <w:tcBorders>
              <w:top w:val="single" w:sz="8" w:color="CCEEFF"/>
            </w:tcBorders>
          </w:tcPr>
          <w:p>
            <w:pPr>
              <w:ind w:left="580"/>
              <w:spacing w:after="0" w:line="174" w:lineRule="exact"/>
              <w:rPr>
                <w:sz w:val="20"/>
                <w:szCs w:val="20"/>
                <w:color w:val="auto"/>
              </w:rPr>
            </w:pPr>
            <w:r>
              <w:rPr>
                <w:rFonts w:ascii="Arial" w:cs="Arial" w:eastAsia="Arial" w:hAnsi="Arial"/>
                <w:sz w:val="18"/>
                <w:szCs w:val="18"/>
                <w:color w:val="auto"/>
              </w:rPr>
              <w:t>10.6</w:t>
            </w:r>
          </w:p>
        </w:tc>
        <w:tc>
          <w:tcPr>
            <w:tcW w:w="8780" w:type="dxa"/>
            <w:vAlign w:val="bottom"/>
            <w:tcBorders>
              <w:top w:val="single" w:sz="8" w:color="0000EE"/>
            </w:tcBorders>
            <w:gridSpan w:val="9"/>
          </w:tcPr>
          <w:p>
            <w:pPr>
              <w:spacing w:after="0" w:line="174" w:lineRule="exact"/>
              <w:rPr>
                <w:rFonts w:ascii="Arial" w:cs="Arial" w:eastAsia="Arial" w:hAnsi="Arial"/>
                <w:sz w:val="18"/>
                <w:szCs w:val="18"/>
                <w:color w:val="0000EE"/>
              </w:rPr>
            </w:pPr>
            <w:hyperlink r:id="rId137">
              <w:r>
                <w:rPr>
                  <w:rFonts w:ascii="Arial" w:cs="Arial" w:eastAsia="Arial" w:hAnsi="Arial"/>
                  <w:sz w:val="18"/>
                  <w:szCs w:val="18"/>
                  <w:color w:val="0000EE"/>
                </w:rPr>
                <w:t>Stock Repurchase Plan (10)</w:t>
              </w:r>
            </w:hyperlink>
          </w:p>
        </w:tc>
        <w:tc>
          <w:tcPr>
            <w:tcW w:w="920" w:type="dxa"/>
            <w:vAlign w:val="bottom"/>
            <w:tcBorders>
              <w:top w:val="single" w:sz="8" w:color="CCEEFF"/>
            </w:tcBorders>
            <w:gridSpan w:val="2"/>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4"/>
        </w:trPr>
        <w:tc>
          <w:tcPr>
            <w:tcW w:w="1720" w:type="dxa"/>
            <w:vAlign w:val="bottom"/>
            <w:tcBorders>
              <w:bottom w:val="single" w:sz="8" w:color="CCEEFF"/>
            </w:tcBorders>
            <w:shd w:val="clear" w:color="auto" w:fill="CCEEFF"/>
          </w:tcPr>
          <w:p>
            <w:pPr>
              <w:ind w:left="580"/>
              <w:spacing w:after="0" w:line="174" w:lineRule="exact"/>
              <w:rPr>
                <w:sz w:val="20"/>
                <w:szCs w:val="20"/>
                <w:color w:val="auto"/>
              </w:rPr>
            </w:pPr>
            <w:r>
              <w:rPr>
                <w:rFonts w:ascii="Arial" w:cs="Arial" w:eastAsia="Arial" w:hAnsi="Arial"/>
                <w:sz w:val="18"/>
                <w:szCs w:val="18"/>
                <w:color w:val="auto"/>
              </w:rPr>
              <w:t>10.7</w:t>
            </w:r>
          </w:p>
        </w:tc>
        <w:tc>
          <w:tcPr>
            <w:tcW w:w="9540" w:type="dxa"/>
            <w:vAlign w:val="bottom"/>
            <w:tcBorders>
              <w:bottom w:val="single" w:sz="8" w:color="0000EE"/>
            </w:tcBorders>
            <w:gridSpan w:val="10"/>
            <w:shd w:val="clear" w:color="auto" w:fill="CCEEFF"/>
          </w:tcPr>
          <w:p>
            <w:pPr>
              <w:spacing w:after="0" w:line="174"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Asset Purchase Agreement among SN Probst LLC, Probst Family Funerals and Cremations, L.L.C, Heber Valley Funeral Home, Inc.,</w:t>
              </w:r>
            </w:hyperlink>
          </w:p>
        </w:tc>
        <w:tc>
          <w:tcPr>
            <w:tcW w:w="160" w:type="dxa"/>
            <w:vAlign w:val="bottom"/>
            <w:tcBorders>
              <w:bottom w:val="single" w:sz="8" w:color="CCEEFF"/>
            </w:tcBorders>
            <w:shd w:val="clear" w:color="auto" w:fill="CCEEFF"/>
          </w:tcPr>
          <w:p>
            <w:pPr>
              <w:spacing w:after="0"/>
              <w:rPr>
                <w:sz w:val="15"/>
                <w:szCs w:val="15"/>
                <w:color w:val="auto"/>
              </w:rPr>
            </w:pPr>
          </w:p>
        </w:tc>
      </w:tr>
      <w:tr>
        <w:trPr>
          <w:trHeight w:val="194"/>
        </w:trPr>
        <w:tc>
          <w:tcPr>
            <w:tcW w:w="1720" w:type="dxa"/>
            <w:vAlign w:val="bottom"/>
            <w:shd w:val="clear" w:color="auto" w:fill="CCEEFF"/>
          </w:tcPr>
          <w:p>
            <w:pPr>
              <w:spacing w:after="0"/>
              <w:rPr>
                <w:sz w:val="16"/>
                <w:szCs w:val="16"/>
                <w:color w:val="auto"/>
              </w:rPr>
            </w:pPr>
          </w:p>
        </w:tc>
        <w:tc>
          <w:tcPr>
            <w:tcW w:w="9700" w:type="dxa"/>
            <w:vAlign w:val="bottom"/>
            <w:gridSpan w:val="11"/>
            <w:shd w:val="clear" w:color="auto" w:fill="CCEEFF"/>
          </w:tcPr>
          <w:p>
            <w:pPr>
              <w:spacing w:after="0" w:line="194" w:lineRule="exact"/>
              <w:rPr>
                <w:rFonts w:ascii="Arial" w:cs="Arial" w:eastAsia="Arial" w:hAnsi="Arial"/>
                <w:sz w:val="18"/>
                <w:szCs w:val="18"/>
                <w:color w:val="0000EE"/>
              </w:rPr>
            </w:pPr>
            <w:hyperlink r:id="rId138">
              <w:r>
                <w:rPr>
                  <w:rFonts w:ascii="Arial" w:cs="Arial" w:eastAsia="Arial" w:hAnsi="Arial"/>
                  <w:sz w:val="18"/>
                  <w:szCs w:val="18"/>
                  <w:color w:val="0000EE"/>
                </w:rPr>
                <w:t>Joe T. Probst, Clinton Wayne Probst, Calle J. Probst, and Marsha J. Probst (11)</w:t>
              </w:r>
            </w:hyperlink>
          </w:p>
        </w:tc>
      </w:tr>
      <w:tr>
        <w:trPr>
          <w:trHeight w:val="20"/>
        </w:trPr>
        <w:tc>
          <w:tcPr>
            <w:tcW w:w="17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ind w:left="1720" w:hanging="1139"/>
        <w:spacing w:after="0"/>
        <w:tabs>
          <w:tab w:leader="none" w:pos="1720" w:val="left"/>
        </w:tabs>
        <w:numPr>
          <w:ilvl w:val="0"/>
          <w:numId w:val="84"/>
        </w:numPr>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Subsidiaries of the Registrant</w:t>
        </w:r>
      </w:hyperlink>
    </w:p>
    <w:tbl>
      <w:tblPr>
        <w:tblLayout w:type="fixed"/>
        <w:tblInd w:w="0" w:type="dxa"/>
        <w:tblCellMar>
          <w:top w:w="0" w:type="dxa"/>
          <w:left w:w="0" w:type="dxa"/>
          <w:bottom w:w="0" w:type="dxa"/>
          <w:right w:w="0" w:type="dxa"/>
        </w:tblCellMar>
      </w:tblPr>
      <w:tr>
        <w:trPr>
          <w:trHeight w:val="180"/>
        </w:trPr>
        <w:tc>
          <w:tcPr>
            <w:tcW w:w="1720" w:type="dxa"/>
            <w:vAlign w:val="bottom"/>
            <w:shd w:val="clear" w:color="auto" w:fill="CCEEFF"/>
          </w:tcPr>
          <w:p>
            <w:pPr>
              <w:ind w:left="580"/>
              <w:spacing w:after="0" w:line="180" w:lineRule="exact"/>
              <w:rPr>
                <w:sz w:val="20"/>
                <w:szCs w:val="20"/>
                <w:color w:val="auto"/>
              </w:rPr>
            </w:pPr>
            <w:r>
              <w:rPr>
                <w:rFonts w:ascii="Arial" w:cs="Arial" w:eastAsia="Arial" w:hAnsi="Arial"/>
                <w:sz w:val="18"/>
                <w:szCs w:val="18"/>
                <w:color w:val="auto"/>
              </w:rPr>
              <w:t>23.1</w:t>
            </w:r>
          </w:p>
        </w:tc>
        <w:tc>
          <w:tcPr>
            <w:tcW w:w="9700" w:type="dxa"/>
            <w:vAlign w:val="bottom"/>
            <w:gridSpan w:val="6"/>
            <w:shd w:val="clear" w:color="auto" w:fill="CCEEFF"/>
          </w:tcPr>
          <w:p>
            <w:pPr>
              <w:spacing w:after="0" w:line="180" w:lineRule="exact"/>
              <w:rPr>
                <w:rFonts w:ascii="Arial" w:cs="Arial" w:eastAsia="Arial" w:hAnsi="Arial"/>
                <w:sz w:val="18"/>
                <w:szCs w:val="18"/>
                <w:color w:val="0000EE"/>
              </w:rPr>
            </w:pPr>
            <w:hyperlink r:id="rId139">
              <w:r>
                <w:rPr>
                  <w:rFonts w:ascii="Arial" w:cs="Arial" w:eastAsia="Arial" w:hAnsi="Arial"/>
                  <w:sz w:val="18"/>
                  <w:szCs w:val="18"/>
                  <w:color w:val="0000EE"/>
                </w:rPr>
                <w:t>Consent of Eide Bailly LLP (5)</w:t>
              </w:r>
            </w:hyperlink>
          </w:p>
        </w:tc>
      </w:tr>
      <w:tr>
        <w:trPr>
          <w:trHeight w:val="20"/>
        </w:trPr>
        <w:tc>
          <w:tcPr>
            <w:tcW w:w="17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720" w:type="dxa"/>
            <w:vAlign w:val="bottom"/>
          </w:tcPr>
          <w:p>
            <w:pPr>
              <w:ind w:left="580"/>
              <w:spacing w:after="0" w:line="174" w:lineRule="exact"/>
              <w:rPr>
                <w:sz w:val="20"/>
                <w:szCs w:val="20"/>
                <w:color w:val="auto"/>
              </w:rPr>
            </w:pPr>
            <w:r>
              <w:rPr>
                <w:rFonts w:ascii="Arial" w:cs="Arial" w:eastAsia="Arial" w:hAnsi="Arial"/>
                <w:sz w:val="18"/>
                <w:szCs w:val="18"/>
                <w:color w:val="auto"/>
              </w:rPr>
              <w:t>23.2</w:t>
            </w:r>
          </w:p>
        </w:tc>
        <w:tc>
          <w:tcPr>
            <w:tcW w:w="9700" w:type="dxa"/>
            <w:vAlign w:val="bottom"/>
            <w:gridSpan w:val="6"/>
          </w:tcPr>
          <w:p>
            <w:pPr>
              <w:spacing w:after="0" w:line="174" w:lineRule="exact"/>
              <w:rPr>
                <w:rFonts w:ascii="Arial" w:cs="Arial" w:eastAsia="Arial" w:hAnsi="Arial"/>
                <w:sz w:val="18"/>
                <w:szCs w:val="18"/>
                <w:color w:val="0000EE"/>
              </w:rPr>
            </w:pPr>
            <w:hyperlink r:id="rId140">
              <w:r>
                <w:rPr>
                  <w:rFonts w:ascii="Arial" w:cs="Arial" w:eastAsia="Arial" w:hAnsi="Arial"/>
                  <w:sz w:val="18"/>
                  <w:szCs w:val="18"/>
                  <w:color w:val="0000EE"/>
                </w:rPr>
                <w:t>Consent of Mackey Price &amp; Mecham (5)</w:t>
              </w:r>
            </w:hyperlink>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4"/>
        </w:trPr>
        <w:tc>
          <w:tcPr>
            <w:tcW w:w="1720" w:type="dxa"/>
            <w:vAlign w:val="bottom"/>
            <w:shd w:val="clear" w:color="auto" w:fill="CCEEFF"/>
          </w:tcPr>
          <w:p>
            <w:pPr>
              <w:ind w:left="580"/>
              <w:spacing w:after="0" w:line="174" w:lineRule="exact"/>
              <w:rPr>
                <w:sz w:val="20"/>
                <w:szCs w:val="20"/>
                <w:color w:val="auto"/>
              </w:rPr>
            </w:pPr>
            <w:r>
              <w:rPr>
                <w:rFonts w:ascii="Arial" w:cs="Arial" w:eastAsia="Arial" w:hAnsi="Arial"/>
                <w:sz w:val="18"/>
                <w:szCs w:val="18"/>
                <w:color w:val="auto"/>
              </w:rPr>
              <w:t>31.1</w:t>
            </w:r>
          </w:p>
        </w:tc>
        <w:tc>
          <w:tcPr>
            <w:tcW w:w="9700" w:type="dxa"/>
            <w:vAlign w:val="bottom"/>
            <w:gridSpan w:val="6"/>
            <w:shd w:val="clear" w:color="auto" w:fill="CCEEFF"/>
          </w:tcPr>
          <w:p>
            <w:pPr>
              <w:spacing w:after="0" w:line="174" w:lineRule="exact"/>
              <w:rPr>
                <w:rFonts w:ascii="Arial" w:cs="Arial" w:eastAsia="Arial" w:hAnsi="Arial"/>
                <w:sz w:val="18"/>
                <w:szCs w:val="18"/>
                <w:color w:val="0000EE"/>
              </w:rPr>
            </w:pPr>
            <w:hyperlink w:anchor="page138">
              <w:r>
                <w:rPr>
                  <w:rFonts w:ascii="Arial" w:cs="Arial" w:eastAsia="Arial" w:hAnsi="Arial"/>
                  <w:sz w:val="18"/>
                  <w:szCs w:val="18"/>
                  <w:color w:val="0000EE"/>
                </w:rPr>
                <w:t>Certification pursuant to 18 U.S.C. Section 1350, as enacted by Section 302 of the Sarbanes-Oxley Act of 2002</w:t>
              </w:r>
            </w:hyperlink>
          </w:p>
        </w:tc>
      </w:tr>
      <w:tr>
        <w:trPr>
          <w:trHeight w:val="20"/>
        </w:trPr>
        <w:tc>
          <w:tcPr>
            <w:tcW w:w="17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0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720" w:type="dxa"/>
            <w:vAlign w:val="bottom"/>
          </w:tcPr>
          <w:p>
            <w:pPr>
              <w:ind w:left="580"/>
              <w:spacing w:after="0" w:line="174" w:lineRule="exact"/>
              <w:rPr>
                <w:sz w:val="20"/>
                <w:szCs w:val="20"/>
                <w:color w:val="auto"/>
              </w:rPr>
            </w:pPr>
            <w:r>
              <w:rPr>
                <w:rFonts w:ascii="Arial" w:cs="Arial" w:eastAsia="Arial" w:hAnsi="Arial"/>
                <w:sz w:val="18"/>
                <w:szCs w:val="18"/>
                <w:color w:val="auto"/>
              </w:rPr>
              <w:t>31.2</w:t>
            </w:r>
          </w:p>
        </w:tc>
        <w:tc>
          <w:tcPr>
            <w:tcW w:w="2000" w:type="dxa"/>
            <w:vAlign w:val="bottom"/>
          </w:tcPr>
          <w:p>
            <w:pPr>
              <w:spacing w:after="0" w:line="174"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Certification pursuant to 18</w:t>
              </w:r>
            </w:hyperlink>
          </w:p>
        </w:tc>
        <w:tc>
          <w:tcPr>
            <w:tcW w:w="7700" w:type="dxa"/>
            <w:vAlign w:val="bottom"/>
            <w:gridSpan w:val="5"/>
          </w:tcPr>
          <w:p>
            <w:pPr>
              <w:ind w:left="20"/>
              <w:spacing w:after="0" w:line="174" w:lineRule="exact"/>
              <w:rPr>
                <w:rFonts w:ascii="Arial" w:cs="Arial" w:eastAsia="Arial" w:hAnsi="Arial"/>
                <w:sz w:val="18"/>
                <w:szCs w:val="18"/>
                <w:color w:val="0000EE"/>
              </w:rPr>
            </w:pPr>
            <w:hyperlink w:anchor="page139">
              <w:r>
                <w:rPr>
                  <w:rFonts w:ascii="Arial" w:cs="Arial" w:eastAsia="Arial" w:hAnsi="Arial"/>
                  <w:sz w:val="18"/>
                  <w:szCs w:val="18"/>
                  <w:color w:val="0000EE"/>
                </w:rPr>
                <w:t>U.S.C. Section 1350, as enacted by Section 302 of the Sarbanes-Oxley Act of 2002</w:t>
              </w:r>
            </w:hyperlink>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0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1720" w:type="dxa"/>
            <w:vAlign w:val="bottom"/>
            <w:tcBorders>
              <w:bottom w:val="single" w:sz="8" w:color="CCEEFF"/>
            </w:tcBorders>
            <w:shd w:val="clear" w:color="auto" w:fill="CCEEFF"/>
          </w:tcPr>
          <w:p>
            <w:pPr>
              <w:ind w:left="580"/>
              <w:spacing w:after="0" w:line="174" w:lineRule="exact"/>
              <w:rPr>
                <w:sz w:val="20"/>
                <w:szCs w:val="20"/>
                <w:color w:val="auto"/>
              </w:rPr>
            </w:pPr>
            <w:r>
              <w:rPr>
                <w:rFonts w:ascii="Arial" w:cs="Arial" w:eastAsia="Arial" w:hAnsi="Arial"/>
                <w:sz w:val="18"/>
                <w:szCs w:val="18"/>
                <w:color w:val="auto"/>
              </w:rPr>
              <w:t>32.1</w:t>
            </w:r>
          </w:p>
        </w:tc>
        <w:tc>
          <w:tcPr>
            <w:tcW w:w="2000" w:type="dxa"/>
            <w:vAlign w:val="bottom"/>
            <w:tcBorders>
              <w:bottom w:val="single" w:sz="8" w:color="0000EE"/>
            </w:tcBorders>
            <w:shd w:val="clear" w:color="auto" w:fill="CCEEFF"/>
          </w:tcPr>
          <w:p>
            <w:pPr>
              <w:spacing w:after="0" w:line="174"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Certification pursuant to 18</w:t>
              </w:r>
            </w:hyperlink>
          </w:p>
        </w:tc>
        <w:tc>
          <w:tcPr>
            <w:tcW w:w="6580" w:type="dxa"/>
            <w:vAlign w:val="bottom"/>
            <w:tcBorders>
              <w:bottom w:val="single" w:sz="8" w:color="0000EE"/>
            </w:tcBorders>
            <w:gridSpan w:val="4"/>
            <w:shd w:val="clear" w:color="auto" w:fill="CCEEFF"/>
          </w:tcPr>
          <w:p>
            <w:pPr>
              <w:ind w:left="20"/>
              <w:spacing w:after="0" w:line="174"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U.S.C. Section 1350, as adopted pursuant to Section 906 of the Sarbanes-Oxley Act of 2002</w:t>
              </w:r>
            </w:hyperlink>
          </w:p>
        </w:tc>
        <w:tc>
          <w:tcPr>
            <w:tcW w:w="1120" w:type="dxa"/>
            <w:vAlign w:val="bottom"/>
            <w:tcBorders>
              <w:bottom w:val="single" w:sz="8" w:color="CCEEFF"/>
            </w:tcBorders>
            <w:shd w:val="clear" w:color="auto" w:fill="CCEEFF"/>
          </w:tcPr>
          <w:p>
            <w:pPr>
              <w:spacing w:after="0"/>
              <w:rPr>
                <w:sz w:val="16"/>
                <w:szCs w:val="16"/>
                <w:color w:val="auto"/>
              </w:rPr>
            </w:pPr>
          </w:p>
        </w:tc>
      </w:tr>
      <w:tr>
        <w:trPr>
          <w:trHeight w:val="174"/>
        </w:trPr>
        <w:tc>
          <w:tcPr>
            <w:tcW w:w="1720" w:type="dxa"/>
            <w:vAlign w:val="bottom"/>
          </w:tcPr>
          <w:p>
            <w:pPr>
              <w:ind w:left="580"/>
              <w:spacing w:after="0" w:line="174" w:lineRule="exact"/>
              <w:rPr>
                <w:sz w:val="20"/>
                <w:szCs w:val="20"/>
                <w:color w:val="auto"/>
              </w:rPr>
            </w:pPr>
            <w:r>
              <w:rPr>
                <w:rFonts w:ascii="Arial" w:cs="Arial" w:eastAsia="Arial" w:hAnsi="Arial"/>
                <w:sz w:val="18"/>
                <w:szCs w:val="18"/>
                <w:color w:val="auto"/>
              </w:rPr>
              <w:t>32.2</w:t>
            </w:r>
          </w:p>
        </w:tc>
        <w:tc>
          <w:tcPr>
            <w:tcW w:w="2000" w:type="dxa"/>
            <w:vAlign w:val="bottom"/>
          </w:tcPr>
          <w:p>
            <w:pPr>
              <w:spacing w:after="0" w:line="174"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Certification pursuant to 18</w:t>
              </w:r>
            </w:hyperlink>
          </w:p>
        </w:tc>
        <w:tc>
          <w:tcPr>
            <w:tcW w:w="7700" w:type="dxa"/>
            <w:vAlign w:val="bottom"/>
            <w:gridSpan w:val="5"/>
          </w:tcPr>
          <w:p>
            <w:pPr>
              <w:ind w:left="20"/>
              <w:spacing w:after="0" w:line="174" w:lineRule="exact"/>
              <w:rPr>
                <w:rFonts w:ascii="Arial" w:cs="Arial" w:eastAsia="Arial" w:hAnsi="Arial"/>
                <w:sz w:val="18"/>
                <w:szCs w:val="18"/>
                <w:color w:val="0000EE"/>
              </w:rPr>
            </w:pPr>
            <w:hyperlink w:anchor="page141">
              <w:r>
                <w:rPr>
                  <w:rFonts w:ascii="Arial" w:cs="Arial" w:eastAsia="Arial" w:hAnsi="Arial"/>
                  <w:sz w:val="18"/>
                  <w:szCs w:val="18"/>
                  <w:color w:val="0000EE"/>
                </w:rPr>
                <w:t>U.S.C. Section 1350, as adopted pursuant to Section 906 of the Sarbanes-Oxley Act of 2002</w:t>
              </w:r>
            </w:hyperlink>
          </w:p>
        </w:tc>
      </w:tr>
      <w:tr>
        <w:trPr>
          <w:trHeight w:val="20"/>
        </w:trPr>
        <w:tc>
          <w:tcPr>
            <w:tcW w:w="1720" w:type="dxa"/>
            <w:vAlign w:val="bottom"/>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0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4"/>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101.xml</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1720" w:type="dxa"/>
            <w:vAlign w:val="bottom"/>
          </w:tcPr>
          <w:p>
            <w:pPr>
              <w:ind w:left="580"/>
              <w:spacing w:after="0"/>
              <w:rPr>
                <w:sz w:val="20"/>
                <w:szCs w:val="20"/>
                <w:color w:val="auto"/>
              </w:rPr>
            </w:pPr>
            <w:r>
              <w:rPr>
                <w:rFonts w:ascii="Arial" w:cs="Arial" w:eastAsia="Arial" w:hAnsi="Arial"/>
                <w:sz w:val="18"/>
                <w:szCs w:val="18"/>
                <w:color w:val="auto"/>
              </w:rPr>
              <w:t>101.xsd</w:t>
            </w:r>
          </w:p>
        </w:tc>
        <w:tc>
          <w:tcPr>
            <w:tcW w:w="9700" w:type="dxa"/>
            <w:vAlign w:val="bottom"/>
            <w:gridSpan w:val="6"/>
          </w:tcPr>
          <w:p>
            <w:pPr>
              <w:spacing w:after="0"/>
              <w:rPr>
                <w:sz w:val="20"/>
                <w:szCs w:val="20"/>
                <w:color w:val="auto"/>
              </w:rPr>
            </w:pPr>
            <w:r>
              <w:rPr>
                <w:rFonts w:ascii="Arial" w:cs="Arial" w:eastAsia="Arial" w:hAnsi="Arial"/>
                <w:sz w:val="18"/>
                <w:szCs w:val="18"/>
                <w:color w:val="auto"/>
              </w:rPr>
              <w:t>Taxonomy Extension Schema Document</w:t>
            </w:r>
          </w:p>
        </w:tc>
      </w:tr>
      <w:tr>
        <w:trPr>
          <w:trHeight w:val="214"/>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101.cal</w:t>
            </w:r>
          </w:p>
        </w:tc>
        <w:tc>
          <w:tcPr>
            <w:tcW w:w="97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214"/>
        </w:trPr>
        <w:tc>
          <w:tcPr>
            <w:tcW w:w="1720" w:type="dxa"/>
            <w:vAlign w:val="bottom"/>
          </w:tcPr>
          <w:p>
            <w:pPr>
              <w:ind w:left="580"/>
              <w:spacing w:after="0"/>
              <w:rPr>
                <w:sz w:val="20"/>
                <w:szCs w:val="20"/>
                <w:color w:val="auto"/>
              </w:rPr>
            </w:pPr>
            <w:r>
              <w:rPr>
                <w:rFonts w:ascii="Arial" w:cs="Arial" w:eastAsia="Arial" w:hAnsi="Arial"/>
                <w:sz w:val="18"/>
                <w:szCs w:val="18"/>
                <w:color w:val="auto"/>
              </w:rPr>
              <w:t>101.def</w:t>
            </w:r>
          </w:p>
        </w:tc>
        <w:tc>
          <w:tcPr>
            <w:tcW w:w="9700" w:type="dxa"/>
            <w:vAlign w:val="bottom"/>
            <w:gridSpan w:val="6"/>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214"/>
        </w:trPr>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101.lab</w:t>
            </w:r>
          </w:p>
        </w:tc>
        <w:tc>
          <w:tcPr>
            <w:tcW w:w="97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227"/>
        </w:trPr>
        <w:tc>
          <w:tcPr>
            <w:tcW w:w="1720" w:type="dxa"/>
            <w:vAlign w:val="bottom"/>
          </w:tcPr>
          <w:p>
            <w:pPr>
              <w:ind w:left="580"/>
              <w:spacing w:after="0"/>
              <w:rPr>
                <w:sz w:val="20"/>
                <w:szCs w:val="20"/>
                <w:color w:val="auto"/>
              </w:rPr>
            </w:pPr>
            <w:r>
              <w:rPr>
                <w:rFonts w:ascii="Arial" w:cs="Arial" w:eastAsia="Arial" w:hAnsi="Arial"/>
                <w:sz w:val="18"/>
                <w:szCs w:val="18"/>
                <w:color w:val="auto"/>
              </w:rPr>
              <w:t>101.pre</w:t>
            </w:r>
          </w:p>
        </w:tc>
        <w:tc>
          <w:tcPr>
            <w:tcW w:w="9700" w:type="dxa"/>
            <w:vAlign w:val="bottom"/>
            <w:gridSpan w:val="6"/>
          </w:tcPr>
          <w:p>
            <w:pPr>
              <w:spacing w:after="0"/>
              <w:rPr>
                <w:sz w:val="20"/>
                <w:szCs w:val="20"/>
                <w:color w:val="auto"/>
              </w:rPr>
            </w:pPr>
            <w:r>
              <w:rPr>
                <w:rFonts w:ascii="Arial" w:cs="Arial" w:eastAsia="Arial" w:hAnsi="Arial"/>
                <w:sz w:val="18"/>
                <w:szCs w:val="18"/>
                <w:color w:val="auto"/>
              </w:rPr>
              <w:t>Taxonomy Extension Presentation Linkbase Document</w:t>
            </w:r>
          </w:p>
        </w:tc>
      </w:tr>
      <w:tr>
        <w:trPr>
          <w:trHeight w:val="803"/>
        </w:trPr>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940" w:type="dxa"/>
            <w:vAlign w:val="bottom"/>
            <w:gridSpan w:val="3"/>
          </w:tcPr>
          <w:p>
            <w:pPr>
              <w:jc w:val="right"/>
              <w:ind w:right="3840"/>
              <w:spacing w:after="0"/>
              <w:rPr>
                <w:sz w:val="20"/>
                <w:szCs w:val="20"/>
                <w:color w:val="auto"/>
              </w:rPr>
            </w:pPr>
            <w:r>
              <w:rPr>
                <w:rFonts w:ascii="Arial" w:cs="Arial" w:eastAsia="Arial" w:hAnsi="Arial"/>
                <w:sz w:val="14"/>
                <w:szCs w:val="14"/>
                <w:color w:val="auto"/>
              </w:rPr>
              <w:t>121</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
        </w:trPr>
        <w:tc>
          <w:tcPr>
            <w:tcW w:w="17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392" w:right="239" w:bottom="1440" w:gutter="0" w:footer="0" w:header="0"/>
        </w:sectPr>
      </w:pPr>
    </w:p>
    <w:bookmarkStart w:id="127" w:name="page128"/>
    <w:bookmarkEnd w:id="127"/>
    <w:p>
      <w:pPr>
        <w:ind w:left="1153" w:hanging="1153"/>
        <w:spacing w:after="0" w:line="207" w:lineRule="exact"/>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filed on September 29, 1987</w:t>
      </w:r>
    </w:p>
    <w:p>
      <w:pPr>
        <w:spacing w:after="0" w:line="19"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6" w:lineRule="exact"/>
        <w:rPr>
          <w:rFonts w:ascii="Arial" w:cs="Arial" w:eastAsia="Arial" w:hAnsi="Arial"/>
          <w:sz w:val="18"/>
          <w:szCs w:val="18"/>
          <w:color w:val="auto"/>
        </w:rPr>
      </w:pPr>
    </w:p>
    <w:p>
      <w:pPr>
        <w:ind w:left="1153" w:hanging="1153"/>
        <w:spacing w:after="0" w:line="247" w:lineRule="auto"/>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Schedule 14A Definitive Proxy Statement, as filed on September 2, 2014, related to Company’s Annual Meeting of Stockholders</w:t>
      </w:r>
    </w:p>
    <w:p>
      <w:pPr>
        <w:spacing w:after="0" w:line="1"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15, 2015</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S-8, as filed on October 20, 2015</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August 4, 2017</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25, 2017</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June 6, 2018</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6" w:lineRule="exact"/>
        <w:rPr>
          <w:rFonts w:ascii="Arial" w:cs="Arial" w:eastAsia="Arial" w:hAnsi="Arial"/>
          <w:sz w:val="18"/>
          <w:szCs w:val="18"/>
          <w:color w:val="auto"/>
        </w:rPr>
      </w:pPr>
    </w:p>
    <w:p>
      <w:pPr>
        <w:ind w:left="1153" w:hanging="1153"/>
        <w:spacing w:after="0"/>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93"/>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7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0813"/>
          </w:cols>
          <w:pgMar w:left="247" w:top="365" w:right="8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SIGNATURES</w:t>
      </w:r>
    </w:p>
    <w:p>
      <w:pPr>
        <w:spacing w:after="0" w:line="27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SECURITY NATIONAL FINANCIAL CORPORATION</w:t>
            </w:r>
          </w:p>
        </w:tc>
      </w:tr>
      <w:tr>
        <w:trPr>
          <w:trHeight w:val="602"/>
        </w:trPr>
        <w:tc>
          <w:tcPr>
            <w:tcW w:w="3520" w:type="dxa"/>
            <w:vAlign w:val="bottom"/>
          </w:tcPr>
          <w:p>
            <w:pPr>
              <w:spacing w:after="0"/>
              <w:rPr>
                <w:sz w:val="20"/>
                <w:szCs w:val="20"/>
                <w:color w:val="auto"/>
              </w:rPr>
            </w:pPr>
            <w:r>
              <w:rPr>
                <w:rFonts w:ascii="Arial" w:cs="Arial" w:eastAsia="Arial" w:hAnsi="Arial"/>
                <w:sz w:val="18"/>
                <w:szCs w:val="18"/>
                <w:color w:val="auto"/>
              </w:rPr>
              <w:t>Dated: March 29, 2019</w:t>
            </w:r>
          </w:p>
        </w:tc>
        <w:tc>
          <w:tcPr>
            <w:tcW w:w="6860" w:type="dxa"/>
            <w:vAlign w:val="bottom"/>
            <w:gridSpan w:val="3"/>
          </w:tcPr>
          <w:p>
            <w:pPr>
              <w:ind w:left="1860"/>
              <w:spacing w:after="0"/>
              <w:rPr>
                <w:sz w:val="20"/>
                <w:szCs w:val="20"/>
                <w:color w:val="auto"/>
              </w:rPr>
            </w:pPr>
            <w:r>
              <w:rPr>
                <w:rFonts w:ascii="Arial" w:cs="Arial" w:eastAsia="Arial" w:hAnsi="Arial"/>
                <w:sz w:val="18"/>
                <w:szCs w:val="18"/>
                <w:color w:val="auto"/>
              </w:rPr>
              <w:t>By:    /s/ Scott M. Quist</w:t>
            </w:r>
          </w:p>
        </w:tc>
      </w:tr>
      <w:tr>
        <w:trPr>
          <w:trHeight w:val="219"/>
        </w:trPr>
        <w:tc>
          <w:tcPr>
            <w:tcW w:w="3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Quist</w:t>
            </w:r>
          </w:p>
        </w:tc>
        <w:tc>
          <w:tcPr>
            <w:tcW w:w="3180" w:type="dxa"/>
            <w:vAlign w:val="bottom"/>
          </w:tcPr>
          <w:p>
            <w:pPr>
              <w:spacing w:after="0"/>
              <w:rPr>
                <w:sz w:val="19"/>
                <w:szCs w:val="19"/>
                <w:color w:val="auto"/>
              </w:rPr>
            </w:pPr>
          </w:p>
        </w:tc>
      </w:tr>
      <w:tr>
        <w:trPr>
          <w:trHeight w:val="227"/>
        </w:trPr>
        <w:tc>
          <w:tcPr>
            <w:tcW w:w="3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0"/>
              </w:rPr>
              <w:t>Chairman of the Board, President and Chief Executive Officer</w:t>
            </w:r>
          </w:p>
        </w:tc>
      </w:tr>
    </w:tbl>
    <w:p>
      <w:pPr>
        <w:spacing w:after="0" w:line="25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w w:val="93"/>
              </w:rPr>
              <w:t>SIGNATURE</w:t>
            </w:r>
          </w:p>
        </w:tc>
        <w:tc>
          <w:tcPr>
            <w:tcW w:w="660" w:type="dxa"/>
            <w:vAlign w:val="bottom"/>
            <w:gridSpan w:val="9"/>
          </w:tcPr>
          <w:p>
            <w:pPr>
              <w:spacing w:after="0"/>
              <w:rPr>
                <w:sz w:val="17"/>
                <w:szCs w:val="17"/>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TITLE</w:t>
            </w:r>
          </w:p>
        </w:tc>
        <w:tc>
          <w:tcPr>
            <w:tcW w:w="26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07"/>
        </w:trPr>
        <w:tc>
          <w:tcPr>
            <w:tcW w:w="1660" w:type="dxa"/>
            <w:vAlign w:val="bottom"/>
            <w:gridSpan w:val="10"/>
          </w:tcPr>
          <w:p>
            <w:pPr>
              <w:spacing w:after="0"/>
              <w:rPr>
                <w:sz w:val="20"/>
                <w:szCs w:val="20"/>
                <w:color w:val="auto"/>
              </w:rPr>
            </w:pPr>
            <w:r>
              <w:rPr>
                <w:rFonts w:ascii="Arial" w:cs="Arial" w:eastAsia="Arial" w:hAnsi="Arial"/>
                <w:sz w:val="18"/>
                <w:szCs w:val="18"/>
                <w:color w:val="auto"/>
              </w:rPr>
              <w:t>/s/ Scott M. Quist</w:t>
            </w: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Chairman of the Board, President</w:t>
            </w: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9"/>
        </w:trPr>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Scott M. Quist</w:t>
            </w:r>
          </w:p>
        </w:tc>
        <w:tc>
          <w:tcPr>
            <w:tcW w:w="400" w:type="dxa"/>
            <w:vAlign w:val="bottom"/>
            <w:gridSpan w:val="6"/>
          </w:tcPr>
          <w:p>
            <w:pPr>
              <w:spacing w:after="0"/>
              <w:rPr>
                <w:sz w:val="19"/>
                <w:szCs w:val="19"/>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and Chief Executive Officer</w:t>
            </w: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7"/>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(Principal Executive Officer)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389"/>
        </w:trPr>
        <w:tc>
          <w:tcPr>
            <w:tcW w:w="1660" w:type="dxa"/>
            <w:vAlign w:val="bottom"/>
            <w:gridSpan w:val="10"/>
          </w:tcPr>
          <w:p>
            <w:pPr>
              <w:spacing w:after="0"/>
              <w:rPr>
                <w:sz w:val="20"/>
                <w:szCs w:val="20"/>
                <w:color w:val="auto"/>
              </w:rPr>
            </w:pPr>
            <w:r>
              <w:rPr>
                <w:rFonts w:ascii="Arial" w:cs="Arial" w:eastAsia="Arial" w:hAnsi="Arial"/>
                <w:sz w:val="18"/>
                <w:szCs w:val="18"/>
                <w:color w:val="auto"/>
              </w:rPr>
              <w:t>/s/ Garrett S. Sill</w:t>
            </w: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Chief Financial Officer and</w:t>
            </w: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9"/>
        </w:trPr>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Garrett S. Sill</w:t>
            </w:r>
          </w:p>
        </w:tc>
        <w:tc>
          <w:tcPr>
            <w:tcW w:w="460" w:type="dxa"/>
            <w:vAlign w:val="bottom"/>
            <w:gridSpan w:val="7"/>
          </w:tcPr>
          <w:p>
            <w:pPr>
              <w:spacing w:after="0"/>
              <w:rPr>
                <w:sz w:val="19"/>
                <w:szCs w:val="19"/>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Treasurer (Principal Financial</w:t>
            </w: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7"/>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and Accounting Officer)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389"/>
        </w:trPr>
        <w:tc>
          <w:tcPr>
            <w:tcW w:w="16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6"/>
              </w:rPr>
              <w:t>/s/ Jason G. Overbaugh</w:t>
            </w: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Vice President and 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660" w:type="dxa"/>
            <w:vAlign w:val="bottom"/>
            <w:gridSpan w:val="10"/>
          </w:tcPr>
          <w:p>
            <w:pPr>
              <w:spacing w:after="0"/>
              <w:rPr>
                <w:sz w:val="20"/>
                <w:szCs w:val="20"/>
                <w:color w:val="auto"/>
              </w:rPr>
            </w:pPr>
            <w:r>
              <w:rPr>
                <w:rFonts w:ascii="Arial" w:cs="Arial" w:eastAsia="Arial" w:hAnsi="Arial"/>
                <w:sz w:val="18"/>
                <w:szCs w:val="18"/>
                <w:color w:val="auto"/>
                <w:w w:val="98"/>
              </w:rPr>
              <w:t>Jason G. Overbaugh</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9"/>
        </w:trPr>
        <w:tc>
          <w:tcPr>
            <w:tcW w:w="14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/s/ S. Andrew Quist</w:t>
            </w:r>
          </w:p>
        </w:tc>
        <w:tc>
          <w:tcPr>
            <w:tcW w:w="220" w:type="dxa"/>
            <w:vAlign w:val="bottom"/>
            <w:gridSpan w:val="3"/>
          </w:tcPr>
          <w:p>
            <w:pPr>
              <w:spacing w:after="0"/>
              <w:rPr>
                <w:sz w:val="24"/>
                <w:szCs w:val="24"/>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Vice President and 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660" w:type="dxa"/>
            <w:vAlign w:val="bottom"/>
            <w:gridSpan w:val="10"/>
          </w:tcPr>
          <w:p>
            <w:pPr>
              <w:spacing w:after="0"/>
              <w:rPr>
                <w:sz w:val="20"/>
                <w:szCs w:val="20"/>
                <w:color w:val="auto"/>
              </w:rPr>
            </w:pPr>
            <w:r>
              <w:rPr>
                <w:rFonts w:ascii="Arial" w:cs="Arial" w:eastAsia="Arial" w:hAnsi="Arial"/>
                <w:sz w:val="18"/>
                <w:szCs w:val="18"/>
                <w:color w:val="auto"/>
              </w:rPr>
              <w:t>S. Andrew Quist</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9"/>
        </w:trPr>
        <w:tc>
          <w:tcPr>
            <w:tcW w:w="1660" w:type="dxa"/>
            <w:vAlign w:val="bottom"/>
            <w:gridSpan w:val="10"/>
          </w:tcPr>
          <w:p>
            <w:pPr>
              <w:spacing w:after="0"/>
              <w:rPr>
                <w:sz w:val="20"/>
                <w:szCs w:val="20"/>
                <w:color w:val="auto"/>
              </w:rPr>
            </w:pPr>
            <w:r>
              <w:rPr>
                <w:rFonts w:ascii="Arial" w:cs="Arial" w:eastAsia="Arial" w:hAnsi="Arial"/>
                <w:sz w:val="18"/>
                <w:szCs w:val="18"/>
                <w:color w:val="auto"/>
              </w:rPr>
              <w:t>/s/ John L. Cook</w:t>
            </w: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L. Cook</w:t>
            </w:r>
          </w:p>
        </w:tc>
        <w:tc>
          <w:tcPr>
            <w:tcW w:w="480" w:type="dxa"/>
            <w:vAlign w:val="bottom"/>
            <w:gridSpan w:val="8"/>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9"/>
        </w:trPr>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3"/>
              </w:rPr>
              <w:t>/s/ Gilbert A. Fuller</w:t>
            </w:r>
          </w:p>
        </w:tc>
        <w:tc>
          <w:tcPr>
            <w:tcW w:w="240" w:type="dxa"/>
            <w:vAlign w:val="bottom"/>
            <w:gridSpan w:val="4"/>
          </w:tcPr>
          <w:p>
            <w:pPr>
              <w:spacing w:after="0"/>
              <w:rPr>
                <w:sz w:val="24"/>
                <w:szCs w:val="24"/>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660" w:type="dxa"/>
            <w:vAlign w:val="bottom"/>
            <w:gridSpan w:val="10"/>
          </w:tcPr>
          <w:p>
            <w:pPr>
              <w:spacing w:after="0"/>
              <w:rPr>
                <w:sz w:val="20"/>
                <w:szCs w:val="20"/>
                <w:color w:val="auto"/>
              </w:rPr>
            </w:pPr>
            <w:r>
              <w:rPr>
                <w:rFonts w:ascii="Arial" w:cs="Arial" w:eastAsia="Arial" w:hAnsi="Arial"/>
                <w:sz w:val="18"/>
                <w:szCs w:val="18"/>
                <w:color w:val="auto"/>
              </w:rPr>
              <w:t>Gilbert A. Fuller</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9"/>
        </w:trPr>
        <w:tc>
          <w:tcPr>
            <w:tcW w:w="14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/s/ Robert G. Hunter</w:t>
            </w:r>
          </w:p>
        </w:tc>
        <w:tc>
          <w:tcPr>
            <w:tcW w:w="200" w:type="dxa"/>
            <w:vAlign w:val="bottom"/>
            <w:gridSpan w:val="2"/>
          </w:tcPr>
          <w:p>
            <w:pPr>
              <w:spacing w:after="0"/>
              <w:rPr>
                <w:sz w:val="24"/>
                <w:szCs w:val="24"/>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660" w:type="dxa"/>
            <w:vAlign w:val="bottom"/>
            <w:gridSpan w:val="10"/>
          </w:tcPr>
          <w:p>
            <w:pPr>
              <w:spacing w:after="0"/>
              <w:rPr>
                <w:sz w:val="20"/>
                <w:szCs w:val="20"/>
                <w:color w:val="auto"/>
              </w:rPr>
            </w:pPr>
            <w:r>
              <w:rPr>
                <w:rFonts w:ascii="Arial" w:cs="Arial" w:eastAsia="Arial" w:hAnsi="Arial"/>
                <w:sz w:val="18"/>
                <w:szCs w:val="18"/>
                <w:color w:val="auto"/>
              </w:rPr>
              <w:t>Robert G. Hunter</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9"/>
        </w:trPr>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/s/ H. Craig Moody</w:t>
            </w:r>
          </w:p>
        </w:tc>
        <w:tc>
          <w:tcPr>
            <w:tcW w:w="260" w:type="dxa"/>
            <w:vAlign w:val="bottom"/>
            <w:gridSpan w:val="5"/>
          </w:tcPr>
          <w:p>
            <w:pPr>
              <w:spacing w:after="0"/>
              <w:rPr>
                <w:sz w:val="24"/>
                <w:szCs w:val="24"/>
                <w:color w:val="auto"/>
              </w:rPr>
            </w:pP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660" w:type="dxa"/>
            <w:vAlign w:val="bottom"/>
            <w:gridSpan w:val="10"/>
          </w:tcPr>
          <w:p>
            <w:pPr>
              <w:spacing w:after="0"/>
              <w:rPr>
                <w:sz w:val="20"/>
                <w:szCs w:val="20"/>
                <w:color w:val="auto"/>
              </w:rPr>
            </w:pPr>
            <w:r>
              <w:rPr>
                <w:rFonts w:ascii="Arial" w:cs="Arial" w:eastAsia="Arial" w:hAnsi="Arial"/>
                <w:sz w:val="18"/>
                <w:szCs w:val="18"/>
                <w:color w:val="auto"/>
              </w:rPr>
              <w:t>H. Craig Moody</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9"/>
        </w:trPr>
        <w:tc>
          <w:tcPr>
            <w:tcW w:w="1660" w:type="dxa"/>
            <w:vAlign w:val="bottom"/>
            <w:gridSpan w:val="10"/>
          </w:tcPr>
          <w:p>
            <w:pPr>
              <w:spacing w:after="0"/>
              <w:rPr>
                <w:sz w:val="20"/>
                <w:szCs w:val="20"/>
                <w:color w:val="auto"/>
              </w:rPr>
            </w:pPr>
            <w:r>
              <w:rPr>
                <w:rFonts w:ascii="Arial" w:cs="Arial" w:eastAsia="Arial" w:hAnsi="Arial"/>
                <w:sz w:val="18"/>
                <w:szCs w:val="18"/>
                <w:color w:val="auto"/>
                <w:w w:val="97"/>
              </w:rPr>
              <w:t>/s/ Norman G. Wilbur</w:t>
            </w:r>
          </w:p>
        </w:tc>
        <w:tc>
          <w:tcPr>
            <w:tcW w:w="7140" w:type="dxa"/>
            <w:vAlign w:val="bottom"/>
            <w:gridSpan w:val="3"/>
          </w:tcPr>
          <w:p>
            <w:pPr>
              <w:ind w:left="2040"/>
              <w:spacing w:after="0"/>
              <w:rPr>
                <w:sz w:val="20"/>
                <w:szCs w:val="20"/>
                <w:color w:val="auto"/>
              </w:rPr>
            </w:pPr>
            <w:r>
              <w:rPr>
                <w:rFonts w:ascii="Arial" w:cs="Arial" w:eastAsia="Arial" w:hAnsi="Arial"/>
                <w:sz w:val="18"/>
                <w:szCs w:val="18"/>
                <w:color w:val="auto"/>
              </w:rPr>
              <w:t>Director</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29, 2019</w:t>
            </w:r>
          </w:p>
        </w:tc>
      </w:tr>
      <w:tr>
        <w:trPr>
          <w:trHeight w:val="232"/>
        </w:trPr>
        <w:tc>
          <w:tcPr>
            <w:tcW w:w="15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Norman G. Wilbur</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604"/>
        </w:trPr>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3"/>
          </w:tcPr>
          <w:p>
            <w:pPr>
              <w:ind w:left="3940"/>
              <w:spacing w:after="0"/>
              <w:rPr>
                <w:sz w:val="20"/>
                <w:szCs w:val="20"/>
                <w:color w:val="auto"/>
              </w:rPr>
            </w:pPr>
            <w:r>
              <w:rPr>
                <w:rFonts w:ascii="Arial" w:cs="Arial" w:eastAsia="Arial" w:hAnsi="Arial"/>
                <w:sz w:val="14"/>
                <w:szCs w:val="14"/>
                <w:color w:val="auto"/>
              </w:rPr>
              <w:t>123</w:t>
            </w: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5"/>
        </w:trPr>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339"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1"/>
              </w:rPr>
              <w:t>Schedule II</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6"/>
              </w:rPr>
              <w:t>SECURITY NATIONAL FINANCIAL CORPORATION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89"/>
              </w:rPr>
              <w:t>(Parent Company Only)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0"/>
              </w:rPr>
              <w:t>Condensed Financial Information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780" w:type="dxa"/>
            <w:vAlign w:val="bottom"/>
          </w:tcPr>
          <w:p>
            <w:pPr>
              <w:jc w:val="center"/>
              <w:ind w:left="2531"/>
              <w:spacing w:after="0"/>
              <w:rPr>
                <w:sz w:val="20"/>
                <w:szCs w:val="20"/>
                <w:color w:val="auto"/>
              </w:rPr>
            </w:pPr>
            <w:r>
              <w:rPr>
                <w:rFonts w:ascii="Arial" w:cs="Arial" w:eastAsia="Arial" w:hAnsi="Arial"/>
                <w:sz w:val="18"/>
                <w:szCs w:val="18"/>
                <w:color w:val="auto"/>
                <w:w w:val="86"/>
              </w:rPr>
              <w:t>Condensed Balance Sheets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6,217,897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1,153,067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 (equity method)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166,020,225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146,573,888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13,136,647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15,014,821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3,265,075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3,261,910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6"/>
              </w:rPr>
              <w:t>Property and equipment, at cost, net of accumulated depreciation of $1,659,613 for 2018 and $1,659,613 for 2017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190,818,844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167,728,686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780" w:type="dxa"/>
            <w:vAlign w:val="bottom"/>
          </w:tcPr>
          <w:p>
            <w:pPr>
              <w:jc w:val="center"/>
              <w:ind w:left="2531"/>
              <w:spacing w:after="0"/>
              <w:rPr>
                <w:sz w:val="20"/>
                <w:szCs w:val="20"/>
                <w:color w:val="auto"/>
              </w:rPr>
            </w:pPr>
            <w:r>
              <w:rPr>
                <w:rFonts w:ascii="Arial" w:cs="Arial" w:eastAsia="Arial" w:hAnsi="Arial"/>
                <w:sz w:val="18"/>
                <w:szCs w:val="18"/>
                <w:color w:val="auto"/>
                <w:w w:val="90"/>
              </w:rPr>
              <w:t>Schedule II (Continued)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6"/>
              </w:rPr>
              <w:t>SECURITY NATIONAL FINANCIAL CORPORATION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89"/>
              </w:rPr>
              <w:t>(Parent Company Only)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0"/>
              </w:rPr>
              <w:t>Condensed Financial Information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87"/>
              </w:rPr>
              <w:t>Condensed Balance Sheets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8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Bank and other loans payable: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installments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579,286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1,238,619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1,817,905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affiliated companies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9,089,255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9,078,031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liabilities and accrued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1,892,261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1,140,107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6,208,250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6,484,449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19,007,671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19,160,696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 non-voting - $1.00 par value; 5,000,000 shares authorized; none issued or outstanding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0"/>
              </w:rPr>
              <w:t>Class A common stock $2.00 par value; 20,000,000 shares authorized; issued 15,304,798 shares in 2018 and 14,535,577</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shares in 2017</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30,609,596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29,071,154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Class B non-voting common stock-$1.00 par value; 5,000,000 shares authorized; none issued or outstanding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1"/>
              </w:rPr>
              <w:t>Class C convertible common stock, $2.00 par value; 3,000,000 shares authorized; issued 2,193,643 shares in 2018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2,089,374 shares in 2017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4,387,286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4,178,748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41,821,778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38,125,042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95,201,732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77,520,951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Treasury stock at cost - 302,541 Class A shares and -0- Class C shares in 2018; 537,203 Class A shares and -0- Class C</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shares in 2017, held by affiliated companies</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(206,396)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(931,075)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171,811,173</w:t>
            </w: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148,567,990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190,818,844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167,728,686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780" w:type="dxa"/>
            <w:vAlign w:val="bottom"/>
          </w:tcPr>
          <w:p>
            <w:pPr>
              <w:jc w:val="center"/>
              <w:ind w:left="2491"/>
              <w:spacing w:after="0"/>
              <w:rPr>
                <w:sz w:val="20"/>
                <w:szCs w:val="20"/>
                <w:color w:val="auto"/>
              </w:rPr>
            </w:pPr>
            <w:r>
              <w:rPr>
                <w:rFonts w:ascii="Arial" w:cs="Arial" w:eastAsia="Arial" w:hAnsi="Arial"/>
                <w:sz w:val="18"/>
                <w:szCs w:val="18"/>
                <w:color w:val="auto"/>
                <w:w w:val="90"/>
              </w:rPr>
              <w:t>Schedule II (Continued)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780" w:type="dxa"/>
            <w:vAlign w:val="bottom"/>
          </w:tcPr>
          <w:p>
            <w:pPr>
              <w:jc w:val="center"/>
              <w:ind w:left="2471"/>
              <w:spacing w:after="0"/>
              <w:rPr>
                <w:sz w:val="20"/>
                <w:szCs w:val="20"/>
                <w:color w:val="auto"/>
              </w:rPr>
            </w:pPr>
            <w:r>
              <w:rPr>
                <w:rFonts w:ascii="Arial" w:cs="Arial" w:eastAsia="Arial" w:hAnsi="Arial"/>
                <w:sz w:val="18"/>
                <w:szCs w:val="18"/>
                <w:color w:val="auto"/>
                <w:w w:val="96"/>
              </w:rPr>
              <w:t>SECURITY NATIONAL FINANCIAL CORPORATION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471"/>
              <w:spacing w:after="0"/>
              <w:rPr>
                <w:sz w:val="20"/>
                <w:szCs w:val="20"/>
                <w:color w:val="auto"/>
              </w:rPr>
            </w:pPr>
            <w:r>
              <w:rPr>
                <w:rFonts w:ascii="Arial" w:cs="Arial" w:eastAsia="Arial" w:hAnsi="Arial"/>
                <w:sz w:val="18"/>
                <w:szCs w:val="18"/>
                <w:color w:val="auto"/>
                <w:w w:val="89"/>
              </w:rPr>
              <w:t>(Parent Company Only)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491"/>
              <w:spacing w:after="0"/>
              <w:rPr>
                <w:sz w:val="20"/>
                <w:szCs w:val="20"/>
                <w:color w:val="auto"/>
              </w:rPr>
            </w:pPr>
            <w:r>
              <w:rPr>
                <w:rFonts w:ascii="Arial" w:cs="Arial" w:eastAsia="Arial" w:hAnsi="Arial"/>
                <w:sz w:val="18"/>
                <w:szCs w:val="18"/>
                <w:color w:val="auto"/>
                <w:w w:val="90"/>
              </w:rPr>
              <w:t>Condensed Financial Information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780" w:type="dxa"/>
            <w:vAlign w:val="bottom"/>
          </w:tcPr>
          <w:p>
            <w:pPr>
              <w:jc w:val="center"/>
              <w:ind w:left="2491"/>
              <w:spacing w:after="0"/>
              <w:rPr>
                <w:sz w:val="20"/>
                <w:szCs w:val="20"/>
                <w:color w:val="auto"/>
              </w:rPr>
            </w:pPr>
            <w:r>
              <w:rPr>
                <w:rFonts w:ascii="Arial" w:cs="Arial" w:eastAsia="Arial" w:hAnsi="Arial"/>
                <w:sz w:val="18"/>
                <w:szCs w:val="18"/>
                <w:color w:val="auto"/>
                <w:w w:val="87"/>
              </w:rPr>
              <w:t>Condensed Statements of Earnings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Fees from affiliates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1,151,763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1,215,110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1,386,446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1,373,171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800,444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benefits and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661,662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 and earnings of subsidiaries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6,862,757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20,940,502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6,822,251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21,686,079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14,112,934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780" w:type="dxa"/>
            <w:vAlign w:val="bottom"/>
          </w:tcPr>
          <w:p>
            <w:pPr>
              <w:jc w:val="center"/>
              <w:ind w:left="2531"/>
              <w:spacing w:after="0"/>
              <w:rPr>
                <w:sz w:val="20"/>
                <w:szCs w:val="20"/>
                <w:color w:val="auto"/>
              </w:rPr>
            </w:pPr>
            <w:r>
              <w:rPr>
                <w:rFonts w:ascii="Arial" w:cs="Arial" w:eastAsia="Arial" w:hAnsi="Arial"/>
                <w:sz w:val="18"/>
                <w:szCs w:val="18"/>
                <w:color w:val="auto"/>
                <w:w w:val="90"/>
              </w:rPr>
              <w:t>Schedule II (Continued)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6"/>
              </w:rPr>
              <w:t>SECURITY NATIONAL FINANCIAL CORPORATION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89"/>
              </w:rPr>
              <w:t>(Parent Company Only)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0"/>
              </w:rPr>
              <w:t>Condensed Financial Information</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87"/>
              </w:rPr>
              <w:t>Condensed Statements of Cash Flow</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21,686,079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14,112,934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 of affiliates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20,940,502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6,723,454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Provision for deferred and other income taxes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(21,034)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(7,271,698)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 expense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237,123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Benefit plans funded with treasury stock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1,534,861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assets and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752,154</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45,075,737</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15,964,465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Investment in subsidiaries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(40,644,827)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(12,094,288)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loans held for investment made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(3,893,000)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Payments received for mortgage loans held for investment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3,439,000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(41,098,827)</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(11,519,288)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affiliates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1,889,398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(1,983,044)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(215,521)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(382,734)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options exercised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Repayment of bank loans</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(640,204)</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(1,539,594)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1,091,085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(3,895,525)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restricted cash and restricted cash equivalents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5,067,995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549,652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restricted cash equivalents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4,414,977</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year</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9,482,972</w:t>
            </w:r>
          </w:p>
        </w:tc>
        <w:tc>
          <w:tcPr>
            <w:tcW w:w="2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4,414,977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00" w:type="dxa"/>
            <w:vAlign w:val="bottom"/>
          </w:tcPr>
          <w:p>
            <w:pPr>
              <w:jc w:val="center"/>
              <w:ind w:left="851"/>
              <w:spacing w:after="0"/>
              <w:rPr>
                <w:sz w:val="20"/>
                <w:szCs w:val="20"/>
                <w:color w:val="auto"/>
              </w:rPr>
            </w:pPr>
            <w:r>
              <w:rPr>
                <w:rFonts w:ascii="Arial" w:cs="Arial" w:eastAsia="Arial" w:hAnsi="Arial"/>
                <w:sz w:val="18"/>
                <w:szCs w:val="18"/>
                <w:color w:val="auto"/>
                <w:w w:val="90"/>
              </w:rPr>
              <w:t>Schedule II (Continued)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00" w:type="dxa"/>
            <w:vAlign w:val="bottom"/>
          </w:tcPr>
          <w:p>
            <w:pPr>
              <w:jc w:val="center"/>
              <w:ind w:left="831"/>
              <w:spacing w:after="0"/>
              <w:rPr>
                <w:sz w:val="20"/>
                <w:szCs w:val="20"/>
                <w:color w:val="auto"/>
              </w:rPr>
            </w:pPr>
            <w:r>
              <w:rPr>
                <w:rFonts w:ascii="Arial" w:cs="Arial" w:eastAsia="Arial" w:hAnsi="Arial"/>
                <w:sz w:val="18"/>
                <w:szCs w:val="18"/>
                <w:color w:val="auto"/>
                <w:w w:val="96"/>
              </w:rPr>
              <w:t>SECURITY NATIONAL FINANCIAL CORPORATION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jc w:val="center"/>
              <w:ind w:left="831"/>
              <w:spacing w:after="0"/>
              <w:rPr>
                <w:sz w:val="20"/>
                <w:szCs w:val="20"/>
                <w:color w:val="auto"/>
              </w:rPr>
            </w:pPr>
            <w:r>
              <w:rPr>
                <w:rFonts w:ascii="Arial" w:cs="Arial" w:eastAsia="Arial" w:hAnsi="Arial"/>
                <w:sz w:val="18"/>
                <w:szCs w:val="18"/>
                <w:color w:val="auto"/>
                <w:w w:val="89"/>
              </w:rPr>
              <w:t>(Parent Company Only)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00" w:type="dxa"/>
            <w:vAlign w:val="bottom"/>
          </w:tcPr>
          <w:p>
            <w:pPr>
              <w:jc w:val="center"/>
              <w:ind w:left="831"/>
              <w:spacing w:after="0"/>
              <w:rPr>
                <w:sz w:val="20"/>
                <w:szCs w:val="20"/>
                <w:color w:val="auto"/>
              </w:rPr>
            </w:pPr>
            <w:r>
              <w:rPr>
                <w:rFonts w:ascii="Arial" w:cs="Arial" w:eastAsia="Arial" w:hAnsi="Arial"/>
                <w:sz w:val="18"/>
                <w:szCs w:val="18"/>
                <w:color w:val="auto"/>
                <w:w w:val="90"/>
              </w:rPr>
              <w:t>Condensed Financial Information</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00" w:type="dxa"/>
            <w:vAlign w:val="bottom"/>
          </w:tcPr>
          <w:p>
            <w:pPr>
              <w:jc w:val="center"/>
              <w:ind w:left="851"/>
              <w:spacing w:after="0"/>
              <w:rPr>
                <w:sz w:val="20"/>
                <w:szCs w:val="20"/>
                <w:color w:val="auto"/>
              </w:rPr>
            </w:pPr>
            <w:r>
              <w:rPr>
                <w:rFonts w:ascii="Arial" w:cs="Arial" w:eastAsia="Arial" w:hAnsi="Arial"/>
                <w:sz w:val="18"/>
                <w:szCs w:val="18"/>
                <w:color w:val="auto"/>
                <w:w w:val="87"/>
              </w:rPr>
              <w:t>Notes to Condensed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000" w:type="dxa"/>
            <w:vAlign w:val="bottom"/>
            <w:gridSpan w:val="4"/>
          </w:tcPr>
          <w:p>
            <w:pPr>
              <w:spacing w:after="0"/>
              <w:rPr>
                <w:sz w:val="20"/>
                <w:szCs w:val="20"/>
                <w:color w:val="auto"/>
              </w:rPr>
            </w:pPr>
            <w:r>
              <w:rPr>
                <w:rFonts w:ascii="Arial" w:cs="Arial" w:eastAsia="Arial" w:hAnsi="Arial"/>
                <w:sz w:val="18"/>
                <w:szCs w:val="18"/>
                <w:color w:val="auto"/>
              </w:rPr>
              <w:t>1)  Bank and Other Loans Payable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3"/>
          </w:tcPr>
          <w:p>
            <w:pPr>
              <w:jc w:val="right"/>
              <w:ind w:right="451"/>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120" w:type="dxa"/>
            <w:vAlign w:val="bottom"/>
            <w:gridSpan w:val="2"/>
          </w:tcPr>
          <w:p>
            <w:pPr>
              <w:jc w:val="right"/>
              <w:ind w:right="211"/>
              <w:spacing w:after="0"/>
              <w:rPr>
                <w:sz w:val="20"/>
                <w:szCs w:val="20"/>
                <w:color w:val="auto"/>
              </w:rPr>
            </w:pPr>
            <w:r>
              <w:rPr>
                <w:rFonts w:ascii="Arial" w:cs="Arial" w:eastAsia="Arial" w:hAnsi="Arial"/>
                <w:sz w:val="18"/>
                <w:szCs w:val="18"/>
                <w:color w:val="auto"/>
              </w:rPr>
              <w:t>2018</w:t>
            </w:r>
          </w:p>
        </w:tc>
        <w:tc>
          <w:tcPr>
            <w:tcW w:w="1080" w:type="dxa"/>
            <w:vAlign w:val="bottom"/>
            <w:gridSpan w:val="2"/>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80" w:type="dxa"/>
            <w:vAlign w:val="bottom"/>
            <w:vMerge w:val="restart"/>
          </w:tcPr>
          <w:p>
            <w:pPr>
              <w:spacing w:after="0"/>
              <w:rPr>
                <w:sz w:val="18"/>
                <w:szCs w:val="18"/>
                <w:color w:val="auto"/>
              </w:rPr>
            </w:pPr>
          </w:p>
        </w:tc>
        <w:tc>
          <w:tcPr>
            <w:tcW w:w="8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3"/>
              </w:rPr>
              <w:t>4.27% fixed note payable in monthly installments of $53,881 including principal and interest,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collateralized by shares of Security National Life Insurance Company stock, due November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1,817,905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2,372,690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40" w:type="dxa"/>
            <w:vAlign w:val="bottom"/>
            <w:gridSpan w:val="2"/>
          </w:tcPr>
          <w:p>
            <w:pPr>
              <w:spacing w:after="0" w:line="200" w:lineRule="exact"/>
              <w:rPr>
                <w:sz w:val="20"/>
                <w:szCs w:val="20"/>
                <w:color w:val="auto"/>
              </w:rPr>
            </w:pPr>
            <w:r>
              <w:rPr>
                <w:rFonts w:ascii="Arial" w:cs="Arial" w:eastAsia="Arial" w:hAnsi="Arial"/>
                <w:sz w:val="18"/>
                <w:szCs w:val="18"/>
                <w:color w:val="auto"/>
                <w:w w:val="99"/>
              </w:rPr>
              <w:t>3.85% note payable in monthly installments of $85,419 including principal and interest,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7720" w:type="dxa"/>
            <w:vAlign w:val="bottom"/>
            <w:gridSpan w:val="3"/>
          </w:tcPr>
          <w:p>
            <w:pPr>
              <w:ind w:left="860"/>
              <w:spacing w:after="0"/>
              <w:rPr>
                <w:sz w:val="20"/>
                <w:szCs w:val="20"/>
                <w:color w:val="auto"/>
              </w:rPr>
            </w:pPr>
            <w:r>
              <w:rPr>
                <w:rFonts w:ascii="Arial" w:cs="Arial" w:eastAsia="Arial" w:hAnsi="Arial"/>
                <w:sz w:val="18"/>
                <w:szCs w:val="18"/>
                <w:color w:val="auto"/>
                <w:w w:val="96"/>
              </w:rPr>
              <w:t>collateralized by shares of Security National Life Insurance Company stock, paid in full in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rPr>
                <w:sz w:val="20"/>
                <w:szCs w:val="20"/>
                <w:color w:val="auto"/>
              </w:rPr>
            </w:pPr>
          </w:p>
        </w:tc>
        <w:tc>
          <w:tcPr>
            <w:tcW w:w="7720" w:type="dxa"/>
            <w:vAlign w:val="bottom"/>
            <w:gridSpan w:val="3"/>
          </w:tcPr>
          <w:p>
            <w:pPr>
              <w:ind w:left="860"/>
              <w:spacing w:after="0"/>
              <w:rPr>
                <w:sz w:val="20"/>
                <w:szCs w:val="20"/>
                <w:color w:val="auto"/>
              </w:rPr>
            </w:pPr>
            <w:r>
              <w:rPr>
                <w:rFonts w:ascii="Arial" w:cs="Arial" w:eastAsia="Arial" w:hAnsi="Arial"/>
                <w:sz w:val="18"/>
                <w:szCs w:val="18"/>
                <w:color w:val="auto"/>
              </w:rPr>
              <w:t>January 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85,419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bank and other loans</w:t>
            </w: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1,817,905</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Less current installments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579,286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640,204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Bank and other loans, excluding current installments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1,238,619</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$ 1,817,905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a $2,000,000 revolving line-of-credit with a bank with interest payable at the prime rate minus .75%, secured by the capital stock of Security National Life and maturing September 30, 2019, renewable annually. At December 31, 2018, the Company was contingently liable under a standby letter of credit aggregating $625,405, to be used as collateral to cover any contingency related to additional risk assessments pertaining to the Company's captive insurance program and under a standby letter of credit aggregating $48,220 issued as a security deposit to guarantee payment of final bills for electric and gas utility services for a commercial real estate property owned by the Company in Wichita, Kansas. These standby letters of credit will draw on the line of credit if necessary. The Company does not expect any material losses to result from the issuance of the standby letter of credit because claims are not expected to exceed premiums paid. As of December 31, 2018, there were no amounts outstanding under the revolving line-of-credit.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80" w:type="dxa"/>
            <w:vAlign w:val="bottom"/>
            <w:gridSpan w:val="4"/>
          </w:tcPr>
          <w:p>
            <w:pPr>
              <w:spacing w:after="0"/>
              <w:rPr>
                <w:sz w:val="20"/>
                <w:szCs w:val="20"/>
                <w:color w:val="auto"/>
              </w:rPr>
            </w:pPr>
            <w:r>
              <w:rPr>
                <w:rFonts w:ascii="Arial" w:cs="Arial" w:eastAsia="Arial" w:hAnsi="Arial"/>
                <w:sz w:val="18"/>
                <w:szCs w:val="18"/>
                <w:color w:val="auto"/>
              </w:rPr>
              <w:t>The following tabulation shows the combined maturities of bank and other loans payable: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20" w:type="dxa"/>
            <w:vAlign w:val="bottom"/>
            <w:vMerge w:val="restart"/>
          </w:tcPr>
          <w:p>
            <w:pPr>
              <w:spacing w:after="0"/>
              <w:rPr>
                <w:sz w:val="23"/>
                <w:szCs w:val="23"/>
                <w:color w:val="auto"/>
              </w:rPr>
            </w:pPr>
          </w:p>
        </w:tc>
        <w:tc>
          <w:tcPr>
            <w:tcW w:w="840" w:type="dxa"/>
            <w:vAlign w:val="bottom"/>
            <w:vMerge w:val="restart"/>
          </w:tcPr>
          <w:p>
            <w:pPr>
              <w:spacing w:after="0"/>
              <w:rPr>
                <w:sz w:val="23"/>
                <w:szCs w:val="23"/>
                <w:color w:val="auto"/>
              </w:rPr>
            </w:pPr>
          </w:p>
        </w:tc>
        <w:tc>
          <w:tcPr>
            <w:tcW w:w="18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2020</w:t>
            </w:r>
          </w:p>
        </w:tc>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2022</w:t>
            </w:r>
          </w:p>
        </w:tc>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1,817,905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74"/>
        </w:trPr>
        <w:tc>
          <w:tcPr>
            <w:tcW w:w="7280" w:type="dxa"/>
            <w:vAlign w:val="bottom"/>
            <w:gridSpan w:val="4"/>
          </w:tcPr>
          <w:p>
            <w:pPr>
              <w:spacing w:after="0"/>
              <w:rPr>
                <w:sz w:val="20"/>
                <w:szCs w:val="20"/>
                <w:color w:val="auto"/>
              </w:rPr>
            </w:pPr>
            <w:r>
              <w:rPr>
                <w:rFonts w:ascii="Arial" w:cs="Arial" w:eastAsia="Arial" w:hAnsi="Arial"/>
                <w:sz w:val="18"/>
                <w:szCs w:val="18"/>
                <w:color w:val="auto"/>
              </w:rPr>
              <w:t>2)  Advances from Affiliated Companies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3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6"/>
          </w:tcPr>
          <w:p>
            <w:pPr>
              <w:ind w:left="3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960" w:type="dxa"/>
            <w:vAlign w:val="bottom"/>
            <w:gridSpan w:val="3"/>
          </w:tcPr>
          <w:p>
            <w:pPr>
              <w:ind w:left="820"/>
              <w:spacing w:after="0"/>
              <w:rPr>
                <w:sz w:val="20"/>
                <w:szCs w:val="20"/>
                <w:color w:val="auto"/>
              </w:rPr>
            </w:pPr>
            <w:r>
              <w:rPr>
                <w:rFonts w:ascii="Arial" w:cs="Arial" w:eastAsia="Arial" w:hAnsi="Arial"/>
                <w:sz w:val="18"/>
                <w:szCs w:val="18"/>
                <w:color w:val="auto"/>
              </w:rPr>
              <w:t>Non-interest bearing advances from affiliates: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Cemetery and Mortuary subsidiary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1,459,841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1,459,841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Life insurance subsidiaries</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7,629,414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7,618,190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9,089,255</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9,078,031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u w:val="single" w:color="auto"/>
          <w:color w:val="auto"/>
        </w:rPr>
        <w:t>Dividends and Capital Contributions</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SecurityNational Mortgage Company, a wholly owned subsidiary of the Registrant, paid to the registrant cash dividends of $2,288,222. In 2018, SecurityNational Mortgage Company paid cash dividends of $204,886 and declared cash dividends of $3,195,841 to be paid to the registrant at a future date to be determined by the Board of Directors.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247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Schedule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Reinsurance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Percentage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87"/>
              </w:rPr>
              <w:t>Ceded to</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7"/>
              </w:rPr>
              <w:t>Assumed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of Amount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Direct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1"/>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2"/>
              </w:rPr>
              <w:t>from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Assumed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w w:val="99"/>
              </w:rPr>
              <w:t>Amount</w:t>
            </w:r>
          </w:p>
        </w:tc>
        <w:tc>
          <w:tcPr>
            <w:tcW w:w="1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Companies</w:t>
            </w:r>
          </w:p>
        </w:tc>
        <w:tc>
          <w:tcPr>
            <w:tcW w:w="16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7"/>
              </w:rPr>
              <w:t>Companies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to Net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220" w:type="dxa"/>
            <w:vAlign w:val="bottom"/>
            <w:gridSpan w:val="4"/>
          </w:tcPr>
          <w:p>
            <w:pPr>
              <w:jc w:val="right"/>
              <w:ind w:right="2631"/>
              <w:spacing w:after="0" w:line="174" w:lineRule="exact"/>
              <w:rPr>
                <w:sz w:val="20"/>
                <w:szCs w:val="20"/>
                <w:color w:val="auto"/>
              </w:rPr>
            </w:pPr>
            <w:r>
              <w:rPr>
                <w:rFonts w:ascii="Arial" w:cs="Arial" w:eastAsia="Arial" w:hAnsi="Arial"/>
                <w:sz w:val="18"/>
                <w:szCs w:val="18"/>
                <w:color w:val="auto"/>
              </w:rPr>
              <w:t>2018</w:t>
            </w:r>
          </w:p>
        </w:tc>
        <w:tc>
          <w:tcPr>
            <w:tcW w:w="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in force ($000)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1,735,888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1,781,781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Life Insurance</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75,754,594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432,647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510,514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75,832,461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Accident and Health Insurance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jc w:val="right"/>
              <w:ind w:right="1471"/>
              <w:spacing w:after="0"/>
              <w:rPr>
                <w:sz w:val="20"/>
                <w:szCs w:val="20"/>
                <w:color w:val="auto"/>
              </w:rPr>
            </w:pPr>
            <w:r>
              <w:rPr>
                <w:rFonts w:ascii="Arial" w:cs="Arial" w:eastAsia="Arial" w:hAnsi="Arial"/>
                <w:sz w:val="18"/>
                <w:szCs w:val="18"/>
                <w:color w:val="auto"/>
                <w:w w:val="91"/>
              </w:rPr>
              <w:t>Total premiums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75,851,031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432,647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75,928,910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60" w:type="dxa"/>
            <w:vAlign w:val="bottom"/>
            <w:gridSpan w:val="2"/>
          </w:tcPr>
          <w:p>
            <w:pPr>
              <w:jc w:val="right"/>
              <w:ind w:right="2631"/>
              <w:spacing w:after="0" w:line="174" w:lineRule="exact"/>
              <w:rPr>
                <w:sz w:val="20"/>
                <w:szCs w:val="20"/>
                <w:color w:val="auto"/>
              </w:rPr>
            </w:pPr>
            <w:r>
              <w:rPr>
                <w:rFonts w:ascii="Arial" w:cs="Arial" w:eastAsia="Arial" w:hAnsi="Arial"/>
                <w:sz w:val="18"/>
                <w:szCs w:val="18"/>
                <w:color w:val="auto"/>
                <w:w w:val="79"/>
              </w:rPr>
              <w:t>2017</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in force ($000)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1,652,902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1,698,584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Life Insurance</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70,665,987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943,120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585,508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70,308,375</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Accident and Health Insurance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tcPr>
          <w:p>
            <w:pPr>
              <w:jc w:val="right"/>
              <w:ind w:right="1471"/>
              <w:spacing w:after="0"/>
              <w:rPr>
                <w:sz w:val="20"/>
                <w:szCs w:val="20"/>
                <w:color w:val="auto"/>
              </w:rPr>
            </w:pPr>
            <w:r>
              <w:rPr>
                <w:rFonts w:ascii="Arial" w:cs="Arial" w:eastAsia="Arial" w:hAnsi="Arial"/>
                <w:sz w:val="18"/>
                <w:szCs w:val="18"/>
                <w:color w:val="auto"/>
                <w:w w:val="91"/>
              </w:rPr>
              <w:t>Total premiums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70,770,071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943,120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585,525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70,412,476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60" w:type="dxa"/>
            <w:vAlign w:val="bottom"/>
            <w:gridSpan w:val="4"/>
          </w:tcPr>
          <w:p>
            <w:pPr>
              <w:jc w:val="center"/>
              <w:ind w:left="311"/>
              <w:spacing w:after="0"/>
              <w:rPr>
                <w:sz w:val="20"/>
                <w:szCs w:val="20"/>
                <w:color w:val="auto"/>
              </w:rPr>
            </w:pPr>
            <w:r>
              <w:rPr>
                <w:rFonts w:ascii="Arial" w:cs="Arial" w:eastAsia="Arial" w:hAnsi="Arial"/>
                <w:sz w:val="18"/>
                <w:szCs w:val="18"/>
                <w:color w:val="auto"/>
                <w:w w:val="89"/>
              </w:rPr>
              <w:t>Schedule V</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000" w:type="dxa"/>
            <w:vAlign w:val="bottom"/>
            <w:gridSpan w:val="9"/>
          </w:tcPr>
          <w:p>
            <w:pPr>
              <w:jc w:val="center"/>
              <w:ind w:left="2011"/>
              <w:spacing w:after="0"/>
              <w:rPr>
                <w:sz w:val="20"/>
                <w:szCs w:val="20"/>
                <w:color w:val="auto"/>
              </w:rPr>
            </w:pPr>
            <w:r>
              <w:rPr>
                <w:rFonts w:ascii="Arial" w:cs="Arial" w:eastAsia="Arial" w:hAnsi="Arial"/>
                <w:sz w:val="18"/>
                <w:szCs w:val="18"/>
                <w:color w:val="auto"/>
                <w:w w:val="96"/>
              </w:rPr>
              <w:t>SECURITY NATIONAL FINANCIAL CORPORATION</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60" w:type="dxa"/>
            <w:vAlign w:val="bottom"/>
            <w:gridSpan w:val="4"/>
          </w:tcPr>
          <w:p>
            <w:pPr>
              <w:jc w:val="center"/>
              <w:ind w:left="331"/>
              <w:spacing w:after="0"/>
              <w:rPr>
                <w:sz w:val="20"/>
                <w:szCs w:val="20"/>
                <w:color w:val="auto"/>
              </w:rPr>
            </w:pPr>
            <w:r>
              <w:rPr>
                <w:rFonts w:ascii="Arial" w:cs="Arial" w:eastAsia="Arial" w:hAnsi="Arial"/>
                <w:sz w:val="18"/>
                <w:szCs w:val="18"/>
                <w:color w:val="auto"/>
                <w:w w:val="96"/>
              </w:rPr>
              <w:t>AND SUBSIDIARIES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60" w:type="dxa"/>
            <w:vAlign w:val="bottom"/>
            <w:gridSpan w:val="4"/>
          </w:tcPr>
          <w:p>
            <w:pPr>
              <w:jc w:val="center"/>
              <w:ind w:left="331"/>
              <w:spacing w:after="0"/>
              <w:rPr>
                <w:sz w:val="20"/>
                <w:szCs w:val="20"/>
                <w:color w:val="auto"/>
              </w:rPr>
            </w:pPr>
            <w:r>
              <w:rPr>
                <w:rFonts w:ascii="Arial" w:cs="Arial" w:eastAsia="Arial" w:hAnsi="Arial"/>
                <w:sz w:val="18"/>
                <w:szCs w:val="18"/>
                <w:color w:val="auto"/>
                <w:w w:val="91"/>
              </w:rPr>
              <w:t>Valuation and Qualifying Accounts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Additions</w:t>
            </w:r>
          </w:p>
        </w:tc>
        <w:tc>
          <w:tcPr>
            <w:tcW w:w="8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Deductions</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Balance at</w:t>
            </w:r>
          </w:p>
        </w:tc>
        <w:tc>
          <w:tcPr>
            <w:tcW w:w="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Charged to</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Disposals</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Beginning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Costs and</w:t>
            </w:r>
          </w:p>
        </w:tc>
        <w:tc>
          <w:tcPr>
            <w:tcW w:w="8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at End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Year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Expenses</w:t>
            </w:r>
          </w:p>
        </w:tc>
        <w:tc>
          <w:tcPr>
            <w:tcW w:w="8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Write-offs</w:t>
            </w: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Year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660" w:type="dxa"/>
            <w:vAlign w:val="bottom"/>
            <w:gridSpan w:val="3"/>
          </w:tcPr>
          <w:p>
            <w:pPr>
              <w:jc w:val="right"/>
              <w:ind w:right="1731"/>
              <w:spacing w:after="0" w:line="174" w:lineRule="exact"/>
              <w:rPr>
                <w:sz w:val="20"/>
                <w:szCs w:val="20"/>
                <w:color w:val="auto"/>
              </w:rPr>
            </w:pPr>
            <w:r>
              <w:rPr>
                <w:rFonts w:ascii="Arial" w:cs="Arial" w:eastAsia="Arial" w:hAnsi="Arial"/>
                <w:sz w:val="18"/>
                <w:szCs w:val="18"/>
                <w:color w:val="auto"/>
                <w:w w:val="88"/>
              </w:rPr>
              <w:t>For the Year Ended December 31, 2018</w:t>
            </w: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Accumulated depreciation on real estate held for investment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$ 18,788,869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3,589,184</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 (5,638,475)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$ 16,739,578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Allowance for losses on mortgage loans held for investment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(415,099)</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depreciation on property and equipment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17,572,326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1,867,001</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(1,942,726)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17,496,601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on receivables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1,544,518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71,326</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on other investments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846,641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721,456</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(475,569)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40" w:type="dxa"/>
            <w:vAlign w:val="bottom"/>
            <w:gridSpan w:val="2"/>
            <w:shd w:val="clear" w:color="auto" w:fill="CCEEFF"/>
          </w:tcPr>
          <w:p>
            <w:pPr>
              <w:jc w:val="right"/>
              <w:ind w:right="1731"/>
              <w:spacing w:after="0" w:line="174" w:lineRule="exact"/>
              <w:rPr>
                <w:sz w:val="20"/>
                <w:szCs w:val="20"/>
                <w:color w:val="auto"/>
              </w:rPr>
            </w:pPr>
            <w:r>
              <w:rPr>
                <w:rFonts w:ascii="Arial" w:cs="Arial" w:eastAsia="Arial" w:hAnsi="Arial"/>
                <w:sz w:val="18"/>
                <w:szCs w:val="18"/>
                <w:color w:val="auto"/>
                <w:w w:val="87"/>
              </w:rPr>
              <w:t>For the Year Ended December 31, 2017</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3"/>
          </w:tcPr>
          <w:p>
            <w:pPr>
              <w:spacing w:after="0"/>
              <w:rPr>
                <w:sz w:val="18"/>
                <w:szCs w:val="18"/>
                <w:color w:val="auto"/>
              </w:rPr>
            </w:pPr>
          </w:p>
        </w:tc>
        <w:tc>
          <w:tcPr>
            <w:tcW w:w="96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Accumulated depreciation on real estate held for investment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$ 16,138,439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4,059,745</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 (1,409,315)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$ 18,788,869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Allowance for losses on mortgage loans held for investment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1,748,783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436,264</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(416,251)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depreciation on property and equipment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19,912,664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2,220,693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(4,561,031)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17,572,326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on receivables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2,355,482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111,095</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(922,059)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 on other investments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606,713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(879,702)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70485</wp:posOffset>
            </wp:positionV>
            <wp:extent cx="7247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39635"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239635"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2396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239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Subsidiaries of Security National</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March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247890" cy="135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Beta Capital Corp.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California Memorial Estates,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Cottonwood Mortuary,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Dry Creek Property Development,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Greer-Wilson Funeral Home,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Holladay Memorial Park,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Insuradyne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Marketing Source Center, Inc. dba Security National Travel Services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Memorial Insurance Company of America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Mortician's Choice,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Land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Paradise Chapel Funeral Home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Security National Funding Company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Security National Real Estate Services, Inc. also dba Security National Commercial Capital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Select Appraisal Management,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 Farmington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SN Mapleton,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 Midway,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SN Shadow Cliffs,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 Sunset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SNFC Subsidiary,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Southern Security Life Insurance Company,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247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581660</wp:posOffset>
            </wp:positionV>
            <wp:extent cx="7247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137" w:name="page138"/>
    <w:bookmarkEnd w:id="137"/>
    <w:p>
      <w:pPr>
        <w:ind w:left="10500"/>
        <w:spacing w:after="0"/>
        <w:rPr>
          <w:sz w:val="20"/>
          <w:szCs w:val="20"/>
          <w:color w:val="auto"/>
        </w:rPr>
      </w:pPr>
      <w:r>
        <w:rPr>
          <w:rFonts w:ascii="Arial" w:cs="Arial" w:eastAsia="Arial" w:hAnsi="Arial"/>
          <w:sz w:val="16"/>
          <w:szCs w:val="16"/>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247890" cy="33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217170</wp:posOffset>
            </wp:positionV>
            <wp:extent cx="7247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74" w:lineRule="exact"/>
        <w:rPr>
          <w:sz w:val="20"/>
          <w:szCs w:val="20"/>
          <w:color w:val="auto"/>
        </w:rPr>
      </w:pPr>
    </w:p>
    <w:p>
      <w:pPr>
        <w:ind w:left="180" w:hanging="173"/>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Security National Financial Corporation.</w:t>
      </w:r>
    </w:p>
    <w:p>
      <w:pPr>
        <w:spacing w:after="0" w:line="273" w:lineRule="exact"/>
        <w:rPr>
          <w:rFonts w:ascii="Arial" w:cs="Arial" w:eastAsia="Arial" w:hAnsi="Arial"/>
          <w:sz w:val="18"/>
          <w:szCs w:val="18"/>
          <w:color w:val="auto"/>
        </w:rPr>
      </w:pPr>
    </w:p>
    <w:p>
      <w:pPr>
        <w:jc w:val="both"/>
        <w:ind w:firstLine="7"/>
        <w:spacing w:after="0" w:line="334" w:lineRule="auto"/>
        <w:tabs>
          <w:tab w:leader="none" w:pos="191"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2" w:lineRule="exact"/>
        <w:rPr>
          <w:rFonts w:ascii="Arial" w:cs="Arial" w:eastAsia="Arial" w:hAnsi="Arial"/>
          <w:sz w:val="16"/>
          <w:szCs w:val="16"/>
          <w:color w:val="auto"/>
        </w:rPr>
      </w:pPr>
    </w:p>
    <w:p>
      <w:pPr>
        <w:ind w:right="20" w:firstLine="7"/>
        <w:spacing w:after="0" w:line="270" w:lineRule="auto"/>
        <w:tabs>
          <w:tab w:leader="none" w:pos="1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8" w:lineRule="exact"/>
        <w:rPr>
          <w:rFonts w:ascii="Arial" w:cs="Arial" w:eastAsia="Arial" w:hAnsi="Arial"/>
          <w:sz w:val="18"/>
          <w:szCs w:val="18"/>
          <w:color w:val="auto"/>
        </w:rPr>
      </w:pPr>
    </w:p>
    <w:p>
      <w:pPr>
        <w:jc w:val="both"/>
        <w:ind w:firstLine="7"/>
        <w:spacing w:after="0" w:line="259" w:lineRule="auto"/>
        <w:tabs>
          <w:tab w:leader="none" w:pos="1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jc w:val="both"/>
        <w:ind w:left="800" w:hanging="393"/>
        <w:spacing w:after="0" w:line="259" w:lineRule="auto"/>
        <w:tabs>
          <w:tab w:leader="none" w:pos="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37" w:lineRule="exact"/>
        <w:rPr>
          <w:rFonts w:ascii="Arial" w:cs="Arial" w:eastAsia="Arial" w:hAnsi="Arial"/>
          <w:sz w:val="18"/>
          <w:szCs w:val="18"/>
          <w:color w:val="auto"/>
        </w:rPr>
      </w:pPr>
    </w:p>
    <w:p>
      <w:pPr>
        <w:jc w:val="both"/>
        <w:ind w:left="800" w:hanging="393"/>
        <w:spacing w:after="0" w:line="259" w:lineRule="auto"/>
        <w:tabs>
          <w:tab w:leader="none" w:pos="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ind w:left="800" w:hanging="393"/>
        <w:spacing w:after="0" w:line="300" w:lineRule="auto"/>
        <w:tabs>
          <w:tab w:leader="none" w:pos="8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Arial" w:cs="Arial" w:eastAsia="Arial" w:hAnsi="Arial"/>
          <w:sz w:val="17"/>
          <w:szCs w:val="17"/>
          <w:color w:val="auto"/>
        </w:rPr>
      </w:pPr>
    </w:p>
    <w:p>
      <w:pPr>
        <w:jc w:val="both"/>
        <w:ind w:left="800" w:hanging="393"/>
        <w:spacing w:after="0" w:line="259" w:lineRule="auto"/>
        <w:tabs>
          <w:tab w:leader="none" w:pos="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firstLine="7"/>
        <w:spacing w:after="0" w:line="270" w:lineRule="auto"/>
        <w:tabs>
          <w:tab w:leader="none" w:pos="2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28" w:lineRule="exact"/>
        <w:rPr>
          <w:rFonts w:ascii="Arial" w:cs="Arial" w:eastAsia="Arial" w:hAnsi="Arial"/>
          <w:sz w:val="18"/>
          <w:szCs w:val="18"/>
          <w:color w:val="auto"/>
        </w:rPr>
      </w:pPr>
    </w:p>
    <w:p>
      <w:pPr>
        <w:ind w:left="800" w:hanging="393"/>
        <w:spacing w:after="0" w:line="270" w:lineRule="auto"/>
        <w:tabs>
          <w:tab w:leader="none" w:pos="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800" w:hanging="393"/>
        <w:spacing w:after="0" w:line="270" w:lineRule="auto"/>
        <w:tabs>
          <w:tab w:leader="none" w:pos="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ind w:left="394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Scott M. Quist</w:t>
            </w:r>
          </w:p>
        </w:tc>
        <w:tc>
          <w:tcPr>
            <w:tcW w:w="5240" w:type="dxa"/>
            <w:vAlign w:val="bottom"/>
          </w:tcPr>
          <w:p>
            <w:pPr>
              <w:spacing w:after="0"/>
              <w:rPr>
                <w:sz w:val="18"/>
                <w:szCs w:val="18"/>
                <w:color w:val="auto"/>
              </w:rPr>
            </w:pPr>
          </w:p>
        </w:tc>
      </w:tr>
      <w:tr>
        <w:trPr>
          <w:trHeight w:val="219"/>
        </w:trPr>
        <w:tc>
          <w:tcPr>
            <w:tcW w:w="49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Scott M. Quist</w:t>
            </w:r>
          </w:p>
        </w:tc>
      </w:tr>
      <w:tr>
        <w:trPr>
          <w:trHeight w:val="214"/>
        </w:trPr>
        <w:tc>
          <w:tcPr>
            <w:tcW w:w="49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Chairman of the Board, President and</w:t>
            </w:r>
          </w:p>
        </w:tc>
      </w:tr>
      <w:tr>
        <w:trPr>
          <w:trHeight w:val="214"/>
        </w:trPr>
        <w:tc>
          <w:tcPr>
            <w:tcW w:w="49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9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1170"/>
        </w:trPr>
        <w:tc>
          <w:tcPr>
            <w:tcW w:w="4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47890" cy="33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247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74" w:lineRule="exact"/>
        <w:rPr>
          <w:sz w:val="20"/>
          <w:szCs w:val="20"/>
          <w:color w:val="auto"/>
        </w:rPr>
      </w:pPr>
    </w:p>
    <w:p>
      <w:pPr>
        <w:ind w:left="180" w:hanging="173"/>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Security National Financial Corporation.</w:t>
      </w:r>
    </w:p>
    <w:p>
      <w:pPr>
        <w:spacing w:after="0" w:line="273" w:lineRule="exact"/>
        <w:rPr>
          <w:rFonts w:ascii="Arial" w:cs="Arial" w:eastAsia="Arial" w:hAnsi="Arial"/>
          <w:sz w:val="18"/>
          <w:szCs w:val="18"/>
          <w:color w:val="auto"/>
        </w:rPr>
      </w:pPr>
    </w:p>
    <w:p>
      <w:pPr>
        <w:jc w:val="both"/>
        <w:ind w:firstLine="7"/>
        <w:spacing w:after="0" w:line="334" w:lineRule="auto"/>
        <w:tabs>
          <w:tab w:leader="none" w:pos="191"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2" w:lineRule="exact"/>
        <w:rPr>
          <w:rFonts w:ascii="Arial" w:cs="Arial" w:eastAsia="Arial" w:hAnsi="Arial"/>
          <w:sz w:val="16"/>
          <w:szCs w:val="16"/>
          <w:color w:val="auto"/>
        </w:rPr>
      </w:pPr>
    </w:p>
    <w:p>
      <w:pPr>
        <w:ind w:right="20" w:firstLine="7"/>
        <w:spacing w:after="0" w:line="270" w:lineRule="auto"/>
        <w:tabs>
          <w:tab w:leader="none" w:pos="1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8" w:lineRule="exact"/>
        <w:rPr>
          <w:rFonts w:ascii="Arial" w:cs="Arial" w:eastAsia="Arial" w:hAnsi="Arial"/>
          <w:sz w:val="18"/>
          <w:szCs w:val="18"/>
          <w:color w:val="auto"/>
        </w:rPr>
      </w:pPr>
    </w:p>
    <w:p>
      <w:pPr>
        <w:jc w:val="both"/>
        <w:ind w:firstLine="7"/>
        <w:spacing w:after="0" w:line="259" w:lineRule="auto"/>
        <w:tabs>
          <w:tab w:leader="none" w:pos="1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jc w:val="both"/>
        <w:ind w:left="760" w:hanging="433"/>
        <w:spacing w:after="0" w:line="259" w:lineRule="auto"/>
        <w:tabs>
          <w:tab w:leader="none" w:pos="7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37" w:lineRule="exact"/>
        <w:rPr>
          <w:rFonts w:ascii="Arial" w:cs="Arial" w:eastAsia="Arial" w:hAnsi="Arial"/>
          <w:sz w:val="18"/>
          <w:szCs w:val="18"/>
          <w:color w:val="auto"/>
        </w:rPr>
      </w:pPr>
    </w:p>
    <w:p>
      <w:pPr>
        <w:jc w:val="both"/>
        <w:ind w:left="760" w:hanging="433"/>
        <w:spacing w:after="0" w:line="259" w:lineRule="auto"/>
        <w:tabs>
          <w:tab w:leader="none" w:pos="7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ind w:left="760" w:hanging="433"/>
        <w:spacing w:after="0" w:line="300" w:lineRule="auto"/>
        <w:tabs>
          <w:tab w:leader="none" w:pos="760" w:val="left"/>
        </w:tabs>
        <w:numPr>
          <w:ilvl w:val="2"/>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Arial" w:cs="Arial" w:eastAsia="Arial" w:hAnsi="Arial"/>
          <w:sz w:val="17"/>
          <w:szCs w:val="17"/>
          <w:color w:val="auto"/>
        </w:rPr>
      </w:pPr>
    </w:p>
    <w:p>
      <w:pPr>
        <w:jc w:val="both"/>
        <w:ind w:left="720" w:hanging="419"/>
        <w:spacing w:after="0" w:line="259" w:lineRule="auto"/>
        <w:tabs>
          <w:tab w:leader="none" w:pos="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firstLine="7"/>
        <w:spacing w:after="0" w:line="270" w:lineRule="auto"/>
        <w:tabs>
          <w:tab w:leader="none" w:pos="17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financial reporting, to the registrant’s auditors and the audit committee of registrant’s board of directors (or persons performing the equivalent functions):</w:t>
      </w:r>
    </w:p>
    <w:p>
      <w:pPr>
        <w:spacing w:after="0" w:line="228" w:lineRule="exact"/>
        <w:rPr>
          <w:rFonts w:ascii="Arial" w:cs="Arial" w:eastAsia="Arial" w:hAnsi="Arial"/>
          <w:sz w:val="18"/>
          <w:szCs w:val="18"/>
          <w:color w:val="auto"/>
        </w:rPr>
      </w:pPr>
    </w:p>
    <w:p>
      <w:pPr>
        <w:ind w:left="760" w:hanging="433"/>
        <w:spacing w:after="0" w:line="270" w:lineRule="auto"/>
        <w:tabs>
          <w:tab w:leader="none" w:pos="7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760" w:hanging="433"/>
        <w:spacing w:after="0" w:line="270" w:lineRule="auto"/>
        <w:tabs>
          <w:tab w:leader="none" w:pos="7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ind w:left="3960"/>
              <w:spacing w:after="0"/>
              <w:rPr>
                <w:sz w:val="20"/>
                <w:szCs w:val="20"/>
                <w:color w:val="auto"/>
              </w:rPr>
            </w:pPr>
            <w:r>
              <w:rPr>
                <w:rFonts w:ascii="Arial" w:cs="Arial" w:eastAsia="Arial" w:hAnsi="Arial"/>
                <w:sz w:val="18"/>
                <w:szCs w:val="18"/>
                <w:color w:val="auto"/>
              </w:rPr>
              <w:t>By:</w:t>
            </w:r>
          </w:p>
        </w:tc>
        <w:tc>
          <w:tcPr>
            <w:tcW w:w="6480" w:type="dxa"/>
            <w:vAlign w:val="bottom"/>
            <w:gridSpan w:val="2"/>
          </w:tcPr>
          <w:p>
            <w:pPr>
              <w:spacing w:after="0"/>
              <w:rPr>
                <w:sz w:val="20"/>
                <w:szCs w:val="20"/>
                <w:color w:val="auto"/>
              </w:rPr>
            </w:pPr>
            <w:r>
              <w:rPr>
                <w:rFonts w:ascii="Arial" w:cs="Arial" w:eastAsia="Arial" w:hAnsi="Arial"/>
                <w:sz w:val="18"/>
                <w:szCs w:val="18"/>
                <w:color w:val="auto"/>
              </w:rPr>
              <w:t>/s/ Garrett S. Sill</w:t>
            </w:r>
          </w:p>
        </w:tc>
      </w:tr>
      <w:tr>
        <w:trPr>
          <w:trHeight w:val="219"/>
        </w:trPr>
        <w:tc>
          <w:tcPr>
            <w:tcW w:w="494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Garrett S. Sill</w:t>
            </w:r>
          </w:p>
        </w:tc>
        <w:tc>
          <w:tcPr>
            <w:tcW w:w="5280" w:type="dxa"/>
            <w:vAlign w:val="bottom"/>
          </w:tcPr>
          <w:p>
            <w:pPr>
              <w:spacing w:after="0"/>
              <w:rPr>
                <w:sz w:val="19"/>
                <w:szCs w:val="19"/>
                <w:color w:val="auto"/>
              </w:rPr>
            </w:pPr>
          </w:p>
        </w:tc>
      </w:tr>
      <w:tr>
        <w:trPr>
          <w:trHeight w:val="214"/>
        </w:trPr>
        <w:tc>
          <w:tcPr>
            <w:tcW w:w="49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27"/>
        </w:trPr>
        <w:tc>
          <w:tcPr>
            <w:tcW w:w="49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836"/>
        </w:trPr>
        <w:tc>
          <w:tcPr>
            <w:tcW w:w="4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47890" cy="33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247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Security National Financial Corporation (the “Company”) on Form 10-K for the period ending December 31, 2018, as filed with the Securities and Exchange Commission on the date hereof (the “Report”), I, Garrett S. Sill, Vice President, Treasurer and Chief Financial Officer of the Company, certify, pursuant to 18 U.S.C. §1350, as adopted pursuant to Section 906 of the Sarbanes-Oxley Act of 2002, that, to the best of my knowledge and belief:</w:t>
      </w:r>
    </w:p>
    <w:p>
      <w:pPr>
        <w:spacing w:after="0" w:line="242" w:lineRule="exact"/>
        <w:rPr>
          <w:sz w:val="20"/>
          <w:szCs w:val="20"/>
          <w:color w:val="auto"/>
        </w:rPr>
      </w:pPr>
    </w:p>
    <w:p>
      <w:pPr>
        <w:ind w:left="1320" w:hanging="672"/>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1320" w:hanging="672"/>
        <w:spacing w:after="0" w:line="270" w:lineRule="auto"/>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Garrett S. Sill</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Garrett S. Sill</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 and Treasurer</w:t>
      </w:r>
    </w:p>
    <w:p>
      <w:pPr>
        <w:spacing w:after="0" w:line="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488315</wp:posOffset>
            </wp:positionV>
            <wp:extent cx="72478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47890" cy="336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24789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247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Security National Financial Corporation (the “Company”) on Form 10-K for the period ending December 31, 2018, as filed with the Securities and Exchange Commission on the date hereof (the “Report”), I, Garrett S. Sill, Vice President, Treasurer and Chief Financial Officer of the Company, certify, pursuant to 18 U.S.C. §1350, as adopted pursuant to Section 906 of the Sarbanes-Oxley Act of 2002, that, to the best of my knowledge and belief:</w:t>
      </w:r>
    </w:p>
    <w:p>
      <w:pPr>
        <w:spacing w:after="0" w:line="242" w:lineRule="exact"/>
        <w:rPr>
          <w:sz w:val="20"/>
          <w:szCs w:val="20"/>
          <w:color w:val="auto"/>
        </w:rPr>
      </w:pPr>
    </w:p>
    <w:p>
      <w:pPr>
        <w:ind w:left="1320" w:hanging="672"/>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3" w:lineRule="exact"/>
        <w:rPr>
          <w:rFonts w:ascii="Arial" w:cs="Arial" w:eastAsia="Arial" w:hAnsi="Arial"/>
          <w:sz w:val="18"/>
          <w:szCs w:val="18"/>
          <w:color w:val="auto"/>
        </w:rPr>
      </w:pPr>
    </w:p>
    <w:p>
      <w:pPr>
        <w:ind w:left="1320" w:hanging="672"/>
        <w:spacing w:after="0" w:line="270" w:lineRule="auto"/>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8" w:lineRule="exact"/>
        <w:rPr>
          <w:sz w:val="20"/>
          <w:szCs w:val="20"/>
          <w:color w:val="auto"/>
        </w:rPr>
      </w:pPr>
    </w:p>
    <w:p>
      <w:pPr>
        <w:ind w:left="3220"/>
        <w:spacing w:after="0"/>
        <w:tabs>
          <w:tab w:leader="none" w:pos="3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Garrett S. Sill</w:t>
      </w:r>
    </w:p>
    <w:p>
      <w:pPr>
        <w:spacing w:after="0" w:line="2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Garrett S. Sill</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Chief Financial Officer and Treasurer</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247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upperLetter"/>
      <w:start w:val="24"/>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
    </w:lvl>
    <w:lvl w:ilvl="1">
      <w:lvlJc w:val="left"/>
      <w:lvlText w:val="$"/>
      <w:numFmt w:val="bullet"/>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1"/>
    </w:lvl>
  </w:abstractNum>
  <w:abstractNum w:abstractNumId="15">
    <w:nsid w:val="12E685FB"/>
    <w:multiLevelType w:val="hybridMultilevel"/>
    <w:lvl w:ilvl="0">
      <w:lvlJc w:val="left"/>
      <w:lvlText w:val="%1)"/>
      <w:numFmt w:val="decimal"/>
      <w:start w:val="2"/>
    </w:lvl>
  </w:abstractNum>
  <w:abstractNum w:abstractNumId="16">
    <w:nsid w:val="70C6A529"/>
    <w:multiLevelType w:val="hybridMultilevel"/>
    <w:lvl w:ilvl="0">
      <w:lvlJc w:val="left"/>
      <w:lvlText w:val="%1)"/>
      <w:numFmt w:val="decimal"/>
      <w:start w:val="2"/>
    </w:lvl>
  </w:abstractNum>
  <w:abstractNum w:abstractNumId="17">
    <w:nsid w:val="520EEDD1"/>
    <w:multiLevelType w:val="hybridMultilevel"/>
    <w:lvl w:ilvl="0">
      <w:lvlJc w:val="left"/>
      <w:lvlText w:val="%1)"/>
      <w:numFmt w:val="decimal"/>
      <w:start w:val="2"/>
    </w:lvl>
  </w:abstractNum>
  <w:abstractNum w:abstractNumId="18">
    <w:nsid w:val="374A3FE6"/>
    <w:multiLevelType w:val="hybridMultilevel"/>
    <w:lvl w:ilvl="0">
      <w:lvlJc w:val="left"/>
      <w:lvlText w:val="%1)"/>
      <w:numFmt w:val="decimal"/>
      <w:start w:val="2"/>
    </w:lvl>
  </w:abstractNum>
  <w:abstractNum w:abstractNumId="19">
    <w:nsid w:val="4F4EF005"/>
    <w:multiLevelType w:val="hybridMultilevel"/>
    <w:lvl w:ilvl="0">
      <w:lvlJc w:val="left"/>
      <w:lvlText w:val="%1)"/>
      <w:numFmt w:val="decimal"/>
      <w:start w:val="2"/>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2"/>
    </w:lvl>
  </w:abstractNum>
  <w:abstractNum w:abstractNumId="22">
    <w:nsid w:val="275AC794"/>
    <w:multiLevelType w:val="hybridMultilevel"/>
    <w:lvl w:ilvl="0">
      <w:lvlJc w:val="left"/>
      <w:lvlText w:val="%1)"/>
      <w:numFmt w:val="decimal"/>
      <w:start w:val="2"/>
    </w:lvl>
  </w:abstractNum>
  <w:abstractNum w:abstractNumId="23">
    <w:nsid w:val="39386575"/>
    <w:multiLevelType w:val="hybridMultilevel"/>
    <w:lvl w:ilvl="0">
      <w:lvlJc w:val="left"/>
      <w:lvlText w:val="%1)"/>
      <w:numFmt w:val="decimal"/>
      <w:start w:val="2"/>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2"/>
    </w:lvl>
  </w:abstractNum>
  <w:abstractNum w:abstractNumId="26">
    <w:nsid w:val="235BA861"/>
    <w:multiLevelType w:val="hybridMultilevel"/>
    <w:lvl w:ilvl="0">
      <w:lvlJc w:val="left"/>
      <w:lvlText w:val="%1)"/>
      <w:numFmt w:val="decimal"/>
      <w:start w:val="2"/>
    </w:lvl>
  </w:abstractNum>
  <w:abstractNum w:abstractNumId="27">
    <w:nsid w:val="47398C89"/>
    <w:multiLevelType w:val="hybridMultilevel"/>
    <w:lvl w:ilvl="0">
      <w:lvlJc w:val="left"/>
      <w:lvlText w:val="%1)"/>
      <w:numFmt w:val="decimal"/>
      <w:start w:val="3"/>
    </w:lvl>
  </w:abstractNum>
  <w:abstractNum w:abstractNumId="28">
    <w:nsid w:val="354FE9F9"/>
    <w:multiLevelType w:val="hybridMultilevel"/>
    <w:lvl w:ilvl="0">
      <w:lvlJc w:val="left"/>
      <w:lvlText w:val="%1)"/>
      <w:numFmt w:val="decimal"/>
      <w:start w:val="7"/>
    </w:lvl>
  </w:abstractNum>
  <w:abstractNum w:abstractNumId="29">
    <w:nsid w:val="15B5AF5C"/>
    <w:multiLevelType w:val="hybridMultilevel"/>
    <w:lvl w:ilvl="0">
      <w:lvlJc w:val="left"/>
      <w:lvlText w:val="%1)"/>
      <w:numFmt w:val="decimal"/>
      <w:start w:val="8"/>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0"/>
    </w:lvl>
  </w:abstractNum>
  <w:abstractNum w:abstractNumId="32">
    <w:nsid w:val="10233C99"/>
    <w:multiLevelType w:val="hybridMultilevel"/>
    <w:lvl w:ilvl="0">
      <w:lvlJc w:val="left"/>
      <w:lvlText w:val="%1)"/>
      <w:numFmt w:val="decimal"/>
      <w:start w:val="10"/>
    </w:lvl>
  </w:abstractNum>
  <w:abstractNum w:abstractNumId="33">
    <w:nsid w:val="3F6AB60F"/>
    <w:multiLevelType w:val="hybridMultilevel"/>
    <w:lvl w:ilvl="0">
      <w:lvlJc w:val="left"/>
      <w:lvlText w:val="%1)"/>
      <w:numFmt w:val="decimal"/>
      <w:start w:val="10"/>
    </w:lvl>
  </w:abstractNum>
  <w:abstractNum w:abstractNumId="34">
    <w:nsid w:val="61574095"/>
    <w:multiLevelType w:val="hybridMultilevel"/>
    <w:lvl w:ilvl="0">
      <w:lvlJc w:val="left"/>
      <w:lvlText w:val="%1)"/>
      <w:numFmt w:val="decimal"/>
      <w:start w:val="11"/>
    </w:lvl>
  </w:abstractNum>
  <w:abstractNum w:abstractNumId="35">
    <w:nsid w:val="7E0C57B1"/>
    <w:multiLevelType w:val="hybridMultilevel"/>
    <w:lvl w:ilvl="0">
      <w:lvlJc w:val="left"/>
      <w:lvlText w:val="%1)"/>
      <w:numFmt w:val="decimal"/>
      <w:start w:val="11"/>
    </w:lvl>
  </w:abstractNum>
  <w:abstractNum w:abstractNumId="36">
    <w:nsid w:val="77AE35EB"/>
    <w:multiLevelType w:val="hybridMultilevel"/>
    <w:lvl w:ilvl="0">
      <w:lvlJc w:val="left"/>
      <w:lvlText w:val="%1)"/>
      <w:numFmt w:val="decimal"/>
      <w:start w:val="12"/>
    </w:lvl>
  </w:abstractNum>
  <w:abstractNum w:abstractNumId="37">
    <w:nsid w:val="579BE4F1"/>
    <w:multiLevelType w:val="hybridMultilevel"/>
    <w:lvl w:ilvl="0">
      <w:lvlJc w:val="left"/>
      <w:lvlText w:val="%1)"/>
      <w:numFmt w:val="decimal"/>
      <w:start w:val="12"/>
    </w:lvl>
  </w:abstractNum>
  <w:abstractNum w:abstractNumId="38">
    <w:nsid w:val="310C50B3"/>
    <w:multiLevelType w:val="hybridMultilevel"/>
    <w:lvl w:ilvl="0">
      <w:lvlJc w:val="left"/>
      <w:lvlText w:val="%1)"/>
      <w:numFmt w:val="decimal"/>
      <w:start w:val="13"/>
    </w:lvl>
  </w:abstractNum>
  <w:abstractNum w:abstractNumId="39">
    <w:nsid w:val="5FF87E05"/>
    <w:multiLevelType w:val="hybridMultilevel"/>
    <w:lvl w:ilvl="0">
      <w:lvlJc w:val="left"/>
      <w:lvlText w:val="%1)"/>
      <w:numFmt w:val="decimal"/>
      <w:start w:val="14"/>
    </w:lvl>
  </w:abstractNum>
  <w:abstractNum w:abstractNumId="40">
    <w:nsid w:val="2F305DEF"/>
    <w:multiLevelType w:val="hybridMultilevel"/>
    <w:lvl w:ilvl="0">
      <w:lvlJc w:val="left"/>
      <w:lvlText w:val="%1)"/>
      <w:numFmt w:val="decimal"/>
      <w:start w:val="14"/>
    </w:lvl>
  </w:abstractNum>
  <w:abstractNum w:abstractNumId="41">
    <w:nsid w:val="25A70BF7"/>
    <w:multiLevelType w:val="hybridMultilevel"/>
    <w:lvl w:ilvl="0">
      <w:lvlJc w:val="left"/>
      <w:lvlText w:val="%1)"/>
      <w:numFmt w:val="decimal"/>
      <w:start w:val="15"/>
    </w:lvl>
  </w:abstractNum>
  <w:abstractNum w:abstractNumId="42">
    <w:nsid w:val="1DBABF00"/>
    <w:multiLevelType w:val="hybridMultilevel"/>
    <w:lvl w:ilvl="0">
      <w:lvlJc w:val="left"/>
      <w:lvlText w:val="%1)"/>
      <w:numFmt w:val="decimal"/>
      <w:start w:val="16"/>
    </w:lvl>
  </w:abstractNum>
  <w:abstractNum w:abstractNumId="43">
    <w:nsid w:val="4AD084E9"/>
    <w:multiLevelType w:val="hybridMultilevel"/>
    <w:lvl w:ilvl="0">
      <w:lvlJc w:val="left"/>
      <w:lvlText w:val="%1)"/>
      <w:numFmt w:val="decimal"/>
      <w:start w:val="17"/>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decimal"/>
      <w:start w:val="17"/>
    </w:lvl>
  </w:abstractNum>
  <w:abstractNum w:abstractNumId="46">
    <w:nsid w:val="5DB70AE5"/>
    <w:multiLevelType w:val="hybridMultilevel"/>
    <w:lvl w:ilvl="0">
      <w:lvlJc w:val="left"/>
      <w:lvlText w:val="%1)"/>
      <w:numFmt w:val="decimal"/>
      <w:start w:val="17"/>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7"/>
    </w:lvl>
  </w:abstractNum>
  <w:abstractNum w:abstractNumId="49">
    <w:nsid w:val="15014ACB"/>
    <w:multiLevelType w:val="hybridMultilevel"/>
    <w:lvl w:ilvl="0">
      <w:lvlJc w:val="left"/>
      <w:lvlText w:val="%1)"/>
      <w:numFmt w:val="decimal"/>
      <w:start w:val="17"/>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7"/>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7"/>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7"/>
    </w:lvl>
  </w:abstractNum>
  <w:abstractNum w:abstractNumId="57">
    <w:nsid w:val="661E3F1E"/>
    <w:multiLevelType w:val="hybridMultilevel"/>
    <w:lvl w:ilvl="0">
      <w:lvlJc w:val="left"/>
      <w:lvlText w:val="%1)"/>
      <w:numFmt w:val="decimal"/>
      <w:start w:val="18"/>
    </w:lvl>
  </w:abstractNum>
  <w:abstractNum w:abstractNumId="58">
    <w:nsid w:val="5DC79EA8"/>
    <w:multiLevelType w:val="hybridMultilevel"/>
    <w:lvl w:ilvl="0">
      <w:lvlJc w:val="left"/>
      <w:lvlText w:val="%1)"/>
      <w:numFmt w:val="decimal"/>
      <w:start w:val="19"/>
    </w:lvl>
  </w:abstractNum>
  <w:abstractNum w:abstractNumId="59">
    <w:nsid w:val="540A471C"/>
    <w:multiLevelType w:val="hybridMultilevel"/>
    <w:lvl w:ilvl="0">
      <w:lvlJc w:val="left"/>
      <w:lvlText w:val="%1)"/>
      <w:numFmt w:val="decimal"/>
      <w:start w:val="20"/>
    </w:lvl>
  </w:abstractNum>
  <w:abstractNum w:abstractNumId="60">
    <w:nsid w:val="7BD3EE7B"/>
    <w:multiLevelType w:val="hybridMultilevel"/>
    <w:lvl w:ilvl="0">
      <w:lvlJc w:val="left"/>
      <w:lvlText w:val="%1)"/>
      <w:numFmt w:val="decimal"/>
      <w:start w:val="21"/>
    </w:lvl>
  </w:abstractNum>
  <w:abstractNum w:abstractNumId="61">
    <w:nsid w:val="51D9C564"/>
    <w:multiLevelType w:val="hybridMultilevel"/>
    <w:lvl w:ilvl="0">
      <w:lvlJc w:val="left"/>
      <w:lvlText w:val="%1)"/>
      <w:numFmt w:val="decimal"/>
      <w:start w:val="21"/>
    </w:lvl>
  </w:abstractNum>
  <w:abstractNum w:abstractNumId="62">
    <w:nsid w:val="613EFDC5"/>
    <w:multiLevelType w:val="hybridMultilevel"/>
    <w:lvl w:ilvl="0">
      <w:lvlJc w:val="left"/>
      <w:lvlText w:val="%1)"/>
      <w:numFmt w:val="decimal"/>
      <w:start w:val="23"/>
    </w:lvl>
  </w:abstractNum>
  <w:abstractNum w:abstractNumId="63">
    <w:nsid w:val="BF72B14"/>
    <w:multiLevelType w:val="hybridMultilevel"/>
    <w:lvl w:ilvl="0">
      <w:lvlJc w:val="left"/>
      <w:lvlText w:val="%1)"/>
      <w:numFmt w:val="decimal"/>
      <w:start w:val="23"/>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decimal"/>
      <w:start w:val="23"/>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decimal"/>
      <w:start w:val="24"/>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1)"/>
      <w:numFmt w:val="decimal"/>
      <w:start w:val="1"/>
    </w:lvl>
    <w:lvl w:ilvl="1">
      <w:lvlJc w:val="left"/>
      <w:lvlText w:val="%2)"/>
      <w:numFmt w:val="lowerLetter"/>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8"/>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5"/>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upperLetter"/>
      <w:start w:val="35"/>
    </w:lvl>
  </w:abstractNum>
  <w:abstractNum w:abstractNumId="82">
    <w:nsid w:val="94211F2"/>
    <w:multiLevelType w:val="hybridMultilevel"/>
    <w:lvl w:ilvl="0">
      <w:lvlJc w:val="left"/>
      <w:lvlText w:val="%1."/>
      <w:numFmt w:val="upperLetter"/>
      <w:start w:val="22"/>
    </w:lvl>
  </w:abstractNum>
  <w:abstractNum w:abstractNumId="83">
    <w:nsid w:val="885E1B"/>
    <w:multiLevelType w:val="hybridMultilevel"/>
    <w:lvl w:ilvl="0">
      <w:lvlJc w:val="left"/>
      <w:lvlText w:val="%1"/>
      <w:numFmt w:val="decimal"/>
      <w:start w:val="2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30" Type="http://schemas.openxmlformats.org/officeDocument/2006/relationships/hyperlink" Target="http://www.sec.gov/Archives/edgar/data/318673/000109690617000214/exh3_1.pdf" TargetMode="External"/><Relationship Id="rId131" Type="http://schemas.openxmlformats.org/officeDocument/2006/relationships/hyperlink" Target="http://www.sec.gov/Archives/edgar/data/318673/000109690617000578/exh3_2.pdf" TargetMode="External"/><Relationship Id="rId132" Type="http://schemas.openxmlformats.org/officeDocument/2006/relationships/hyperlink" Target="http://www.sec.gov/Archives/edgar/data/318673/000109690617000501/exh7_1.htm" TargetMode="External"/><Relationship Id="rId133" Type="http://schemas.openxmlformats.org/officeDocument/2006/relationships/hyperlink" Target="http://www.sec.gov/Archives/edgar/data/318673/000109690616001835/exh10_4.htm" TargetMode="External"/><Relationship Id="rId134" Type="http://schemas.openxmlformats.org/officeDocument/2006/relationships/hyperlink" Target="http://www.sec.gov/Archives/edgar/data/318673/000109690614000752/snfcadef14a.htm" TargetMode="External"/><Relationship Id="rId135" Type="http://schemas.openxmlformats.org/officeDocument/2006/relationships/hyperlink" Target="http://www.sec.gov/Archives/edgar/data/318673/000109690615001153/exh108.htm" TargetMode="External"/><Relationship Id="rId136" Type="http://schemas.openxmlformats.org/officeDocument/2006/relationships/hyperlink" Target="http://www.sec.gov/Archives/edgar/data/318673/000109690618000285/exh10_1.htm" TargetMode="External"/><Relationship Id="rId137" Type="http://schemas.openxmlformats.org/officeDocument/2006/relationships/hyperlink" Target="http://www.sec.gov/Archives/edgar/data/318673/000109690618000639/exh10_9.htm" TargetMode="External"/><Relationship Id="rId138" Type="http://schemas.openxmlformats.org/officeDocument/2006/relationships/hyperlink" Target="http://www.sec.gov/Archives/edgar/data/318673/000109690619000084/exh10_1.htm" TargetMode="External"/><Relationship Id="rId139" Type="http://schemas.openxmlformats.org/officeDocument/2006/relationships/hyperlink" Target="http://www.sec.gov/Archives/edgar/data/318673/000109690615001070/secexh231.htm" TargetMode="External"/><Relationship Id="rId140" Type="http://schemas.openxmlformats.org/officeDocument/2006/relationships/hyperlink" Target="http://www.sec.gov/Archives/edgar/data/318673/000109690615001070/secexh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2019-12-28T13:58:58Z</dcterms:created>
  <dcterms:modified xsi:type="dcterms:W3CDTF">2019-12-28T13:58:58Z</dcterms:modified>
</cp:coreProperties>
</file>