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right="1880" w:firstLine="8"/>
        <w:spacing w:after="0" w:line="263"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286" w:lineRule="auto"/>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36"/>
        </w:trPr>
        <w:tc>
          <w:tcPr>
            <w:tcW w:w="50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52"/>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433 Ascension Way, 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Salt Lake City, Utah</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5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6"/>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432"/>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9"/>
        </w:trPr>
        <w:tc>
          <w:tcPr>
            <w:tcW w:w="500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20"/>
                <w:szCs w:val="20"/>
                <w:color w:val="auto"/>
              </w:rPr>
            </w:pPr>
          </w:p>
        </w:tc>
        <w:tc>
          <w:tcPr>
            <w:tcW w:w="42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8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8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20" w:space="720"/>
            <w:col w:w="3900"/>
          </w:cols>
          <w:pgMar w:left="320" w:top="740" w:right="339" w:bottom="1440" w:gutter="0" w:footer="0" w:header="0"/>
          <w:type w:val="continuous"/>
        </w:sectPr>
      </w:pPr>
    </w:p>
    <w:p>
      <w:pPr>
        <w:spacing w:after="0" w:line="1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ind w:left="1034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r>
        <w:rPr>
          <w:rFonts w:ascii="MS PGothic" w:cs="MS PGothic" w:eastAsia="MS PGothic" w:hAnsi="MS PGothic"/>
          <w:sz w:val="17"/>
          <w:szCs w:val="17"/>
          <w:color w:val="auto"/>
        </w:rPr>
        <w:t>☒</w:t>
      </w:r>
    </w:p>
    <w:p>
      <w:pPr>
        <w:spacing w:after="0" w:line="27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August 8, 2025, the registrant had 22,394,866 shares of Class A Common Stock, $2.00 par value, outstanding and 3,587,616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60" w:type="dxa"/>
            <w:vAlign w:val="bottom"/>
            <w:gridSpan w:val="14"/>
          </w:tcPr>
          <w:p>
            <w:pPr>
              <w:jc w:val="center"/>
              <w:ind w:right="2500"/>
              <w:spacing w:after="0"/>
              <w:rPr>
                <w:sz w:val="20"/>
                <w:szCs w:val="20"/>
                <w:color w:val="auto"/>
              </w:rPr>
            </w:pPr>
            <w:r>
              <w:rPr>
                <w:rFonts w:ascii="Times New Roman" w:cs="Times New Roman" w:eastAsia="Times New Roman" w:hAnsi="Times New Roman"/>
                <w:sz w:val="18"/>
                <w:szCs w:val="18"/>
                <w:color w:val="auto"/>
                <w:w w:val="99"/>
              </w:rPr>
              <w:t>QUARTER ENDED JUNE 30, 2025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12"/>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45"/>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6"/>
              </w:rPr>
              <w:t>Page No.</w:t>
            </w:r>
          </w:p>
        </w:tc>
      </w:tr>
      <w:tr>
        <w:trPr>
          <w:trHeight w:val="190"/>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2320" w:type="dxa"/>
            <w:vAlign w:val="bottom"/>
            <w:tcBorders>
              <w:top w:val="single" w:sz="8" w:color="CCEEFF"/>
              <w:bottom w:val="single" w:sz="8" w:color="0000EE"/>
            </w:tcBorders>
            <w:gridSpan w:val="6"/>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352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June 30, 2025 (unaudited) and December 31, 2024</w:t>
            </w:r>
          </w:p>
        </w:tc>
        <w:tc>
          <w:tcPr>
            <w:tcW w:w="246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980" w:type="dxa"/>
            <w:vAlign w:val="bottom"/>
          </w:tcPr>
          <w:p>
            <w:pPr>
              <w:spacing w:after="0"/>
              <w:rPr>
                <w:sz w:val="15"/>
                <w:szCs w:val="15"/>
                <w:color w:val="auto"/>
              </w:rPr>
            </w:pP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and six month periods ended June 30, 2025 and 2024 (unaudited)</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98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for the three and six month periods ended June 30, 2025 and 2024</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980" w:type="dxa"/>
            <w:vAlign w:val="bottom"/>
            <w:shd w:val="clear" w:color="auto" w:fill="CCEEFF"/>
          </w:tcPr>
          <w:p>
            <w:pPr>
              <w:spacing w:after="0"/>
              <w:rPr>
                <w:sz w:val="17"/>
                <w:szCs w:val="17"/>
                <w:color w:val="auto"/>
              </w:rPr>
            </w:pPr>
          </w:p>
        </w:tc>
        <w:tc>
          <w:tcPr>
            <w:tcW w:w="948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rPr>
                <w:sz w:val="15"/>
                <w:szCs w:val="15"/>
                <w:color w:val="auto"/>
              </w:rPr>
            </w:pP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June 30, 2025 and June 30, 2024 (unaudited)</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86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 periods ended June 30, 2025 and 2024 (unaudited)</w:t>
            </w:r>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980" w:type="dxa"/>
            <w:vAlign w:val="bottom"/>
          </w:tcPr>
          <w:p>
            <w:pPr>
              <w:spacing w:after="0"/>
              <w:rPr>
                <w:sz w:val="15"/>
                <w:szCs w:val="15"/>
                <w:color w:val="auto"/>
              </w:rPr>
            </w:pP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2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5"/>
        </w:trPr>
        <w:tc>
          <w:tcPr>
            <w:tcW w:w="9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740" w:type="dxa"/>
            <w:vAlign w:val="bottom"/>
            <w:tcBorders>
              <w:top w:val="single" w:sz="8" w:color="CCEEFF"/>
            </w:tcBorders>
            <w:gridSpan w:val="12"/>
          </w:tcPr>
          <w:p>
            <w:pPr>
              <w:jc w:val="center"/>
              <w:ind w:right="36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1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140" w:type="dxa"/>
            <w:vAlign w:val="bottom"/>
            <w:tcBorders>
              <w:bottom w:val="single" w:sz="8" w:color="CCEEFF"/>
            </w:tcBorders>
            <w:gridSpan w:val="17"/>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140" w:type="dxa"/>
            <w:vAlign w:val="bottom"/>
            <w:tcBorders>
              <w:top w:val="single" w:sz="8" w:color="CCEEFF"/>
            </w:tcBorders>
            <w:gridSpan w:val="10"/>
          </w:tcPr>
          <w:p>
            <w:pPr>
              <w:spacing w:after="0"/>
              <w:rPr>
                <w:sz w:val="15"/>
                <w:szCs w:val="15"/>
                <w:color w:val="auto"/>
              </w:rPr>
            </w:pPr>
          </w:p>
        </w:tc>
        <w:tc>
          <w:tcPr>
            <w:tcW w:w="780" w:type="dxa"/>
            <w:vAlign w:val="bottom"/>
            <w:tcBorders>
              <w:top w:val="single" w:sz="8" w:color="CCEEFF"/>
            </w:tcBorders>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720" w:type="dxa"/>
            <w:vAlign w:val="bottom"/>
            <w:tcBorders>
              <w:top w:val="single" w:sz="8" w:color="CCEEFF"/>
            </w:tcBorders>
            <w:gridSpan w:val="15"/>
          </w:tcPr>
          <w:p>
            <w:pPr>
              <w:spacing w:after="0"/>
              <w:rPr>
                <w:sz w:val="15"/>
                <w:szCs w:val="15"/>
                <w:color w:val="auto"/>
              </w:rPr>
            </w:pPr>
          </w:p>
        </w:tc>
        <w:tc>
          <w:tcPr>
            <w:tcW w:w="780" w:type="dxa"/>
            <w:vAlign w:val="bottom"/>
            <w:tcBorders>
              <w:top w:val="single" w:sz="8" w:color="CCEEFF"/>
            </w:tcBorders>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880" w:type="dxa"/>
            <w:vAlign w:val="bottom"/>
            <w:tcBorders>
              <w:bottom w:val="single" w:sz="8" w:color="CCEEFF"/>
            </w:tcBorders>
            <w:gridSpan w:val="22"/>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6"/>
        </w:trPr>
        <w:tc>
          <w:tcPr>
            <w:tcW w:w="98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720" w:type="dxa"/>
            <w:vAlign w:val="bottom"/>
            <w:gridSpan w:val="21"/>
          </w:tcPr>
          <w:p>
            <w:pPr>
              <w:spacing w:after="0"/>
              <w:rPr>
                <w:sz w:val="15"/>
                <w:szCs w:val="15"/>
                <w:color w:val="auto"/>
              </w:rPr>
            </w:pP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452"/>
        </w:trPr>
        <w:tc>
          <w:tcPr>
            <w:tcW w:w="9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4"/>
          </w:tcPr>
          <w:p>
            <w:pPr>
              <w:jc w:val="center"/>
              <w:ind w:left="4330"/>
              <w:spacing w:after="0"/>
              <w:rPr>
                <w:sz w:val="20"/>
                <w:szCs w:val="20"/>
                <w:color w:val="auto"/>
              </w:rPr>
            </w:pPr>
            <w:r>
              <w:rPr>
                <w:rFonts w:ascii="Times New Roman" w:cs="Times New Roman" w:eastAsia="Times New Roman" w:hAnsi="Times New Roman"/>
                <w:sz w:val="18"/>
                <w:szCs w:val="18"/>
                <w:color w:val="auto"/>
                <w:w w:val="88"/>
              </w:rPr>
              <w:t>2</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68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$393,340,165 and $376,012,071 for 2025 and 2024, respectively; net of allowance for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losses of $486,986 and $420,993 for 2025 and 2024, respectively)</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390,441,720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366,546,129</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$11,657,063 and $11,386,454 for 2025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2024, respectively)</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16,556,531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 of $2,640,744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$1,885,390 for 2025 and 2024, respectively)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324,403,996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301,747,358</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$34,288,777 and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$31,419,539 for 2025 and 2024, respectively)</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213,045,016</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197,693,338</w:t>
            </w: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3,093,040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1,278,033</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 for credit losses of $1,481,032 and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$1,536,926 for 2025 and 2024, respectively)</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85,691,489</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74,855,041</w:t>
            </w: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9,659,711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8,499,168</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1,042,891,503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966,390,748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79,317,770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140,546,421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165,876,119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131,181,148</w:t>
            </w:r>
          </w:p>
        </w:tc>
        <w:tc>
          <w:tcPr>
            <w:tcW w:w="0" w:type="dxa"/>
            <w:vAlign w:val="bottom"/>
          </w:tcPr>
          <w:p>
            <w:pPr>
              <w:spacing w:after="0"/>
              <w:rPr>
                <w:sz w:val="1"/>
                <w:szCs w:val="1"/>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$1,491,043 and $1,678,531 for 2025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15,468,678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15,858,743</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$13,778,778 and $12,323,535 for 2025 and 2024 respectively, at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29,461,821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23,806,836</w:t>
            </w:r>
          </w:p>
        </w:tc>
        <w:tc>
          <w:tcPr>
            <w:tcW w:w="0" w:type="dxa"/>
            <w:vAlign w:val="bottom"/>
          </w:tcPr>
          <w:p>
            <w:pPr>
              <w:spacing w:after="0"/>
              <w:rPr>
                <w:sz w:val="1"/>
                <w:szCs w:val="1"/>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$6,043,952 and $5,689,706 for 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and 2024, respectively, at estimated fair value)</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9,282,641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8,836,503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13,743,832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13,831,093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10,494,356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10,594,632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123,153,276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122,661,298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2,714,310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2,939,878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18,653,288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19,047,688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6,965,527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7,491,600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5,253,783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20,701,203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21,366,843</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1,543,978,107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1,489,807,214</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959,492,863</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944,811,843</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1,912,897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2,011,679</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122,931,941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106,740,104</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21,589,242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20,168,405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5,788,630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5,642,693</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6,232,317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2,937,293</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55,982,263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55,633,661</w:t>
            </w: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15,293,236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13,079,257</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1,189,223,389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1,151,024,935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22,391,637 shares</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June 30, 2025 and 22,321,422 (1) shares issued and outstanding</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44,783,274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42,510,012</w:t>
            </w: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3,587,614 shares issued and outstanding as of June 30, 2025 and 3,492,672 (1) shares issued</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as of December 31, 2024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7,175,228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6,643,666</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89,068,179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79,698,367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(1,830,143)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(6,951,266)</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225,043,793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225,359,186</w:t>
            </w: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- 1,161,072 Class A shares and 104,604 Class C shares as of June 30,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and 1,081,281 (1) Class A shares and 104,604 (1) Class C shares as of December 31,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(9,485,613)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(8,477,686)</w:t>
            </w: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354,754,718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338,782,279</w:t>
            </w: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1,543,978,107</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1,489,807,214</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right="3500" w:firstLine="8"/>
        <w:spacing w:after="0" w:line="500"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and outstanding shares have been adjusted retroactively for the effect of annual stock dividends. See accompanying 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29,485,104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29,619,516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54,294,345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51,451,186</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30,185,854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29,960,558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59,965,379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59,812,651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20,580,988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18,044,808</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39,783,612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37,991,376</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7,257,717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7,768,947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14,557,938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14,717,438</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1,142,707</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(377,239)</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1,728,728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1,292,187</w:t>
            </w: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888,779</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774,746</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1,950,870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1,714,696</w:t>
            </w:r>
          </w:p>
        </w:tc>
      </w:tr>
      <w:tr>
        <w:trPr>
          <w:trHeight w:val="210"/>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89,541,149</w:t>
            </w:r>
          </w:p>
        </w:tc>
        <w:tc>
          <w:tcPr>
            <w:tcW w:w="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85,791,336</w:t>
            </w:r>
          </w:p>
        </w:tc>
        <w:tc>
          <w:tcPr>
            <w:tcW w:w="3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172,280,872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166,979,534</w:t>
            </w:r>
          </w:p>
        </w:tc>
        <w:tc>
          <w:tcPr>
            <w:tcW w:w="100" w:type="dxa"/>
            <w:vAlign w:val="bottom"/>
            <w:tcBorders>
              <w:bottom w:val="single" w:sz="8" w:color="CCEEFF"/>
            </w:tcBorders>
          </w:tcPr>
          <w:p>
            <w:pPr>
              <w:spacing w:after="0"/>
              <w:rPr>
                <w:sz w:val="18"/>
                <w:szCs w:val="18"/>
                <w:color w:val="auto"/>
              </w:rPr>
            </w:pPr>
          </w:p>
        </w:tc>
      </w:tr>
      <w:tr>
        <w:trPr>
          <w:trHeight w:val="209"/>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15,021,638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14,070,165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31,067,103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29,783,918</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1,231,654</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1,042,940</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2,433,209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2,258,733</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8,800,130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9,212,937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17,788,187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18,558,824</w:t>
            </w: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and value of business acquired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5,737,675</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4,301,389</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10,434,210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9,045,302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13,465,338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13,452,841</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23,903,719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21,434,058</w:t>
            </w: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22,171,345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20,802,576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44,353,753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40,657,711</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940,448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786,217</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1,764,393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1,473,872</w:t>
            </w: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937,139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1,297,239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1,925,750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2,698,716</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599,018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592,899</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1,214,153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1,180,348</w:t>
            </w: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1,891,789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1,533,881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3,307,041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2,982,976</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7,955,635</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6,999,384</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15,356,322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13,285,294</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1,293,438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1,073,816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2,412,966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2,101,290</w:t>
            </w: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and services sold-mortuaries and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cemeteries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1,159,283</w:t>
            </w: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1,235,459</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2,412,553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2,509,588</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81,204,530</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76,401,743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158,373,359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147,970,630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8,336,619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9,389,593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13,907,513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19,008,904</w:t>
            </w:r>
          </w:p>
        </w:tc>
        <w:tc>
          <w:tcPr>
            <w:tcW w:w="100" w:type="dxa"/>
            <w:vAlign w:val="bottom"/>
          </w:tcPr>
          <w:p>
            <w:pPr>
              <w:spacing w:after="0"/>
              <w:rPr>
                <w:sz w:val="18"/>
                <w:szCs w:val="18"/>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(1,830,264)</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(2,118,044)</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(3,062,866)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(4,262,833)</w:t>
            </w:r>
          </w:p>
        </w:tc>
      </w:t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6,506,355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7,271,549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10,844,647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14,746,071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assuming dilution (1)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Weighted-average Class A equivalent common shares outstanding (1)</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Weighted-average Class A equivalent common shares outstanding-assuming dilution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24,767,601</w:t>
            </w:r>
          </w:p>
        </w:tc>
        <w:tc>
          <w:tcPr>
            <w:tcW w:w="3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24,474,232</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24,733,733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24,490,545</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69"/>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25,529,061</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25,079,560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25,623,228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25,186,838</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-779145</wp:posOffset>
            </wp:positionV>
            <wp:extent cx="71323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-316230</wp:posOffset>
            </wp:positionV>
            <wp:extent cx="71323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400"/>
            <w:col w:w="6960"/>
          </w:cols>
          <w:pgMar w:left="320" w:top="904" w:right="339" w:bottom="1440" w:gutter="0" w:footer="0" w:header="0"/>
          <w:type w:val="continuous"/>
        </w:sectPr>
      </w:pPr>
    </w:p>
    <w:p>
      <w:pPr>
        <w:spacing w:after="0" w:line="25" w:lineRule="exact"/>
        <w:rPr>
          <w:sz w:val="20"/>
          <w:szCs w:val="20"/>
          <w:color w:val="auto"/>
        </w:rPr>
      </w:pPr>
    </w:p>
    <w:p>
      <w:pPr>
        <w:jc w:val="both"/>
        <w:ind w:left="280" w:hanging="272"/>
        <w:spacing w:after="0" w:line="266"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6,506,355</w:t>
            </w:r>
          </w:p>
        </w:tc>
        <w:tc>
          <w:tcPr>
            <w:tcW w:w="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7,271,549</w:t>
            </w: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10,844,647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14,746,071</w:t>
            </w:r>
          </w:p>
        </w:tc>
        <w:tc>
          <w:tcPr>
            <w:tcW w:w="100" w:type="dxa"/>
            <w:vAlign w:val="bottom"/>
            <w:shd w:val="clear" w:color="auto" w:fill="CCEEFF"/>
          </w:tcPr>
          <w:p>
            <w:pPr>
              <w:spacing w:after="0"/>
              <w:rPr>
                <w:sz w:val="18"/>
                <w:szCs w:val="18"/>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2,693,245</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(650,489)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6,481,974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(1,782,140)</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on restricted assets (1)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(4,819)</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(1,694)</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(3,583)</w:t>
            </w: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 care</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investments (1)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(1,052)</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178"/>
        </w:trPr>
        <w:tc>
          <w:tcPr>
            <w:tcW w:w="41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before income</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2,687,276</w:t>
            </w:r>
          </w:p>
        </w:tc>
        <w:tc>
          <w:tcPr>
            <w:tcW w:w="340" w:type="dxa"/>
            <w:vAlign w:val="bottom"/>
          </w:tcPr>
          <w:p>
            <w:pPr>
              <w:spacing w:after="0"/>
              <w:rPr>
                <w:sz w:val="21"/>
                <w:szCs w:val="21"/>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(653,235)</w:t>
            </w:r>
          </w:p>
        </w:tc>
        <w:tc>
          <w:tcPr>
            <w:tcW w:w="32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6,483,107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(1,787,548)</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(563,765</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136,106</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(1,361,984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2,123,511</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(517,129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5,121,123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(1,412,227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8,629,866</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6,754,420</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15,965,770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13,333,844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$42,510,012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$ 6,643,666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$79,698,367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(6,951,266)</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$ 225,359,186</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(8,477,686)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$ 338,782,279</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4,338,292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4,338,292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2,997,612</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2,997,612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309,260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309,260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132,546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190,674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(92,965)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(149,009)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81,246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90,895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136,367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227,262</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(242,265)</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(242,265)</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42,643,478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$ 6,834,340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80,004,637</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(3,953,654</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229,697,478</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(8,732,593</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346,493,686</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6,506,355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6,506,355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2,123,511</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2,123,511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320,379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320,379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63,807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208,399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272,206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(961,419)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(961,419)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2,132,832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341,678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8,685,530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(11,160,040)</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44,783,274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$ 7,175,228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89,068,179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(1,830,143</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225,043,793</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(9,485,613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354,754,718</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$40,096,004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$ 5,943,708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$72,424,429</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(6,885,558)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$ 206,978,373</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(5,661,737)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$ 312,895,219</w:t>
            </w:r>
          </w:p>
        </w:tc>
      </w:tr>
      <w:tr>
        <w:trPr>
          <w:trHeight w:val="216"/>
        </w:trPr>
        <w:tc>
          <w:tcPr>
            <w:tcW w:w="276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1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7,474,522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7,474,522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(895,098)</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(895,098)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366,733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470,521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(41,077)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(41,077)</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40,097,162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$ 5,943,360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72,727,294</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(7,780,656</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214,452,895</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(5,336,081</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320,103,974</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7,271,549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7,271,549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(517,129)</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(517,129)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184,066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184,066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64,164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46,182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252,208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265,409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(1,588,058)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(1,588,058)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2,009,442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297,156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5,847,226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(8,153,824)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42,171,872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$ 6,240,332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78,752,885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(8,297,785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213,570,620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(6,671,931</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325,765,993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0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1,904,880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8,104,137</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(54,885,176)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(34,437,326)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36,743,084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65,265,141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(1,602,500)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(2,658,514)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1,529,484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1,996,963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(2,397,575)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(1,116,336)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1,330,555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483,871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(144,567)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perpetual care trust investments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955,014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122,773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(446,677,580)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(364,394,871)</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412,639,393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352,904,166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(884,076)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377,521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(38,492,419)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(27,823,031)</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19,442,304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23,136,542</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(72,442,859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13,384,317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6,230,904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6,775,570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(8,421,749)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(7,864,720)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81,246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46,182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(1,203,684)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(1,629,135)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(18,012,268)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(939,619)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32,000,000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2,164,373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(1,114,584)</w:t>
            </w:r>
          </w:p>
        </w:tc>
      </w:tr>
      <w:tr>
        <w:trPr>
          <w:trHeight w:val="209"/>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12,838,822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(4,726,306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(57,699,157)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16,762,148</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150,102,620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139,923,399</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92,403,463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156,685,547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2,422,711</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2,107,045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2,228,099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3,024,742</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fixed maturity securities available for sale to other investments</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1,185,603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1,069,880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1,130,610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499,468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735,930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858,977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828,063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1,867,552</w:t>
            </w:r>
          </w:p>
        </w:tc>
      </w:tr>
      <w:tr>
        <w:trPr>
          <w:trHeight w:val="432"/>
        </w:trPr>
        <w:tc>
          <w:tcPr>
            <w:tcW w:w="68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are presented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79,317,770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143,632,984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12,680,488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11,849,488</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405,205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1,203,075</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8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92,403,463</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156,685,547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2024, included in the Company’s Annual Report on Form 10-K (File Number 000-09341). In the opinion of management, all adjustments (consisting of normal recurring accruals) considered necessary for a fair presentation have been included. Operating results for the three and six month periods ended June 30, 2025 are not necessarily indicative of the results that may be expected for the year ending December 31,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The Company will adopt the standard commencing with its annual reporting period ending December 31, 2025. 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adoption of this guidance is expected to have an impact on its financial position, results of operations, and disclosures, as well as systems, processes and controls. The Company continues to evaluate the impact of the new guidance on its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for the annual reporting periods beginning January 1, 2025. The Company will adopt the standard commencing with its annual reporting period ending December 31, 2025. The Company does not anticipate that the adoption of ASU 2023-09 will have a material impact on the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2024-03: “Income Statement-Reporting Comprehensive Income- Expense Disaggregation Disclosures (Subtopic 220-40): Disaggregation of Income Statement Expenses”</w:t>
      </w:r>
      <w:r>
        <w:rPr>
          <w:rFonts w:ascii="Times New Roman" w:cs="Times New Roman" w:eastAsia="Times New Roman" w:hAnsi="Times New Roman"/>
          <w:sz w:val="18"/>
          <w:szCs w:val="18"/>
          <w:color w:val="auto"/>
        </w:rPr>
        <w:t xml:space="preserve"> —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the new guidance on the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line="71"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June 30,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69"/>
        </w:trPr>
        <w:tc>
          <w:tcPr>
            <w:tcW w:w="40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77,652,340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888,144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(247,044)</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78,293,440</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3,550,803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15,484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(213,175)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3,353,112</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284,854,952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5,161,683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(4,397,245)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(474,937)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285,144,453</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26,532,070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119,743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(3,743,849)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22,895,915</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754,800</w:t>
            </w:r>
          </w:p>
        </w:tc>
      </w:tr>
      <w:tr>
        <w:trPr>
          <w:trHeight w:val="210"/>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393,340,165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6,189,854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(8,601,313)</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390,441,720</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11,657,063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5,506,182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(606,714)</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16,556,531</w:t>
            </w:r>
          </w:p>
        </w:tc>
      </w:tr>
      <w:tr>
        <w:trPr>
          <w:trHeight w:val="209"/>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11,657,063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5,506,182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(606,714)</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16,556,531</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92,656,929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165,707,402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71,180,249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(2,230,234)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(2,640,744)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(269,606)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324,403,996</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88,976,901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124,068,115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213,045,016</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2,941,487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3,093,040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14,208,030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45,161,992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1,324,800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26,477,699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(1,481,032)</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06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85,691,489</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9,659,711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1,042,891,503</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909" w:orient="portrait"/>
          <w:cols w:equalWidth="0" w:num="1">
            <w:col w:w="11240"/>
          </w:cols>
          <w:pgMar w:left="320" w:top="688" w:right="339" w:bottom="0" w:gutter="0" w:footer="0" w:header="0"/>
        </w:sectPr>
      </w:pPr>
    </w:p>
    <w:bookmarkStart w:id="12" w:name="page13"/>
    <w:bookmarkEnd w:id="12"/>
    <w:p>
      <w:pPr>
        <w:ind w:left="332" w:hanging="332"/>
        <w:spacing w:after="0"/>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2856865</wp:posOffset>
            </wp:positionH>
            <wp:positionV relativeFrom="page">
              <wp:posOffset>88900</wp:posOffset>
            </wp:positionV>
            <wp:extent cx="746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page">
              <wp:posOffset>2856865</wp:posOffset>
            </wp:positionH>
            <wp:positionV relativeFrom="page">
              <wp:posOffset>106045</wp:posOffset>
            </wp:positionV>
            <wp:extent cx="746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t>Gross unrealized losses are net of allowance for credit losses</w:t>
      </w:r>
    </w:p>
    <w:p>
      <w:pPr>
        <w:spacing w:after="0" w:line="2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$581,600 of Membership stock and $743,200 of Activity stock attributable to short-term borrowings and letters of credit.</w:t>
      </w:r>
    </w:p>
    <w:p>
      <w:pPr>
        <w:spacing w:after="0" w:line="218"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405" w:right="1440" w:bottom="1440" w:gutter="0" w:footer="0" w:header="0"/>
        </w:sectPr>
      </w:pPr>
    </w:p>
    <w:bookmarkStart w:id="13" w:name="page14"/>
    <w:bookmarkEnd w:id="13"/>
    <w:p>
      <w:pPr>
        <w:spacing w:after="0" w:line="6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74,680,606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327,618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(486,976)</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74,521,248</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6,416,751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(290,448)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6,128,065</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262,954,278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2,444,842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(6,922,871)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(408,944)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258,067,305</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31,710,436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125,764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(4,244,640)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27,579,511</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148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4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376,012,071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2,899,986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(11,944,935</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366,546,129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(591,340)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(591,340)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92,061,787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151,172,733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62,753,085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(2,082,241)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(1,885,390)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discounts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(272,616)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301,747,358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71,618,410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126,074,928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197,693,338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1,278,033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assignments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48,493,858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2,404,900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11,473,961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assignments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(1,536,926)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74,855,041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8,499,168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966,390,748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p>
    <w:p>
      <w:pPr>
        <w:sectPr>
          <w:pgSz w:w="11900" w:h="16905" w:orient="portrait"/>
          <w:cols w:equalWidth="0" w:num="1">
            <w:col w:w="11240"/>
          </w:cols>
          <w:pgMar w:left="320" w:top="688" w:right="339" w:bottom="0" w:gutter="0" w:footer="0" w:header="0"/>
        </w:sectPr>
      </w:pPr>
    </w:p>
    <w:bookmarkStart w:id="14" w:name="page15"/>
    <w:bookmarkEnd w:id="14"/>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2856865</wp:posOffset>
            </wp:positionH>
            <wp:positionV relativeFrom="page">
              <wp:posOffset>97790</wp:posOffset>
            </wp:positionV>
            <wp:extent cx="7200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t>Gross unrealized losses are net of allowance for credit losses</w:t>
      </w:r>
    </w:p>
    <w:p>
      <w:pPr>
        <w:spacing w:after="0" w:line="2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$553,900 of Membership stock and $1,851,000 of Activity stock due to short-term advances and letters of credit.</w:t>
      </w:r>
    </w:p>
    <w:p>
      <w:pPr>
        <w:spacing w:after="0" w:line="218"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391" w:right="1440" w:bottom="1440" w:gutter="0" w:footer="0" w:header="0"/>
        </w:sectPr>
      </w:pPr>
    </w:p>
    <w:bookmarkStart w:id="15" w:name="page16"/>
    <w:bookmarkEnd w:id="1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investments in fixed maturity securities or equity securities, aggregated by issuer, of more than 10% of shareholders’ equity (before net unrealized gains and losses on equity securities and fixed maturity securities) as of June 30, 2025, other than investments issued or guaranteed by the United States Government.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June 30, 2025 and December 31, 2024. The fair values of fixed maturity securities are based on quoted market prices, when available. For fixed maturity securities that are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More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02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June 30, 2025</w:t>
            </w:r>
          </w:p>
        </w:tc>
        <w:tc>
          <w:tcPr>
            <w:tcW w:w="27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11,809,789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220,730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10,858,448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22,668,237</w:t>
            </w: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2,209,174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2,403,940</w:t>
            </w: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38,970,717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3,824,279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71,639,210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4,397,245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110,609,927</w:t>
            </w:r>
          </w:p>
        </w:tc>
      </w:tr>
      <w:tr>
        <w:trPr>
          <w:trHeight w:val="230"/>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638,290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3,738,439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18,084,388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3,743,849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18,722,678</w:t>
            </w:r>
          </w:p>
        </w:tc>
      </w:tr>
      <w:tr>
        <w:trPr>
          <w:trHeight w:val="263"/>
        </w:trPr>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609,924</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51,613,562</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7,991,389</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102,791,220</w:t>
            </w:r>
          </w:p>
        </w:tc>
        <w:tc>
          <w:tcPr>
            <w:tcW w:w="3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8,601,313</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154,404,782</w:t>
            </w:r>
          </w:p>
        </w:tc>
        <w:tc>
          <w:tcPr>
            <w:tcW w:w="100" w:type="dxa"/>
            <w:vAlign w:val="bottom"/>
            <w:tcBorders>
              <w:bottom w:val="single" w:sz="8" w:color="CCEEFF"/>
            </w:tcBorders>
          </w:tcPr>
          <w:p>
            <w:pPr>
              <w:spacing w:after="0"/>
              <w:rPr>
                <w:sz w:val="22"/>
                <w:szCs w:val="22"/>
                <w:color w:val="auto"/>
              </w:rPr>
            </w:pPr>
          </w:p>
        </w:tc>
      </w:tr>
      <w:tr>
        <w:trPr>
          <w:trHeight w:val="197"/>
        </w:trPr>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7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986,365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478,239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22,110,495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486,976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23,096,860</w:t>
            </w: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2,167,918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275,445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3,008,385</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5,176,303</w:t>
            </w: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1,888,022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93,562,219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5,034,849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77,975,776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6,922,871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171,537,995</w:t>
            </w:r>
          </w:p>
        </w:tc>
      </w:tr>
      <w:tr>
        <w:trPr>
          <w:trHeight w:val="230"/>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2,915,192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4,212,490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19,041,442</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4,244,640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21,956,634</w:t>
            </w:r>
          </w:p>
        </w:tc>
      </w:tr>
      <w:tr>
        <w:trPr>
          <w:trHeight w:val="223"/>
        </w:trPr>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1,943,912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99,631,694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10,001,023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122,136,098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11,944,935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221,767,792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Relevant holdings were comprised of 477 securities with fair values aggregating 94.7% of the aggregate amortized cost as of June 30, 2025, compared to 706 securities with fair values aggregating 94.9% of the aggregate amortized cost as of December 31, 2024. A credit loss release of $20,313 and of $16,289 have been recognized for the three month periods ended June 30, 2025 and 2024, respectively. A credit loss provision of $65,993 and of $79,711 have been recognized for the six month periods ended June 30, 2025 and 2024,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fixed maturity securities classified as available for sale on a quarterly basis to identify any potential credit losses. This evaluation includes a review of current ratings by the National Association of Insurance Commissions (“NAIC”) and other industry rating agencies. Securities with NAIC rating of 1 or 2 are considered investment grade and are only reviewed for credit loss if current market data or recent company news could lead to a credit downgrade. Securities with NAIC ratings of 3 to 5 are considered non-investment grade and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fixed maturity security and it is less likely than not that the Company will be required to sell the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due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calculate a credit loss allowance on accrued interest income, included in accrued investment income on the condensed consolidated balance sheets, as the Company writes off any accrued interest income to net investment income if the accrued but unpaid amount exceeds 90 days.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NAIC securities designations, the Company had 98.1% and 97.7% of its fixed maturity securities rated investment grade as of June 30, 2025 and December 31, 2024, respectively. The following table summarizes the credit quality, by NAIC designation, of the Company’s fixed maturity securities available for sale, excluding redeemable preferred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jc w:val="right"/>
              <w:ind w:right="1460"/>
              <w:spacing w:after="0"/>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Pr>
          <w:p>
            <w:pPr>
              <w:spacing w:after="0"/>
              <w:rPr>
                <w:sz w:val="20"/>
                <w:szCs w:val="20"/>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1"/>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6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6"/>
                <w:szCs w:val="16"/>
                <w:color w:val="auto"/>
              </w:rPr>
            </w:pPr>
          </w:p>
        </w:tc>
      </w:tr>
      <w:tr>
        <w:trPr>
          <w:trHeight w:val="234"/>
        </w:trPr>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NAIC Designation</w:t>
            </w:r>
          </w:p>
        </w:tc>
        <w:tc>
          <w:tcPr>
            <w:tcW w:w="260" w:type="dxa"/>
            <w:vAlign w:val="bottom"/>
          </w:tcPr>
          <w:p>
            <w:pPr>
              <w:spacing w:after="0"/>
              <w:rPr>
                <w:sz w:val="20"/>
                <w:szCs w:val="20"/>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16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201,287,345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199,440,878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188,386,980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183,460,027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183,343,661</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182,932,186</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178,060,265</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174,405,442</w:t>
            </w:r>
          </w:p>
        </w:tc>
      </w:tr>
      <w:tr>
        <w:trPr>
          <w:trHeight w:val="216"/>
        </w:trPr>
        <w:tc>
          <w:tcPr>
            <w:tcW w:w="16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6,718,721</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6,289,774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7,961,422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7,342,220</w:t>
            </w:r>
          </w:p>
        </w:tc>
      </w:tr>
      <w:tr>
        <w:trPr>
          <w:trHeight w:val="216"/>
        </w:trPr>
        <w:tc>
          <w:tcPr>
            <w:tcW w:w="1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530,927</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521,810</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649,592</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600,459</w:t>
            </w:r>
          </w:p>
        </w:tc>
      </w:tr>
      <w:tr>
        <w:trPr>
          <w:trHeight w:val="216"/>
        </w:trPr>
        <w:tc>
          <w:tcPr>
            <w:tcW w:w="16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708,496</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502,272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702,643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487,981</w:t>
            </w:r>
          </w:p>
        </w:tc>
      </w:tr>
      <w:tr>
        <w:trPr>
          <w:trHeight w:val="230"/>
        </w:trPr>
        <w:tc>
          <w:tcPr>
            <w:tcW w:w="1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1,169</w:t>
            </w: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920" w:type="dxa"/>
            <w:vAlign w:val="bottom"/>
            <w:tcBorders>
              <w:top w:val="single" w:sz="8" w:color="CCEEFF"/>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392,590,165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389,686,920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375,762,071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366,296,129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three month periods ended June 30, 2025 and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2025</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495,251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507,300</w:t>
            </w: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(20,444)</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(20,444)</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7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474,937</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486,986</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2024</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398,500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410,549</w:t>
            </w: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(16,289)</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(16,289)</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382,211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394,260</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717" w:gutter="0" w:footer="0" w:header="0"/>
        </w:sectPr>
      </w:pPr>
    </w:p>
    <w:bookmarkStart w:id="18" w:name="page19"/>
    <w:bookmarkEnd w:id="1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six month periods ended June 30, 2025 and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right"/>
              <w:ind w:right="10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408,944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420,993</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(6,007)</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(6,007)</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474,937</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10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314,549</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43,711</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43,711</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382,211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the estimated fair value of fixed maturity securities available for sale as of June 30, 2025, by contractual maturity. Actual or expected maturities may differ from contractual maturities because certain securities afford the issuer the right to call or prepay its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Estimated Fair</w:t>
            </w:r>
          </w:p>
        </w:tc>
        <w:tc>
          <w:tcPr>
            <w:tcW w:w="338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Value</w:t>
            </w:r>
          </w:p>
        </w:tc>
        <w:tc>
          <w:tcPr>
            <w:tcW w:w="3380" w:type="dxa"/>
            <w:vAlign w:val="bottom"/>
          </w:tcPr>
          <w:p>
            <w:pPr>
              <w:spacing w:after="0"/>
              <w:rPr>
                <w:sz w:val="20"/>
                <w:szCs w:val="20"/>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13,289,170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13,145,351</w:t>
            </w:r>
          </w:p>
        </w:tc>
        <w:tc>
          <w:tcPr>
            <w:tcW w:w="33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136,097,256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136,429,699</w:t>
            </w:r>
          </w:p>
        </w:tc>
        <w:tc>
          <w:tcPr>
            <w:tcW w:w="33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131,592,054</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133,912,390</w:t>
            </w:r>
          </w:p>
        </w:tc>
        <w:tc>
          <w:tcPr>
            <w:tcW w:w="33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85,079,615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83,303,565</w:t>
            </w:r>
          </w:p>
        </w:tc>
        <w:tc>
          <w:tcPr>
            <w:tcW w:w="33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26,532,070</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22,895,915</w:t>
            </w:r>
          </w:p>
        </w:tc>
        <w:tc>
          <w:tcPr>
            <w:tcW w:w="3380" w:type="dxa"/>
            <w:vAlign w:val="bottom"/>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754,800</w:t>
            </w:r>
          </w:p>
        </w:tc>
        <w:tc>
          <w:tcPr>
            <w:tcW w:w="3380" w:type="dxa"/>
            <w:vAlign w:val="bottom"/>
          </w:tcPr>
          <w:p>
            <w:pPr>
              <w:spacing w:after="0"/>
              <w:rPr>
                <w:sz w:val="19"/>
                <w:szCs w:val="19"/>
                <w:color w:val="auto"/>
              </w:rPr>
            </w:pPr>
          </w:p>
        </w:tc>
      </w:tr>
      <w:tr>
        <w:trPr>
          <w:trHeight w:val="223"/>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393,340,165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390,441,720</w:t>
            </w:r>
          </w:p>
        </w:tc>
        <w:tc>
          <w:tcPr>
            <w:tcW w:w="33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3"/>
        </w:trPr>
        <w:tc>
          <w:tcPr>
            <w:tcW w:w="4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9" w:name="page20"/>
    <w:bookmarkEnd w:id="19"/>
    <w:p>
      <w:pPr>
        <w:jc w:val="center"/>
        <w:ind w:left="2580" w:right="4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Pr>
          <w:p>
            <w:pPr>
              <w:spacing w:after="0"/>
              <w:rPr>
                <w:sz w:val="20"/>
                <w:szCs w:val="20"/>
                <w:color w:val="auto"/>
              </w:rPr>
            </w:pPr>
          </w:p>
        </w:tc>
        <w:tc>
          <w:tcPr>
            <w:tcW w:w="24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34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607,242</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24,031</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24,334</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(36,646)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(37,499)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Fixed maturity securities available for sale at estimated fair value 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570039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70039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on deposit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As of June 30,</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7,469,005</w:t>
            </w:r>
          </w:p>
        </w:tc>
        <w:tc>
          <w:tcPr>
            <w:tcW w:w="260" w:type="dxa"/>
            <w:vAlign w:val="bottom"/>
          </w:tcPr>
          <w:p>
            <w:pPr>
              <w:spacing w:after="0"/>
              <w:rPr>
                <w:sz w:val="16"/>
                <w:szCs w:val="16"/>
                <w:color w:val="auto"/>
              </w:rPr>
            </w:pPr>
          </w:p>
        </w:tc>
        <w:tc>
          <w:tcPr>
            <w:tcW w:w="340" w:type="dxa"/>
            <w:vAlign w:val="bottom"/>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6,126,589</w:t>
            </w:r>
          </w:p>
        </w:tc>
        <w:tc>
          <w:tcPr>
            <w:tcW w:w="20" w:type="dxa"/>
            <w:vAlign w:val="bottom"/>
          </w:tcPr>
          <w:p>
            <w:pPr>
              <w:spacing w:after="0"/>
              <w:rPr>
                <w:sz w:val="16"/>
                <w:szCs w:val="16"/>
                <w:color w:val="auto"/>
              </w:rPr>
            </w:pPr>
          </w:p>
        </w:tc>
      </w:tr>
      <w:tr>
        <w:trPr>
          <w:trHeight w:val="229"/>
        </w:trPr>
        <w:tc>
          <w:tcPr>
            <w:tcW w:w="16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424,543</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r>
      <w:tr>
        <w:trPr>
          <w:trHeight w:val="234"/>
        </w:trPr>
        <w:tc>
          <w:tcPr>
            <w:tcW w:w="16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1,526,397</w:t>
            </w: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1,444,654</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9,419,945</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7,971,243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As of June 30,</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25,814,271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25,309,270</w:t>
            </w:r>
          </w:p>
        </w:tc>
        <w:tc>
          <w:tcPr>
            <w:tcW w:w="80" w:type="dxa"/>
            <w:vAlign w:val="bottom"/>
            <w:shd w:val="clear" w:color="auto" w:fill="CCEEFF"/>
          </w:tcPr>
          <w:p>
            <w:pPr>
              <w:spacing w:after="0"/>
              <w:rPr>
                <w:sz w:val="18"/>
                <w:szCs w:val="18"/>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4,766,926</w:t>
            </w:r>
          </w:p>
        </w:tc>
        <w:tc>
          <w:tcPr>
            <w:tcW w:w="3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4,417,683</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on deposit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30,581,197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29,726,953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Assets pledged as collateral with the FHLB are presented below. These pledged securities are used as collateral for any FHLB cash advances. As of June 30, 2025, the Company owed $15,000,000 to the FHLB for advances. The Company received $32,000,000 in advances and repaid $17,000,000 of these advances during the second quarter of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As of June 30,</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2260" w:type="dxa"/>
            <w:vAlign w:val="bottom"/>
          </w:tcPr>
          <w:p>
            <w:pPr>
              <w:spacing w:after="0"/>
              <w:rPr>
                <w:sz w:val="18"/>
                <w:szCs w:val="18"/>
                <w:color w:val="auto"/>
              </w:rPr>
            </w:pPr>
          </w:p>
        </w:tc>
      </w:tr>
      <w:tr>
        <w:trPr>
          <w:trHeight w:val="234"/>
        </w:trPr>
        <w:tc>
          <w:tcPr>
            <w:tcW w:w="5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62,848,520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63,800,454</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459"/>
        </w:trPr>
        <w:tc>
          <w:tcPr>
            <w:tcW w:w="5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20" w:name="page21"/>
    <w:bookmarkEnd w:id="2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invests in and manages commercial real estate as a means of both generating investment income and providing workspace for its employees. This asset class is acquired in accordance with the Company’s goals and objectives for risk-adjusted returns. Due diligence is conducted on each asset using internal and third-party resources. The geographic locations and asset sub-classes of investments are determined by senior management under the direction of the Board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its commercial real estate within the greater Salt Lake area and close surrounding markets. The Company utilizes third party property managers where the geographic location does not warrant full-time staff or through strategic lease-up periods. The Company generally acquires commercial real estate in connection with company acquisitions or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two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net book value of commercial real estate serving as collateral for bank loans was $117,337,770 and $119,889,846 as of June 30, 2025 and December 31, 2024, respectively. The associated bank loan carrying values totaled $95,074,196 and $96,007,488 as of June 30, 2025 and December 31,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 periods ended June 30, 2025 and 2024,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June 30, 2025 and 2024, the Company recorded depreciation expense on commercial real estate held for investment of $1,432,921 and $1,418,301, respectively, and of $2,854,937 and $2,946,094 during the six month periods ended June 30, 2025 and 2024, respectively. Commercial real estate held for investment is stated at cost and is depreciated over the estimated useful life, primarily using the straight-line method. Depreciation is included in net investment income on the condensed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Net Book Value</w:t>
            </w:r>
          </w:p>
        </w:tc>
        <w:tc>
          <w:tcPr>
            <w:tcW w:w="26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Total Square Footage</w:t>
            </w:r>
          </w:p>
        </w:tc>
        <w:tc>
          <w:tcPr>
            <w:tcW w:w="2260" w:type="dxa"/>
            <w:vAlign w:val="bottom"/>
          </w:tcPr>
          <w:p>
            <w:pPr>
              <w:spacing w:after="0"/>
              <w:rPr>
                <w:sz w:val="20"/>
                <w:szCs w:val="20"/>
                <w:color w:val="auto"/>
              </w:rPr>
            </w:pPr>
          </w:p>
        </w:tc>
      </w:tr>
      <w:tr>
        <w:trPr>
          <w:trHeight w:val="191"/>
        </w:trPr>
        <w:tc>
          <w:tcPr>
            <w:tcW w:w="2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60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7"/>
              </w:rPr>
              <w:t>December 31,</w:t>
            </w:r>
          </w:p>
        </w:tc>
        <w:tc>
          <w:tcPr>
            <w:tcW w:w="26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56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4"/>
        </w:trPr>
        <w:tc>
          <w:tcPr>
            <w:tcW w:w="28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124,049,860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126,056,342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18,255</w:t>
            </w: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18,586</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1,622</w:t>
            </w:r>
          </w:p>
        </w:tc>
        <w:tc>
          <w:tcPr>
            <w:tcW w:w="226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23"/>
        </w:trPr>
        <w:tc>
          <w:tcPr>
            <w:tcW w:w="2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124,068,115</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126,074,928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548,563</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548,563</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34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Includes Center53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4"/>
        </w:trPr>
        <w:tc>
          <w:tcPr>
            <w:tcW w:w="2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191"/>
        </w:trPr>
        <w:tc>
          <w:tcPr>
            <w:tcW w:w="3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6"/>
              </w:rPr>
              <w:t>June 30,</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December</w:t>
            </w:r>
          </w:p>
        </w:tc>
        <w:tc>
          <w:tcPr>
            <w:tcW w:w="60" w:type="dxa"/>
            <w:vAlign w:val="bottom"/>
          </w:tcPr>
          <w:p>
            <w:pPr>
              <w:spacing w:after="0"/>
              <w:rPr>
                <w:sz w:val="16"/>
                <w:szCs w:val="16"/>
                <w:color w:val="auto"/>
              </w:rPr>
            </w:pPr>
          </w:p>
        </w:tc>
      </w:tr>
      <w:tr>
        <w:trPr>
          <w:trHeight w:val="234"/>
        </w:trPr>
        <w:tc>
          <w:tcPr>
            <w:tcW w:w="3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31, 2024</w:t>
            </w:r>
          </w:p>
        </w:tc>
        <w:tc>
          <w:tcPr>
            <w:tcW w:w="60" w:type="dxa"/>
            <w:vAlign w:val="bottom"/>
            <w:tcBorders>
              <w:bottom w:val="single" w:sz="8" w:color="CCEEFF"/>
            </w:tcBorders>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56616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63195"/>
                    </a:xfrm>
                    <a:prstGeom prst="rect">
                      <a:avLst/>
                    </a:prstGeom>
                    <a:noFill/>
                  </pic:spPr>
                </pic:pic>
              </a:graphicData>
            </a:graphic>
          </wp:anchor>
        </w:drawing>
      </w:r>
    </w:p>
    <w:p>
      <w:pPr>
        <w:spacing w:after="0" w:line="218" w:lineRule="exact"/>
        <w:rPr>
          <w:sz w:val="20"/>
          <w:szCs w:val="20"/>
          <w:color w:val="auto"/>
        </w:rPr>
      </w:pPr>
    </w:p>
    <w:p>
      <w:pPr>
        <w:ind w:left="3840" w:hanging="403"/>
        <w:spacing w:after="0"/>
        <w:tabs>
          <w:tab w:leader="none" w:pos="3840" w:val="left"/>
        </w:tabs>
        <w:numPr>
          <w:ilvl w:val="1"/>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151,553  $    151,553</w:t>
      </w:r>
    </w:p>
    <w:p>
      <w:pPr>
        <w:spacing w:after="0" w:line="292" w:lineRule="exact"/>
        <w:rPr>
          <w:rFonts w:ascii="Times New Roman" w:cs="Times New Roman" w:eastAsia="Times New Roman" w:hAnsi="Times New Roman"/>
          <w:sz w:val="18"/>
          <w:szCs w:val="18"/>
          <w:u w:val="single" w:color="auto"/>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approximately 93 acres of undeveloped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-281940</wp:posOffset>
            </wp:positionV>
            <wp:extent cx="13544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Owned and Occupied by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June 30, 2025,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Approximate Square</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Square Footage Occupied</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Location</w:t>
            </w:r>
          </w:p>
        </w:tc>
        <w:tc>
          <w:tcPr>
            <w:tcW w:w="2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Segment</w:t>
            </w: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Footage</w:t>
            </w:r>
          </w:p>
        </w:tc>
        <w:tc>
          <w:tcPr>
            <w:tcW w:w="2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by the Company</w:t>
            </w:r>
          </w:p>
        </w:tc>
      </w:tr>
      <w:tr>
        <w:trPr>
          <w:trHeight w:val="191"/>
        </w:trPr>
        <w:tc>
          <w:tcPr>
            <w:tcW w:w="4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w:t>
            </w:r>
          </w:p>
        </w:tc>
        <w:tc>
          <w:tcPr>
            <w:tcW w:w="2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50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Cemetery/Mortuary</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 Ascension Way, Floors 4, 5 and 6, Salt Lake City, UT -</w:t>
            </w:r>
          </w:p>
        </w:tc>
        <w:tc>
          <w:tcPr>
            <w:tcW w:w="2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 and Mortgage</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Center53 Building 2 (1)</w:t>
            </w:r>
          </w:p>
        </w:tc>
        <w:tc>
          <w:tcPr>
            <w:tcW w:w="2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 and Sales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216,865</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1818 Marshall Street, Shreveport, LA (2)</w:t>
            </w:r>
          </w:p>
        </w:tc>
        <w:tc>
          <w:tcPr>
            <w:tcW w:w="2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12,274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 Sheppard Street, Minden, LA (2) (3)</w:t>
            </w:r>
          </w:p>
        </w:tc>
        <w:tc>
          <w:tcPr>
            <w:tcW w:w="2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Life Insurance Sales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condensed consolidated balance sheets</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condensed consolidated balance sheets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occasionally acquires residential homes through the mortgage loan foreclosure process. The Company has the option to sell these properties or to continue to hold them for expected cash flow and price appreciation. The Company also looks for opportunities to acquire land that can be developed into single family lots. Once developed, finished lots are sold to builder partners and others.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 periods ended June 30, 2025 and 2024 the Company did not record any impairment losses on residential real estate held for investment. Impairment losses, if any, are included in gains (losses) on investment and other assets on the condensed consolidated statements of earnings.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June 30, 2025 and 2024, the Company recorded depreciation expense on residential real estate held for investment of $2,732 and $2,653, respectively, and $5,408 and $5,305 during the six month periods ended June 30, 2025 and 2024,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191"/>
        </w:trPr>
        <w:tc>
          <w:tcPr>
            <w:tcW w:w="420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2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88,976,901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71,618,410</w:t>
            </w:r>
          </w:p>
        </w:tc>
        <w:tc>
          <w:tcPr>
            <w:tcW w:w="40" w:type="dxa"/>
            <w:vAlign w:val="bottom"/>
            <w:tcBorders>
              <w:top w:val="single" w:sz="8" w:color="CCEEFF"/>
            </w:tcBorders>
            <w:shd w:val="clear" w:color="auto" w:fill="CCEEFF"/>
          </w:tcPr>
          <w:p>
            <w:pPr>
              <w:spacing w:after="0"/>
              <w:rPr>
                <w:sz w:val="18"/>
                <w:szCs w:val="18"/>
                <w:color w:val="auto"/>
              </w:rPr>
            </w:pPr>
          </w:p>
        </w:tc>
      </w:tr>
    </w:tbl>
    <w:p>
      <w:pPr>
        <w:ind w:left="4540" w:hanging="347"/>
        <w:spacing w:after="0"/>
        <w:tabs>
          <w:tab w:leader="none" w:pos="4540" w:val="left"/>
        </w:tabs>
        <w:numPr>
          <w:ilvl w:val="1"/>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88,976,901  $   71,618,410</w:t>
      </w:r>
    </w:p>
    <w:p>
      <w:pPr>
        <w:spacing w:after="0" w:line="287" w:lineRule="exact"/>
        <w:rPr>
          <w:rFonts w:ascii="Times New Roman" w:cs="Times New Roman" w:eastAsia="Times New Roman" w:hAnsi="Times New Roman"/>
          <w:sz w:val="18"/>
          <w:szCs w:val="18"/>
          <w:u w:val="single" w:color="auto"/>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multiple residential subdivision development projects, refer to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-281940</wp:posOffset>
            </wp:positionV>
            <wp:extent cx="1585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invests in residential subdivision developments. The following table presents additional information regarding the Company’s residential subdivision development projects in Utah: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June 30,</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2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1,163</w:t>
            </w: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88,807,255</w:t>
            </w:r>
          </w:p>
        </w:tc>
        <w:tc>
          <w:tcPr>
            <w:tcW w:w="4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71,443,356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56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191"/>
        </w:trPr>
        <w:tc>
          <w:tcPr>
            <w:tcW w:w="2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16"/>
                <w:szCs w:val="16"/>
                <w:color w:val="auto"/>
              </w:rPr>
            </w:pPr>
          </w:p>
        </w:tc>
      </w:tr>
      <w:tr>
        <w:trPr>
          <w:trHeight w:val="234"/>
        </w:trPr>
        <w:tc>
          <w:tcPr>
            <w:tcW w:w="23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CCEEFF"/>
            </w:tcBorders>
          </w:tcPr>
          <w:p>
            <w:pPr>
              <w:spacing w:after="0"/>
              <w:rPr>
                <w:sz w:val="20"/>
                <w:szCs w:val="20"/>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2,561,487 (1)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849,900</w:t>
            </w:r>
          </w:p>
        </w:tc>
        <w:tc>
          <w:tcPr>
            <w:tcW w:w="4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276,580</w:t>
            </w: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8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380,000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4620" w:hanging="441"/>
        <w:spacing w:after="0"/>
        <w:tabs>
          <w:tab w:leader="none" w:pos="4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2,941,487  $1,126,480</w:t>
      </w:r>
    </w:p>
    <w:p>
      <w:pPr>
        <w:spacing w:after="0" w:line="30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residential subdivision development project for $2,106,487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-307975</wp:posOffset>
            </wp:positionV>
            <wp:extent cx="159448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448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sale was $835,000 and $1,126,480 as of June 30, 2025 and December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and are generally classified in three distinct group: Commercial, Residential and Residential Construction. These mortgage loans bear interest at rates ranging from 2.0% to 10.5%, maturity dates range from nine months to 30 years and have amortization periods of 0 to 30 years.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June 30, 2025, the Company had 57%, 8%, 6%, 5%, 4% and 4%, of its mortgage loans from borrowers located in the states of Utah, Florida, Arizona, California, Texas, and Hawaii, respectively. As of December 31, 2024, the Company had 56%, 8%, 9% and 6% of its mortgage loans from borrowers located in the states of Utah, Florida, Arizona, and Texas,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$343,000 and $244,000 as of June 30, 2025 and December 31, 2024,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the life events and the general economic condition of the region. Where loan to value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loan to value, payment status, age, and current property values. Analyzing the information from the various sources allows the Company to arrive at the allowance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 loans)</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advances funds in accordance with the loan agreements once the work has been completed and an independent inspection is made. The maximum loan commitment ranges between 50% and 85% of appraised value. The Company receives fees and interest for these loans and the interest rate is generally fixed at 5.25% to 8.50% per annum. Maturities range between six and eighteen months. The Company has commitments to fund existing construction and land development loans pursuant to the various loan agreements. As of June 30, 2025, the Company’s commitments were approximately $220,679,000 for these loans, of which $168,666,015 had been drawn.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for subsequent draws. The per loan basis point is reviewed at least annually or as loan losses or market trends require.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2025</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1,021,730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647,107</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157,537</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482,785</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632,152</w:t>
            </w: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6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1,179,267</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1,129,892</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331,585</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2,640,744</w:t>
            </w:r>
          </w:p>
        </w:tc>
        <w:tc>
          <w:tcPr>
            <w:tcW w:w="100" w:type="dxa"/>
            <w:vAlign w:val="bottom"/>
            <w:tcBorders>
              <w:bottom w:val="single" w:sz="8" w:color="CCEEFF"/>
            </w:tcBorders>
          </w:tcPr>
          <w:p>
            <w:pPr>
              <w:spacing w:after="0"/>
              <w:rPr>
                <w:sz w:val="22"/>
                <w:szCs w:val="22"/>
                <w:color w:val="auto"/>
              </w:rPr>
            </w:pPr>
          </w:p>
        </w:tc>
      </w:tr>
      <w:tr>
        <w:trPr>
          <w:trHeight w:val="197"/>
        </w:trPr>
        <w:tc>
          <w:tcPr>
            <w:tcW w:w="3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March 31, 2024</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859,622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1,862,495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199,497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2,921,614</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(10,299)</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(83,109)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(67,762)</w:t>
            </w: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849,323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right"/>
              <w:ind w:right="1180"/>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446,773</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279,342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755,354</w:t>
            </w: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6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1,179,267</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1,129,892</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331,585</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2,640,744</w:t>
            </w:r>
          </w:p>
        </w:tc>
        <w:tc>
          <w:tcPr>
            <w:tcW w:w="100" w:type="dxa"/>
            <w:vAlign w:val="bottom"/>
            <w:tcBorders>
              <w:bottom w:val="single" w:sz="8" w:color="CCEEFF"/>
            </w:tcBorders>
          </w:tcPr>
          <w:p>
            <w:pPr>
              <w:spacing w:after="0"/>
              <w:rPr>
                <w:sz w:val="22"/>
                <w:szCs w:val="22"/>
                <w:color w:val="auto"/>
              </w:rPr>
            </w:pPr>
          </w:p>
        </w:tc>
      </w:tr>
      <w:tr>
        <w:trPr>
          <w:trHeight w:val="196"/>
        </w:trPr>
        <w:tc>
          <w:tcPr>
            <w:tcW w:w="3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1,219,653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2,390,894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208,106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3,818,653</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(370,330)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(611,508)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(964,801)</w:t>
            </w: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849,323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080" w:hanging="5532"/>
        <w:spacing w:after="0" w:line="409" w:lineRule="auto"/>
        <w:tabs>
          <w:tab w:leader="none" w:pos="33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102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June 30, 2025</w:t>
            </w:r>
          </w:p>
        </w:tc>
        <w:tc>
          <w:tcPr>
            <w:tcW w:w="26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480,796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4,222,720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4,703,516</w:t>
            </w: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797,124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797,124</w:t>
            </w: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3,196,505</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3,364,794</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6,561,299</w:t>
            </w:r>
          </w:p>
        </w:tc>
      </w:tr>
      <w:tr>
        <w:trPr>
          <w:trHeight w:val="229"/>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191,508</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2,189,399</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2,380,907</w:t>
            </w:r>
          </w:p>
        </w:tc>
      </w:tr>
      <w:tr>
        <w:trPr>
          <w:trHeight w:val="210"/>
        </w:trPr>
        <w:tc>
          <w:tcPr>
            <w:tcW w:w="366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3,868,809</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10,574,037</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14,442,846</w:t>
            </w:r>
          </w:p>
        </w:tc>
        <w:tc>
          <w:tcPr>
            <w:tcW w:w="100" w:type="dxa"/>
            <w:vAlign w:val="bottom"/>
            <w:tcBorders>
              <w:bottom w:val="single" w:sz="8" w:color="CCEEFF"/>
            </w:tcBorders>
          </w:tcPr>
          <w:p>
            <w:pPr>
              <w:spacing w:after="0"/>
              <w:rPr>
                <w:sz w:val="18"/>
                <w:szCs w:val="18"/>
                <w:color w:val="auto"/>
              </w:rPr>
            </w:pPr>
          </w:p>
        </w:tc>
      </w:tr>
      <w:tr>
        <w:trPr>
          <w:trHeight w:val="209"/>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67,311,440</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82,082,892</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165,707,402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315,101,734</w:t>
            </w:r>
          </w:p>
        </w:tc>
        <w:tc>
          <w:tcPr>
            <w:tcW w:w="100" w:type="dxa"/>
            <w:vAlign w:val="bottom"/>
            <w:shd w:val="clear" w:color="auto" w:fill="CCEEFF"/>
          </w:tcPr>
          <w:p>
            <w:pPr>
              <w:spacing w:after="0"/>
              <w:rPr>
                <w:sz w:val="18"/>
                <w:szCs w:val="18"/>
                <w:color w:val="auto"/>
              </w:rPr>
            </w:pPr>
          </w:p>
        </w:tc>
      </w:tr>
      <w:tr>
        <w:trPr>
          <w:trHeight w:val="209"/>
        </w:trPr>
        <w:tc>
          <w:tcPr>
            <w:tcW w:w="366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71,180,249</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92,656,929</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165,707,402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329,544,580</w:t>
            </w:r>
          </w:p>
        </w:tc>
        <w:tc>
          <w:tcPr>
            <w:tcW w:w="100" w:type="dxa"/>
            <w:vAlign w:val="bottom"/>
            <w:tcBorders>
              <w:bottom w:val="single" w:sz="8" w:color="CCEEFF"/>
            </w:tcBorders>
          </w:tcPr>
          <w:p>
            <w:pPr>
              <w:spacing w:after="0"/>
              <w:rPr>
                <w:sz w:val="18"/>
                <w:szCs w:val="18"/>
                <w:color w:val="auto"/>
              </w:rPr>
            </w:pPr>
          </w:p>
        </w:tc>
      </w:tr>
      <w:tr>
        <w:trPr>
          <w:trHeight w:val="210"/>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(1,179,267)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(1,129,892)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(2,640,744)</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(258,313)</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(1,275,782)</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(696,139)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(2,230,234)</w:t>
            </w:r>
          </w:p>
        </w:tc>
      </w:tr>
      <w:tr>
        <w:trPr>
          <w:trHeight w:val="229"/>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(149,195)</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(120,411)</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(269,606)</w:t>
            </w:r>
          </w:p>
        </w:tc>
      </w:tr>
      <w:tr>
        <w:trPr>
          <w:trHeight w:val="263"/>
        </w:trPr>
        <w:tc>
          <w:tcPr>
            <w:tcW w:w="366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69,593,474</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90,130,844</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164,679,678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324,403,996</w:t>
            </w:r>
          </w:p>
        </w:tc>
        <w:tc>
          <w:tcPr>
            <w:tcW w:w="100" w:type="dxa"/>
            <w:vAlign w:val="bottom"/>
            <w:tcBorders>
              <w:bottom w:val="single" w:sz="8" w:color="CCEEFF"/>
            </w:tcBorders>
          </w:tcPr>
          <w:p>
            <w:pPr>
              <w:spacing w:after="0"/>
              <w:rPr>
                <w:sz w:val="22"/>
                <w:szCs w:val="22"/>
                <w:color w:val="auto"/>
              </w:rPr>
            </w:pPr>
          </w:p>
        </w:tc>
      </w:tr>
      <w:tr>
        <w:trPr>
          <w:trHeight w:val="197"/>
        </w:trPr>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6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5,818,334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7,918,334</w:t>
            </w: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845,980</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845,980</w:t>
            </w: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4,205,000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3,061,450</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7,266,450</w:t>
            </w:r>
          </w:p>
        </w:tc>
      </w:tr>
      <w:tr>
        <w:trPr>
          <w:trHeight w:val="230"/>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191,508</w:t>
            </w:r>
          </w:p>
        </w:tc>
        <w:tc>
          <w:tcPr>
            <w:tcW w:w="2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3,942,392</w:t>
            </w: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4,133,900</w:t>
            </w:r>
          </w:p>
        </w:tc>
      </w:tr>
      <w:tr>
        <w:trPr>
          <w:trHeight w:val="210"/>
        </w:trPr>
        <w:tc>
          <w:tcPr>
            <w:tcW w:w="366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6,496,508</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13,668,156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66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56,256,577</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78,393,631</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285,822,941</w:t>
            </w:r>
          </w:p>
        </w:tc>
        <w:tc>
          <w:tcPr>
            <w:tcW w:w="100" w:type="dxa"/>
            <w:vAlign w:val="bottom"/>
            <w:tcBorders>
              <w:bottom w:val="single" w:sz="8" w:color="CCEEFF"/>
            </w:tcBorders>
          </w:tcPr>
          <w:p>
            <w:pPr>
              <w:spacing w:after="0"/>
              <w:rPr>
                <w:sz w:val="18"/>
                <w:szCs w:val="18"/>
                <w:color w:val="auto"/>
              </w:rPr>
            </w:pPr>
          </w:p>
        </w:tc>
      </w:tr>
      <w:tr>
        <w:trPr>
          <w:trHeight w:val="210"/>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62,753,085</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92,061,787</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305,987,605</w:t>
            </w:r>
          </w:p>
        </w:tc>
        <w:tc>
          <w:tcPr>
            <w:tcW w:w="100" w:type="dxa"/>
            <w:vAlign w:val="bottom"/>
            <w:shd w:val="clear" w:color="auto" w:fill="CCEEFF"/>
          </w:tcPr>
          <w:p>
            <w:pPr>
              <w:spacing w:after="0"/>
              <w:rPr>
                <w:sz w:val="18"/>
                <w:szCs w:val="18"/>
                <w:color w:val="auto"/>
              </w:rPr>
            </w:pPr>
          </w:p>
        </w:tc>
      </w:tr>
      <w:tr>
        <w:trPr>
          <w:trHeight w:val="210"/>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00" w:type="dxa"/>
            <w:vAlign w:val="bottom"/>
          </w:tcPr>
          <w:p>
            <w:pPr>
              <w:spacing w:after="0"/>
              <w:rPr>
                <w:sz w:val="18"/>
                <w:szCs w:val="18"/>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(115,555)</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(1,307,539)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(659,147)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(2,082,241)</w:t>
            </w:r>
          </w:p>
        </w:tc>
      </w:tr>
      <w:tr>
        <w:trPr>
          <w:trHeight w:val="230"/>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(149,268)</w:t>
            </w: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(123,348)</w:t>
            </w: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(272,616)</w:t>
            </w:r>
          </w:p>
        </w:tc>
      </w:tr>
      <w:tr>
        <w:trPr>
          <w:trHeight w:val="223"/>
        </w:trPr>
        <w:tc>
          <w:tcPr>
            <w:tcW w:w="366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61,755,768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89,780,350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3840" w:hanging="5532"/>
        <w:spacing w:after="0" w:line="532" w:lineRule="auto"/>
        <w:tabs>
          <w:tab w:leader="none" w:pos="3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Quality Indicators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Credit Quality</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34"/>
        </w:trPr>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Indicator</w:t>
            </w: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6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1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Less than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17,393,534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3,893,127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15,600,000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462,761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837,745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8,576,170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46,763,337</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65.70%</w:t>
            </w:r>
          </w:p>
        </w:tc>
      </w:tr>
      <w:tr>
        <w:trPr>
          <w:trHeight w:val="216"/>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10,923,292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10,432,942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1,840,776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823,397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24,020,407</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33.75%</w:t>
            </w:r>
          </w:p>
        </w:tc>
      </w:tr>
      <w:tr>
        <w:trPr>
          <w:trHeight w:val="198"/>
        </w:trPr>
        <w:tc>
          <w:tcPr>
            <w:tcW w:w="1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Greater than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396,505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396,505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0.56%</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83"/>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28,316,826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14,326,069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17,440,776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1,286,158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1,234,250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8,576,170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71,180,249</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6"/>
        </w:trPr>
        <w:tc>
          <w:tcPr>
            <w:tcW w:w="12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13,893,127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13,640,000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5,348,121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33,681,248</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47.32%</w:t>
            </w:r>
          </w:p>
        </w:tc>
      </w:tr>
      <w:tr>
        <w:trPr>
          <w:trHeight w:val="216"/>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1.00x - 1.20x</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27,516,826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432,942</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3,800,776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1,286,158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1,234,250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3,228,049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37,499,001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52.68%</w:t>
            </w:r>
          </w:p>
        </w:tc>
      </w:tr>
      <w:tr>
        <w:trPr>
          <w:trHeight w:val="230"/>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28,316,826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14,326,069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17,440,776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1,286,158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1,234,250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8,576,170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71,180,249</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Credit Quality</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34"/>
        </w:trPr>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Indicator</w:t>
            </w: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190"/>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6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1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Less than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7,653,600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2,352,150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864,128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8,867,779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44,337,657</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10,432,942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1,840,776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823,397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4,913,313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18,010,428</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28.70%</w:t>
            </w:r>
          </w:p>
        </w:tc>
      </w:tr>
      <w:tr>
        <w:trPr>
          <w:trHeight w:val="198"/>
        </w:trPr>
        <w:tc>
          <w:tcPr>
            <w:tcW w:w="1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Greater than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405,000</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83"/>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18,086,542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26,440,776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3,175,547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1,269,128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4,913,313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8,867,779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62,753,085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5"/>
        </w:trPr>
        <w:tc>
          <w:tcPr>
            <w:tcW w:w="12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16,300,000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20,990,000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4,913,313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5,414,274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48,617,587</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77.47%</w:t>
            </w:r>
          </w:p>
        </w:tc>
      </w:tr>
      <w:tr>
        <w:trPr>
          <w:trHeight w:val="216"/>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1.00x - 1.20x</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432,942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5,450,776</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2,175,547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1,269,128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3,453,505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12,781,898</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1,353,600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1,353,600</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18,086,542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26,440,776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3,175,547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1,269,128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4,913,313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8,867,779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62,753,085</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8" w:name="page29"/>
    <w:bookmarkEnd w:id="28"/>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8"/>
              </w:rPr>
              <w:t>Credit Quality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34"/>
        </w:trPr>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Indicator</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169"/>
        </w:trPr>
        <w:tc>
          <w:tcPr>
            <w:tcW w:w="108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w:t>
            </w: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16"/>
        </w:trPr>
        <w:tc>
          <w:tcPr>
            <w:tcW w:w="7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Indicators: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Performing</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7,487,073</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11,960,453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11,323,978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40,028,411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2,906,955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13,395,866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87,102,736</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94.01%</w:t>
            </w:r>
          </w:p>
        </w:tc>
      </w:tr>
      <w:tr>
        <w:trPr>
          <w:trHeight w:val="198"/>
        </w:trPr>
        <w:tc>
          <w:tcPr>
            <w:tcW w:w="10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performing (1)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547,079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553,091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1,932,504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1,050,561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1,470,958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5,554,193</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8,034,152</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12,513,544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13,256,482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41,078,972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2,906,955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14,866,824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92,656,929</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000" w:type="dxa"/>
            <w:vAlign w:val="bottom"/>
            <w:gridSpan w:val="3"/>
          </w:tcPr>
          <w:p>
            <w:pPr>
              <w:spacing w:after="0"/>
              <w:rPr>
                <w:sz w:val="17"/>
                <w:szCs w:val="17"/>
                <w:color w:val="auto"/>
              </w:rPr>
            </w:pPr>
          </w:p>
        </w:tc>
        <w:tc>
          <w:tcPr>
            <w:tcW w:w="1300" w:type="dxa"/>
            <w:vAlign w:val="bottom"/>
            <w:gridSpan w:val="5"/>
          </w:tcPr>
          <w:p>
            <w:pPr>
              <w:spacing w:after="0"/>
              <w:rPr>
                <w:sz w:val="17"/>
                <w:szCs w:val="17"/>
                <w:color w:val="auto"/>
              </w:rPr>
            </w:pPr>
          </w:p>
        </w:tc>
        <w:tc>
          <w:tcPr>
            <w:tcW w:w="320" w:type="dxa"/>
            <w:vAlign w:val="bottom"/>
            <w:gridSpan w:val="3"/>
          </w:tcPr>
          <w:p>
            <w:pPr>
              <w:spacing w:after="0"/>
              <w:rPr>
                <w:sz w:val="17"/>
                <w:szCs w:val="17"/>
                <w:color w:val="auto"/>
              </w:rPr>
            </w:pPr>
          </w:p>
        </w:tc>
        <w:tc>
          <w:tcPr>
            <w:tcW w:w="1000" w:type="dxa"/>
            <w:vAlign w:val="bottom"/>
            <w:gridSpan w:val="2"/>
          </w:tcPr>
          <w:p>
            <w:pPr>
              <w:spacing w:after="0"/>
              <w:rPr>
                <w:sz w:val="17"/>
                <w:szCs w:val="17"/>
                <w:color w:val="auto"/>
              </w:rPr>
            </w:pPr>
          </w:p>
        </w:tc>
        <w:tc>
          <w:tcPr>
            <w:tcW w:w="14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8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(1) Includes residential mortgage loans</w:t>
            </w:r>
          </w:p>
        </w:tc>
        <w:tc>
          <w:tcPr>
            <w:tcW w:w="35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in the process of foreclosure of $2,189,399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1"/>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040" w:type="dxa"/>
            <w:vAlign w:val="bottom"/>
            <w:tcBorders>
              <w:top w:val="single" w:sz="8" w:color="auto"/>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Less than</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4"/>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4,375,611</w:t>
            </w:r>
          </w:p>
        </w:tc>
        <w:tc>
          <w:tcPr>
            <w:tcW w:w="3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5,643,851</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4,748,950</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5,470,866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1,342,891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6,918,135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28,500,304</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30.76%</w:t>
            </w:r>
          </w:p>
        </w:tc>
      </w:tr>
      <w:tr>
        <w:trPr>
          <w:trHeight w:val="216"/>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3,219,478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6,057,761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7,634,155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34,527,759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1,564,064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6,810,313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59,813,530</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64.55%</w:t>
            </w:r>
          </w:p>
        </w:tc>
      </w:tr>
      <w:tr>
        <w:trPr>
          <w:trHeight w:val="198"/>
        </w:trPr>
        <w:tc>
          <w:tcPr>
            <w:tcW w:w="10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Greater than</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439,063</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811,932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873,377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1,080,347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1,138,376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4,343,095</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8,034,152</w:t>
            </w:r>
          </w:p>
        </w:tc>
        <w:tc>
          <w:tcPr>
            <w:tcW w:w="3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12,513,544</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13,256,482</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41,078,972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2,906,955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14,866,824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92,656,929</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8"/>
              </w:rPr>
              <w:t>Credit Quality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34"/>
        </w:trPr>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Indicator</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169"/>
        </w:trPr>
        <w:tc>
          <w:tcPr>
            <w:tcW w:w="108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w:t>
            </w: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17"/>
        </w:trPr>
        <w:tc>
          <w:tcPr>
            <w:tcW w:w="7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Indicators: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Performing</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14,861,098</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10,030,848</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42,634,670</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3,076,901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5,513,462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8,940,966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85,057,945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92.39%</w:t>
            </w:r>
          </w:p>
        </w:tc>
      </w:tr>
      <w:tr>
        <w:trPr>
          <w:trHeight w:val="198"/>
        </w:trPr>
        <w:tc>
          <w:tcPr>
            <w:tcW w:w="10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performing (1)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3,442,992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1,451,039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291,359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311,116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1,507,336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7,003,842</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14,861,098</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13,473,840</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44,085,709</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3,368,260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5,824,578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10,448,302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92,061,787</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spacing w:after="0"/>
              <w:rPr>
                <w:sz w:val="17"/>
                <w:szCs w:val="17"/>
                <w:color w:val="auto"/>
              </w:rPr>
            </w:pPr>
          </w:p>
        </w:tc>
        <w:tc>
          <w:tcPr>
            <w:tcW w:w="1000" w:type="dxa"/>
            <w:vAlign w:val="bottom"/>
            <w:tcBorders>
              <w:bottom w:val="single" w:sz="8" w:color="auto"/>
            </w:tcBorders>
            <w:gridSpan w:val="3"/>
          </w:tcPr>
          <w:p>
            <w:pPr>
              <w:spacing w:after="0"/>
              <w:rPr>
                <w:sz w:val="17"/>
                <w:szCs w:val="17"/>
                <w:color w:val="auto"/>
              </w:rPr>
            </w:pPr>
          </w:p>
        </w:tc>
        <w:tc>
          <w:tcPr>
            <w:tcW w:w="580" w:type="dxa"/>
            <w:vAlign w:val="bottom"/>
            <w:tcBorders>
              <w:bottom w:val="single" w:sz="8" w:color="auto"/>
            </w:tcBorders>
            <w:gridSpan w:val="5"/>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1000" w:type="dxa"/>
            <w:vAlign w:val="bottom"/>
            <w:gridSpan w:val="3"/>
          </w:tcPr>
          <w:p>
            <w:pPr>
              <w:spacing w:after="0"/>
              <w:rPr>
                <w:sz w:val="17"/>
                <w:szCs w:val="17"/>
                <w:color w:val="auto"/>
              </w:rPr>
            </w:pPr>
          </w:p>
        </w:tc>
        <w:tc>
          <w:tcPr>
            <w:tcW w:w="320" w:type="dxa"/>
            <w:vAlign w:val="bottom"/>
            <w:gridSpan w:val="3"/>
          </w:tcPr>
          <w:p>
            <w:pPr>
              <w:spacing w:after="0"/>
              <w:rPr>
                <w:sz w:val="17"/>
                <w:szCs w:val="17"/>
                <w:color w:val="auto"/>
              </w:rPr>
            </w:pPr>
          </w:p>
        </w:tc>
        <w:tc>
          <w:tcPr>
            <w:tcW w:w="11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63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$3,942,392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040" w:type="dxa"/>
            <w:vAlign w:val="bottom"/>
            <w:tcBorders>
              <w:top w:val="single" w:sz="8" w:color="auto"/>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Less than</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4"/>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6,241,730</w:t>
            </w:r>
          </w:p>
        </w:tc>
        <w:tc>
          <w:tcPr>
            <w:tcW w:w="2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4,931,376</w:t>
            </w:r>
          </w:p>
        </w:tc>
        <w:tc>
          <w:tcPr>
            <w:tcW w:w="1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5,488,954</w:t>
            </w:r>
          </w:p>
        </w:tc>
        <w:tc>
          <w:tcPr>
            <w:tcW w:w="1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1,790,036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2,440,002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5,273,672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26,165,770</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7,802,984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7,662,200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37,509,634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1,578,224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2,701,008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5,107,289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62,361,339</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67.74%</w:t>
            </w:r>
          </w:p>
        </w:tc>
      </w:tr>
      <w:tr>
        <w:trPr>
          <w:trHeight w:val="198"/>
        </w:trPr>
        <w:tc>
          <w:tcPr>
            <w:tcW w:w="10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Greater than</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816,384</w:t>
            </w: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880,264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1,087,121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683,568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67,341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3,534,678</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14,861,098</w:t>
            </w:r>
          </w:p>
        </w:tc>
        <w:tc>
          <w:tcPr>
            <w:tcW w:w="2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13,473,840</w:t>
            </w:r>
          </w:p>
        </w:tc>
        <w:tc>
          <w:tcPr>
            <w:tcW w:w="1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44,085,709</w:t>
            </w:r>
          </w:p>
        </w:tc>
        <w:tc>
          <w:tcPr>
            <w:tcW w:w="1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3,368,260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5,824,578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10,448,302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92,061,787</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13"/>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9" w:name="page30"/>
    <w:bookmarkEnd w:id="29"/>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 June 30,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Total</w:t>
            </w:r>
          </w:p>
        </w:tc>
      </w:tr>
      <w:tr>
        <w:trPr>
          <w:trHeight w:val="189"/>
        </w:trPr>
        <w:tc>
          <w:tcPr>
            <w:tcW w:w="18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71,979,788</w:t>
            </w:r>
          </w:p>
        </w:tc>
        <w:tc>
          <w:tcPr>
            <w:tcW w:w="34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78,444,285</w:t>
            </w:r>
          </w:p>
        </w:tc>
        <w:tc>
          <w:tcPr>
            <w:tcW w:w="3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10,507,327</w:t>
            </w:r>
          </w:p>
        </w:tc>
        <w:tc>
          <w:tcPr>
            <w:tcW w:w="3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4,776,002</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165,707,402</w:t>
            </w:r>
          </w:p>
        </w:tc>
        <w:tc>
          <w:tcPr>
            <w:tcW w:w="1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71,979,788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78,444,285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10,507,327</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4,776,002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165,707,402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44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16,441,043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38,732,904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10,507,327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4,776,002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70,457,276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42.52%</w:t>
            </w:r>
          </w:p>
        </w:tc>
      </w:tr>
      <w:tr>
        <w:trPr>
          <w:trHeight w:val="216"/>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55,538,745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39,711,381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95,250,126</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57.48%</w:t>
            </w:r>
          </w:p>
        </w:tc>
      </w:tr>
      <w:tr>
        <w:trPr>
          <w:trHeight w:val="230"/>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71,979,788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78,444,285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10,507,327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4,776,002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165,707,402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Total</w:t>
            </w:r>
          </w:p>
        </w:tc>
      </w:tr>
      <w:tr>
        <w:trPr>
          <w:trHeight w:val="190"/>
        </w:trPr>
        <w:tc>
          <w:tcPr>
            <w:tcW w:w="316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6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118,863,944</w:t>
            </w:r>
          </w:p>
        </w:tc>
        <w:tc>
          <w:tcPr>
            <w:tcW w:w="3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21,375,552</w:t>
            </w:r>
          </w:p>
        </w:tc>
        <w:tc>
          <w:tcPr>
            <w:tcW w:w="3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3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9,960,769</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151,172,733</w:t>
            </w:r>
          </w:p>
        </w:tc>
        <w:tc>
          <w:tcPr>
            <w:tcW w:w="1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3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3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118,863,944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21,375,552</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9,960,769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151,172,733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00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48,065,177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21,375,552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518,590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9,960,769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79,920,088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52.87%</w:t>
            </w:r>
          </w:p>
        </w:tc>
      </w:tr>
      <w:tr>
        <w:trPr>
          <w:trHeight w:val="216"/>
        </w:trPr>
        <w:tc>
          <w:tcPr>
            <w:tcW w:w="3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70,798,767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453,878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71,252,645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47.13%</w:t>
            </w:r>
          </w:p>
        </w:tc>
      </w:tr>
      <w:tr>
        <w:trPr>
          <w:trHeight w:val="230"/>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118,863,944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21,375,552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9,960,769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151,172,733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0" w:name="page31"/>
    <w:bookmarkEnd w:id="3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jc w:val="center"/>
              <w:ind w:right="641"/>
              <w:spacing w:after="0"/>
              <w:rPr>
                <w:sz w:val="20"/>
                <w:szCs w:val="20"/>
                <w:color w:val="auto"/>
              </w:rPr>
            </w:pPr>
            <w:r>
              <w:rPr>
                <w:rFonts w:ascii="Times New Roman" w:cs="Times New Roman" w:eastAsia="Times New Roman" w:hAnsi="Times New Roman"/>
                <w:sz w:val="18"/>
                <w:szCs w:val="18"/>
                <w:color w:val="auto"/>
                <w:w w:val="96"/>
              </w:rPr>
              <w:t>As of</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6"/>
              </w:rPr>
              <w:t>As of</w:t>
            </w:r>
          </w:p>
        </w:tc>
      </w:tr>
      <w:tr>
        <w:trPr>
          <w:trHeight w:val="234"/>
        </w:trPr>
        <w:tc>
          <w:tcPr>
            <w:tcW w:w="2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2"/>
          </w:tcPr>
          <w:p>
            <w:pPr>
              <w:jc w:val="center"/>
              <w:ind w:right="641"/>
              <w:spacing w:after="0"/>
              <w:rPr>
                <w:sz w:val="20"/>
                <w:szCs w:val="20"/>
                <w:color w:val="auto"/>
              </w:rPr>
            </w:pPr>
            <w:r>
              <w:rPr>
                <w:rFonts w:ascii="Times New Roman" w:cs="Times New Roman" w:eastAsia="Times New Roman" w:hAnsi="Times New Roman"/>
                <w:sz w:val="18"/>
                <w:szCs w:val="18"/>
                <w:color w:val="auto"/>
              </w:rPr>
              <w:t>June 30, 2025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8,039,317</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8,785,184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360" w:type="dxa"/>
            <w:vAlign w:val="bottom"/>
          </w:tcPr>
          <w:p>
            <w:pPr>
              <w:spacing w:after="0"/>
              <w:rPr>
                <w:sz w:val="18"/>
                <w:szCs w:val="18"/>
                <w:color w:val="auto"/>
              </w:rPr>
            </w:pPr>
          </w:p>
        </w:tc>
        <w:tc>
          <w:tcPr>
            <w:tcW w:w="22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3,552,546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4,046,731</w:t>
            </w:r>
          </w:p>
        </w:tc>
        <w:tc>
          <w:tcPr>
            <w:tcW w:w="100" w:type="dxa"/>
            <w:vAlign w:val="bottom"/>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36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5,151,594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5,320,216</w:t>
            </w:r>
          </w:p>
        </w:tc>
        <w:tc>
          <w:tcPr>
            <w:tcW w:w="100" w:type="dxa"/>
            <w:vAlign w:val="bottom"/>
            <w:shd w:val="clear" w:color="auto" w:fill="CCEEFF"/>
          </w:tcPr>
          <w:p>
            <w:pPr>
              <w:spacing w:after="0"/>
              <w:rPr>
                <w:sz w:val="19"/>
                <w:szCs w:val="19"/>
                <w:color w:val="auto"/>
              </w:rPr>
            </w:pPr>
          </w:p>
        </w:tc>
      </w:tr>
      <w:tr>
        <w:trPr>
          <w:trHeight w:val="209"/>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36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16,743,457</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18,152,131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28,418,535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30,341,727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45,161,992</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48,493,858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(1,481,032</w:t>
            </w:r>
          </w:p>
        </w:tc>
        <w:tc>
          <w:tcPr>
            <w:tcW w:w="3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43,680,960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moves to 90 days past due or legal proceedings, it is monitored for write-off and collectability, and any adjustments to the allowance are recorded at that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257,253</w:t>
            </w: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(294,004)</w:t>
            </w: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1,481,032</w:t>
            </w:r>
          </w:p>
        </w:tc>
        <w:tc>
          <w:tcPr>
            <w:tcW w:w="100" w:type="dxa"/>
            <w:vAlign w:val="bottom"/>
            <w:tcBorders>
              <w:bottom w:val="single" w:sz="8" w:color="CCEEFF"/>
            </w:tcBorders>
          </w:tcPr>
          <w:p>
            <w:pPr>
              <w:spacing w:after="0"/>
              <w:rPr>
                <w:sz w:val="22"/>
                <w:szCs w:val="22"/>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1,587,525</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242,046</w:t>
            </w: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(294,247)</w:t>
            </w: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Six Months</w:t>
            </w:r>
          </w:p>
        </w:tc>
      </w:t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551,051</w:t>
            </w: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(606,945)</w:t>
            </w: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1,481,032</w:t>
            </w:r>
          </w:p>
        </w:tc>
        <w:tc>
          <w:tcPr>
            <w:tcW w:w="100" w:type="dxa"/>
            <w:vAlign w:val="bottom"/>
            <w:tcBorders>
              <w:bottom w:val="single" w:sz="8" w:color="CCEEFF"/>
            </w:tcBorders>
          </w:tcPr>
          <w:p>
            <w:pPr>
              <w:spacing w:after="0"/>
              <w:rPr>
                <w:sz w:val="22"/>
                <w:szCs w:val="22"/>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1,553,836</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492,613</w:t>
            </w: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(511,125)</w:t>
            </w: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080" w:hanging="5532"/>
        <w:spacing w:after="0" w:line="409" w:lineRule="auto"/>
        <w:tabs>
          <w:tab w:leader="none" w:pos="3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(“VIE”)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50% ownership interest in HHH Real Estate LLC (“HHH”), an entity that holds and develops single family lots for residential construction. In accordance with the HHH operating agreement, net profits or losses are allocated to the members in accordance with their ownership interests. The investment in HHH is accounted for under the equity method of accounting. HHH has not commenced its principal operations as of June 30, 2025. The carrying value of the equity investment in HHH was $11,163,125 and nil at June 30, 2025 and December 31, 2024, respectively, which is included in other investments and policy loans on the condensed consolidated balance sheets.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HHH is a VIE for the following reasons: (1) the at-risk equity holders, as a group, lack the characteristics of a controlling financial interest. (2) the General Manager directs the activities and legal operations that most significantly affect the entity’s economic performance and (3) the Company does not have majority voting rights and no power to unilaterally direct the activities of the entity, and therefore, is not the primary beneficiary. The Company’s exposure to loss because of its involvement with the equity method investee is limited to the carrying value of the Company’s investment of $11,163,125.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and unrealized gains and losses on equity securities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24,031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24,334</w:t>
            </w: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30,029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(36,646)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(37,499)</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provision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20,313</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16,289</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(65,993)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(79,711)</w:t>
            </w:r>
          </w:p>
        </w:tc>
      </w:tr>
      <w:tr>
        <w:trPr>
          <w:trHeight w:val="216"/>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15,981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43,733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130,108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(17,370)</w:t>
            </w:r>
          </w:p>
        </w:tc>
      </w:tr>
      <w:tr>
        <w:trPr>
          <w:trHeight w:val="198"/>
        </w:trPr>
        <w:tc>
          <w:tcPr>
            <w:tcW w:w="4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on securities held at the end of the</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793,404</w:t>
            </w: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(424,455)</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1,066,880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1,118,405</w:t>
            </w:r>
          </w:p>
        </w:tc>
      </w:tr>
      <w:tr>
        <w:trPr>
          <w:trHeight w:val="216"/>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202,389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38,890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596,915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288,852</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(39,081)</w:t>
            </w:r>
          </w:p>
        </w:tc>
      </w:tr>
      <w:tr>
        <w:trPr>
          <w:trHeight w:val="216"/>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81,867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35,486</w:t>
            </w:r>
          </w:p>
        </w:tc>
      </w:tr>
      <w:tr>
        <w:trPr>
          <w:trHeight w:val="230"/>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(1,729)</w:t>
            </w:r>
          </w:p>
        </w:tc>
        <w:tc>
          <w:tcPr>
            <w:tcW w:w="340" w:type="dxa"/>
            <w:vAlign w:val="bottom"/>
          </w:tcPr>
          <w:p>
            <w:pPr>
              <w:spacing w:after="0"/>
              <w:rPr>
                <w:sz w:val="19"/>
                <w:szCs w:val="19"/>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(39,081)</w:t>
            </w: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4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1,142,707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(377,239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realized gains and losses includes gains and losses from cemetery perpetual care trust investments and the restricted assets of cemeteries and mortuaries and totaled $271,176 and $202,800 in net gains for the three month periods ended June 30, 2025 and 2024, respectively, and of $485,155 and $379,363 in net gains for the six month periods ended June 30, 2025 and 2024,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36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4,749,965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4,345,704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8,749,262</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247,633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176,448</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440,263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344,596</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12,457,357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7,021,559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20,421,897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15,835,595</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2,872,566</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3,285,019</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5,832,278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6,800,080</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235,758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189,131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480,363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490,398</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5,138,214</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4,886,015</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10,870,365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9,962,563</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82,349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201,342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243,835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400,301</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953,618</w:t>
            </w: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1,715,910</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2,356,252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3,406,867</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26,737,460</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21,821,128</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50,060,051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45,989,662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(6,156,472)</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(3,776,320)</w:t>
            </w: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(10,276,439)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(7,998,286)</w:t>
            </w: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20,580,988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18,044,808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39,783,612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investment income includes income earned from cemetery perpetual care trust investments and the restricted assets of cemeteries and mortuaries and totaled $220,634 and $470,808 for the three month periods ended June 30, 2025 and 2024, respectively, and $367,472 and $1,404,359 for the six month periods ended June 30, 2025 and 2024,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c>
          <w:tcPr>
            <w:tcW w:w="226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December 31, 2024</w:t>
            </w:r>
          </w:p>
        </w:tc>
        <w:tc>
          <w:tcPr>
            <w:tcW w:w="2260" w:type="dxa"/>
            <w:vAlign w:val="bottom"/>
          </w:tcPr>
          <w:p>
            <w:pPr>
              <w:spacing w:after="0"/>
              <w:rPr>
                <w:sz w:val="20"/>
                <w:szCs w:val="20"/>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4,149,857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3,795,581</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11,049</w:t>
            </w:r>
          </w:p>
        </w:tc>
        <w:tc>
          <w:tcPr>
            <w:tcW w:w="22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1,211,558</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1,049,489</w:t>
            </w: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2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4,229,979</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3,559,463</w:t>
            </w:r>
          </w:p>
        </w:tc>
        <w:tc>
          <w:tcPr>
            <w:tcW w:w="22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30,917</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27,400</w:t>
            </w: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83,586</w:t>
            </w:r>
          </w:p>
        </w:tc>
        <w:tc>
          <w:tcPr>
            <w:tcW w:w="2260" w:type="dxa"/>
            <w:vAlign w:val="bottom"/>
          </w:tcPr>
          <w:p>
            <w:pPr>
              <w:spacing w:after="0"/>
              <w:rPr>
                <w:sz w:val="19"/>
                <w:szCs w:val="19"/>
                <w:color w:val="auto"/>
              </w:rPr>
            </w:pP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9,659,711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See Note 8 to the condensed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2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165,876,119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131,181,148</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162,693,700</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128,948,072</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3,182,419</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2,233,076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6,709,062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7,366,232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11,963,152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12,886,697</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2,366,245</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2,263,915</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4,033,679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3,746,735</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20,185,222</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18,674,595</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37,140,165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33,405,569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132,404</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429,823</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606,944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991,601</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308,074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1,197,075</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949,342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896,185</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(215,903)</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(312,124)</w:t>
            </w:r>
          </w:p>
        </w:tc>
        <w:tc>
          <w:tcPr>
            <w:tcW w:w="3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(398,937)</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(475,601)</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29,485,104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29,619,516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54,294,345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51,451,186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6" w:right="339" w:bottom="1440" w:gutter="0" w:footer="0" w:header="0"/>
        </w:sectPr>
      </w:pPr>
    </w:p>
    <w:bookmarkStart w:id="34" w:name="page35"/>
    <w:bookmarkEnd w:id="34"/>
    <w:p>
      <w:pPr>
        <w:jc w:val="center"/>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right="8220" w:firstLine="8"/>
        <w:spacing w:after="0" w:line="500"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Loan Loss Reserve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8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20"/>
                <w:szCs w:val="20"/>
                <w:color w:val="auto"/>
              </w:rPr>
            </w:pPr>
          </w:p>
        </w:tc>
        <w:tc>
          <w:tcPr>
            <w:tcW w:w="1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696,626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398,937</w:t>
            </w:r>
          </w:p>
        </w:tc>
        <w:tc>
          <w:tcPr>
            <w:tcW w:w="18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932,154</w:t>
            </w:r>
          </w:p>
        </w:tc>
        <w:tc>
          <w:tcPr>
            <w:tcW w:w="80" w:type="dxa"/>
            <w:vAlign w:val="bottom"/>
          </w:tcPr>
          <w:p>
            <w:pPr>
              <w:spacing w:after="0"/>
              <w:rPr>
                <w:sz w:val="18"/>
                <w:szCs w:val="18"/>
                <w:color w:val="auto"/>
              </w:rPr>
            </w:pPr>
          </w:p>
        </w:tc>
      </w:tr>
      <w:tr>
        <w:trPr>
          <w:trHeight w:val="22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(422,258)</w:t>
            </w:r>
          </w:p>
        </w:tc>
        <w:tc>
          <w:tcPr>
            <w:tcW w:w="18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(782,761)</w:t>
            </w: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673,305</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six month period ended June 30, 2025, $398,937 in reserves were added at a rate of 3.5 basis points per loan, the equivalent of $350 per $1,000,000 in loans originated. For the six month period ended June 30, 2024, $475,601 in reserves that were added at a rate of 4.4 basis points per loan, the equivalent of $440 per $1,000,000 in loans originated. The Company monitors market data and trends and economic conditions (including forecasts), and uses its own experience to determine adequate loss reserves on current production.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5" w:name="page36"/>
    <w:bookmarkEnd w:id="35"/>
    <w:p>
      <w:pPr>
        <w:jc w:val="center"/>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equity incentive plans (the “2013 Plan”, the “2014 Director Plan” and the “2022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$310,430 and $183,184 has been recognized for these plans for the three month periods ended June 30, 2025 and 2024, respectively, and $609,703 and $382,182 has been recognized for these plans for the six month periods ended June 30, 2025 and 2024, respectively, and is included in personnel expenses on the condensed consolidated statements of earnings. As of June 30, 2025, the total unrecognized compensation expense related to the options issued was $562,707 which is expected to be recognized over the remaining vesting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stock option plans during the six month period ended June 30, 2025, is summarized as follows:</w:t>
      </w:r>
    </w:p>
    <w:p>
      <w:pPr>
        <w:sectPr>
          <w:pgSz w:w="11900" w:h="16838" w:orient="portrait"/>
          <w:cols w:equalWidth="0" w:num="1">
            <w:col w:w="11240"/>
          </w:cols>
          <w:pgMar w:left="320" w:top="706"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Number of</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Average Exercise</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2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Price (2)</w:t>
            </w:r>
          </w:p>
        </w:tc>
        <w:tc>
          <w:tcPr>
            <w:tcW w:w="0" w:type="dxa"/>
            <w:vAlign w:val="bottom"/>
          </w:tcPr>
          <w:p>
            <w:pPr>
              <w:spacing w:after="0"/>
              <w:rPr>
                <w:sz w:val="1"/>
                <w:szCs w:val="1"/>
                <w:color w:val="auto"/>
              </w:rPr>
            </w:pPr>
          </w:p>
        </w:tc>
      </w:tr>
      <w:tr>
        <w:trPr>
          <w:trHeight w:val="40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646,594</w:t>
            </w:r>
          </w:p>
        </w:tc>
        <w:tc>
          <w:tcPr>
            <w:tcW w:w="300" w:type="dxa"/>
            <w:vAlign w:val="bottom"/>
          </w:tcPr>
          <w:p>
            <w:pPr>
              <w:spacing w:after="0"/>
              <w:rPr>
                <w:sz w:val="24"/>
                <w:szCs w:val="24"/>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(112,735)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585,833</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June 30, 2025:</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546,483</w:t>
            </w:r>
          </w:p>
        </w:tc>
        <w:tc>
          <w:tcPr>
            <w:tcW w:w="3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June 30, 2025:</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2,156,404</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5.30 years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4.99 years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 outstanding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2025 (1)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1,811,956</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Aggregated intrinsic value of options exercisable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2025 (1)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1,933,277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-3471545</wp:posOffset>
            </wp:positionV>
            <wp:extent cx="64122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-3196590</wp:posOffset>
            </wp:positionV>
            <wp:extent cx="64122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-2922270</wp:posOffset>
            </wp:positionV>
            <wp:extent cx="641223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64122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-1276350</wp:posOffset>
            </wp:positionV>
            <wp:extent cx="641223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641223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641223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641223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641223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-2613660</wp:posOffset>
            </wp:positionV>
            <wp:extent cx="641223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$9.02 as of June 30, 2025 to derive intrinsic value.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2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1,724,400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80,571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(113,023)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31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1,691,948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2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1,526,948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8312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678,550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6.39 years</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6.11 years</w:t>
      </w:r>
    </w:p>
    <w:p>
      <w:pPr>
        <w:spacing w:after="0" w:line="200" w:lineRule="exact"/>
        <w:rPr>
          <w:sz w:val="20"/>
          <w:szCs w:val="20"/>
          <w:color w:val="auto"/>
        </w:rPr>
      </w:pPr>
    </w:p>
    <w:p>
      <w:pPr>
        <w:spacing w:after="0" w:line="268" w:lineRule="exact"/>
        <w:rPr>
          <w:sz w:val="20"/>
          <w:szCs w:val="20"/>
          <w:color w:val="auto"/>
        </w:rPr>
      </w:pPr>
    </w:p>
    <w:p>
      <w:pPr>
        <w:ind w:left="600" w:hanging="598"/>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3,200,152</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600" w:hanging="598"/>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3,780,038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8312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Average Exercise</w:t>
      </w:r>
    </w:p>
    <w:p>
      <w:pPr>
        <w:spacing w:after="0" w:line="9"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Price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985" w:hanging="985"/>
        <w:spacing w:after="0"/>
        <w:tabs>
          <w:tab w:leader="none" w:pos="9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85" w:hanging="985"/>
        <w:spacing w:after="0"/>
        <w:tabs>
          <w:tab w:leader="none" w:pos="9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7.13</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985" w:hanging="985"/>
        <w:spacing w:after="0"/>
        <w:tabs>
          <w:tab w:leader="none" w:pos="9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w:t>
      </w:r>
    </w:p>
    <w:p>
      <w:pPr>
        <w:sectPr>
          <w:pgSz w:w="11900" w:h="16838" w:orient="portrait"/>
          <w:cols w:equalWidth="0" w:num="3">
            <w:col w:w="6820" w:space="300"/>
            <w:col w:w="1380" w:space="215"/>
            <w:col w:w="2525"/>
          </w:cols>
          <w:pgMar w:left="320" w:top="706" w:right="339" w:bottom="1440" w:gutter="0" w:footer="0" w:header="0"/>
          <w:type w:val="continuous"/>
        </w:sectPr>
      </w:pPr>
    </w:p>
    <w:bookmarkStart w:id="36" w:name="page37"/>
    <w:bookmarkEnd w:id="36"/>
    <w:p>
      <w:pPr>
        <w:jc w:val="center"/>
        <w:ind w:left="244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stock option plans during the six month period ended June 30, 2024, is summarized as follows:</w:t>
      </w:r>
    </w:p>
    <w:p>
      <w:pPr>
        <w:sectPr>
          <w:pgSz w:w="11900" w:h="16838" w:orient="portrait"/>
          <w:cols w:equalWidth="0" w:num="1">
            <w:col w:w="11240"/>
          </w:cols>
          <w:pgMar w:left="320" w:top="67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Class A Shares</w:t>
            </w:r>
          </w:p>
        </w:tc>
        <w:tc>
          <w:tcPr>
            <w:tcW w:w="0" w:type="dxa"/>
            <w:vAlign w:val="bottom"/>
          </w:tcPr>
          <w:p>
            <w:pPr>
              <w:spacing w:after="0"/>
              <w:rPr>
                <w:sz w:val="1"/>
                <w:szCs w:val="1"/>
                <w:color w:val="auto"/>
              </w:rPr>
            </w:pPr>
          </w:p>
        </w:tc>
      </w:tr>
      <w:tr>
        <w:trPr>
          <w:trHeight w:val="40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(45,671)</w:t>
            </w:r>
          </w:p>
        </w:tc>
        <w:tc>
          <w:tcPr>
            <w:tcW w:w="0" w:type="dxa"/>
            <w:vAlign w:val="bottom"/>
          </w:tcPr>
          <w:p>
            <w:pPr>
              <w:spacing w:after="0"/>
              <w:rPr>
                <w:sz w:val="1"/>
                <w:szCs w:val="1"/>
                <w:color w:val="auto"/>
              </w:rPr>
            </w:pPr>
          </w:p>
        </w:tc>
      </w:tr>
      <w:tr>
        <w:trPr>
          <w:trHeight w:val="2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(16,538)</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June 30, 2024:</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June 30, 2024:</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 years</w:t>
            </w: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 years</w:t>
            </w: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 outstanding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2024 (1)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 exercisable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2024 (1)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2,089,110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-3428365</wp:posOffset>
            </wp:positionV>
            <wp:extent cx="641223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641223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641223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641223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641223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641223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64122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641223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641223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641223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left="31" w:right="9"/>
        <w:spacing w:after="0" w:line="289" w:lineRule="auto"/>
        <w:rPr>
          <w:sz w:val="20"/>
          <w:szCs w:val="20"/>
          <w:color w:val="auto"/>
        </w:rPr>
      </w:pPr>
      <w:r>
        <w:rPr>
          <w:rFonts w:ascii="Times New Roman" w:cs="Times New Roman" w:eastAsia="Times New Roman" w:hAnsi="Times New Roman"/>
          <w:sz w:val="17"/>
          <w:szCs w:val="17"/>
          <w:color w:val="auto"/>
        </w:rPr>
        <w:t>Weighted Average Exercise Price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8401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1" w:lineRule="exact"/>
        <w:rPr>
          <w:sz w:val="20"/>
          <w:szCs w:val="20"/>
          <w:color w:val="auto"/>
        </w:rPr>
      </w:pPr>
    </w:p>
    <w:p>
      <w:pPr>
        <w:ind w:left="1011" w:hanging="1011"/>
        <w:spacing w:after="0"/>
        <w:tabs>
          <w:tab w:leader="none" w:pos="10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11" w:hanging="1011"/>
        <w:spacing w:after="0"/>
        <w:tabs>
          <w:tab w:leader="none" w:pos="10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5.09</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011" w:hanging="1011"/>
        <w:spacing w:after="0"/>
        <w:tabs>
          <w:tab w:leader="none" w:pos="10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2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1,520,062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76,005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312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1,596,067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2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1,443,567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8312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556,238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2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6.00 years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5.75 years</w:t>
      </w:r>
    </w:p>
    <w:p>
      <w:pPr>
        <w:spacing w:after="0" w:line="200" w:lineRule="exact"/>
        <w:rPr>
          <w:sz w:val="20"/>
          <w:szCs w:val="20"/>
          <w:color w:val="auto"/>
        </w:rPr>
      </w:pPr>
    </w:p>
    <w:p>
      <w:pPr>
        <w:spacing w:after="0" w:line="241" w:lineRule="exact"/>
        <w:rPr>
          <w:sz w:val="20"/>
          <w:szCs w:val="20"/>
          <w:color w:val="auto"/>
        </w:rPr>
      </w:pPr>
    </w:p>
    <w:p>
      <w:pPr>
        <w:ind w:left="600" w:hanging="598"/>
        <w:spacing w:after="0"/>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3,255,564</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00" w:hanging="598"/>
        <w:spacing w:after="0"/>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3,264,864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Average Exercise</w:t>
      </w:r>
    </w:p>
    <w:p>
      <w:pPr>
        <w:spacing w:after="0" w:line="9"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985" w:hanging="985"/>
        <w:spacing w:after="0"/>
        <w:tabs>
          <w:tab w:leader="none" w:pos="9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85" w:hanging="985"/>
        <w:spacing w:after="0"/>
        <w:tabs>
          <w:tab w:leader="none" w:pos="9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5.57</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985" w:hanging="985"/>
        <w:spacing w:after="0"/>
        <w:tabs>
          <w:tab w:leader="none" w:pos="9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w:t>
      </w:r>
    </w:p>
    <w:p>
      <w:pPr>
        <w:spacing w:after="0" w:line="3602" w:lineRule="exact"/>
        <w:rPr>
          <w:sz w:val="20"/>
          <w:szCs w:val="20"/>
          <w:color w:val="auto"/>
        </w:rPr>
      </w:pPr>
    </w:p>
    <w:p>
      <w:pPr>
        <w:sectPr>
          <w:pgSz w:w="11900" w:h="16838" w:orient="portrait"/>
          <w:cols w:equalWidth="0" w:num="4">
            <w:col w:w="5240" w:space="249"/>
            <w:col w:w="1331" w:space="300"/>
            <w:col w:w="1320" w:space="275"/>
            <w:col w:w="2525"/>
          </w:cols>
          <w:pgMar w:left="320" w:top="679" w:right="339" w:bottom="1440" w:gutter="0" w:footer="0" w:header="0"/>
          <w:type w:val="continuous"/>
        </w:sectPr>
      </w:pPr>
    </w:p>
    <w:p>
      <w:pPr>
        <w:spacing w:after="0" w:line="2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$7.61 as of June 30, 2024 to derive intrinsic value.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six month periods ended June 30, 2025 and 2024 was $1,357,776 and $142,210,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37" w:name="page38"/>
    <w:bookmarkEnd w:id="37"/>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based compensation expense for RSUs issued of $9,949 and $882 has been recognized under these plans for the three month periods ended June 30, 2025 and 2024, respectively, and $19,936 and $1,771 has been recognized under these plans for the six month periods ended June 30, 2025 and 2024, and is included in personnel expenses on the condensed consolidated statements of earnings. The fair value of each RSU granted is determined by the Company’s stock price on the date of the grant. As of June 30, 2025, the total unrecognized compensation expense related to the RSUs issued was $17,362, which is expected to be recognized over the remaining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six month period ended June 30,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Number of</w:t>
            </w: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 Grant</w:t>
            </w:r>
          </w:p>
        </w:tc>
      </w:tr>
      <w:tr>
        <w:trPr>
          <w:trHeight w:val="234"/>
        </w:trPr>
        <w:tc>
          <w:tcPr>
            <w:tcW w:w="3600" w:type="dxa"/>
            <w:vAlign w:val="bottom"/>
          </w:tcPr>
          <w:p>
            <w:pPr>
              <w:spacing w:after="0"/>
              <w:rPr>
                <w:sz w:val="20"/>
                <w:szCs w:val="20"/>
                <w:color w:val="auto"/>
              </w:rPr>
            </w:pP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(3,547)</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w:t>
            </w:r>
          </w:p>
        </w:tc>
      </w:tr>
      <w:tr>
        <w:trPr>
          <w:trHeight w:val="197"/>
        </w:trPr>
        <w:tc>
          <w:tcPr>
            <w:tcW w:w="36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504,187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6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six month period ended June 30,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 Grant</w:t>
            </w:r>
          </w:p>
        </w:tc>
        <w:tc>
          <w:tcPr>
            <w:tcW w:w="33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2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Date Fair Value</w:t>
            </w:r>
          </w:p>
        </w:tc>
        <w:tc>
          <w:tcPr>
            <w:tcW w:w="3380" w:type="dxa"/>
            <w:vAlign w:val="bottom"/>
          </w:tcPr>
          <w:p>
            <w:pPr>
              <w:spacing w:after="0"/>
              <w:rPr>
                <w:sz w:val="20"/>
                <w:szCs w:val="20"/>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top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80" w:type="dxa"/>
            <w:vAlign w:val="bottom"/>
          </w:tcPr>
          <w:p>
            <w:pPr>
              <w:spacing w:after="0"/>
              <w:rPr>
                <w:sz w:val="19"/>
                <w:szCs w:val="19"/>
                <w:color w:val="auto"/>
              </w:rPr>
            </w:pPr>
          </w:p>
        </w:tc>
      </w:tr>
      <w:tr>
        <w:trPr>
          <w:trHeight w:val="263"/>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3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3380" w:type="dxa"/>
            <w:vAlign w:val="bottom"/>
          </w:tcPr>
          <w:p>
            <w:pPr>
              <w:spacing w:after="0"/>
              <w:rPr>
                <w:sz w:val="22"/>
                <w:szCs w:val="22"/>
                <w:color w:val="auto"/>
              </w:rPr>
            </w:pPr>
          </w:p>
        </w:tc>
      </w:tr>
      <w:tr>
        <w:trPr>
          <w:trHeight w:val="196"/>
        </w:trPr>
        <w:tc>
          <w:tcPr>
            <w:tcW w:w="3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380" w:type="dxa"/>
            <w:vAlign w:val="bottom"/>
          </w:tcPr>
          <w:p>
            <w:pPr>
              <w:spacing w:after="0"/>
              <w:rPr>
                <w:sz w:val="21"/>
                <w:szCs w:val="21"/>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16,540</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0"/>
        </w:trPr>
        <w:tc>
          <w:tcPr>
            <w:tcW w:w="3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3"/>
        </w:trPr>
        <w:tc>
          <w:tcPr>
            <w:tcW w:w="3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9" w:right="339" w:bottom="1440" w:gutter="0" w:footer="0" w:header="0"/>
        </w:sectPr>
      </w:pPr>
    </w:p>
    <w:bookmarkStart w:id="38" w:name="page39"/>
    <w:bookmarkEnd w:id="38"/>
    <w:p>
      <w:pPr>
        <w:jc w:val="center"/>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83"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38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6,506,355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7,271,549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10,844,647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14,746,071</w:t>
            </w:r>
          </w:p>
        </w:tc>
      </w:tr>
      <w:tr>
        <w:trPr>
          <w:trHeight w:val="197"/>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24,767,601</w:t>
            </w: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24,474,232</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24,733,733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24,490,545</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761,460</w:t>
            </w: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605,328</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889,495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696,293</w:t>
            </w:r>
          </w:p>
        </w:tc>
      </w:tr>
      <w:tr>
        <w:trPr>
          <w:trHeight w:val="223"/>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25,529,061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25,079,560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25,623,228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25,186,838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 periods ended June 30, 2025 and 2024, there were 416,539 and 143,456 anti-dilutive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p>
      <w:pPr>
        <w:sectPr>
          <w:pgSz w:w="11900" w:h="16838" w:orient="portrait"/>
          <w:cols w:equalWidth="0" w:num="1">
            <w:col w:w="11240"/>
          </w:cols>
          <w:pgMar w:left="320" w:top="67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2024 (1)</w:t>
      </w:r>
    </w:p>
    <w:p>
      <w:pPr>
        <w:spacing w:after="0" w:line="225" w:lineRule="exact"/>
        <w:rPr>
          <w:sz w:val="20"/>
          <w:szCs w:val="20"/>
          <w:color w:val="auto"/>
        </w:rPr>
      </w:pPr>
    </w:p>
    <w:p>
      <w:pPr>
        <w:ind w:left="180" w:right="1220"/>
        <w:spacing w:after="0" w:line="289" w:lineRule="auto"/>
        <w:rPr>
          <w:sz w:val="20"/>
          <w:szCs w:val="20"/>
          <w:color w:val="auto"/>
        </w:rPr>
      </w:pPr>
      <w:r>
        <w:rPr>
          <w:rFonts w:ascii="Times New Roman" w:cs="Times New Roman" w:eastAsia="Times New Roman" w:hAnsi="Times New Roman"/>
          <w:sz w:val="17"/>
          <w:szCs w:val="17"/>
          <w:color w:val="auto"/>
        </w:rPr>
        <w:t>Exercise of stock options Vesting of restricted stock units Conversion of Class C to Class 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June 30, 2025 (1)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2023 (1)</w:t>
      </w:r>
    </w:p>
    <w:p>
      <w:pPr>
        <w:spacing w:after="0" w:line="225" w:lineRule="exact"/>
        <w:rPr>
          <w:sz w:val="20"/>
          <w:szCs w:val="20"/>
          <w:color w:val="auto"/>
        </w:rPr>
      </w:pPr>
    </w:p>
    <w:p>
      <w:pPr>
        <w:ind w:left="180" w:right="1220"/>
        <w:spacing w:after="0" w:line="289" w:lineRule="auto"/>
        <w:rPr>
          <w:sz w:val="20"/>
          <w:szCs w:val="20"/>
          <w:color w:val="auto"/>
        </w:rPr>
      </w:pPr>
      <w:r>
        <w:rPr>
          <w:rFonts w:ascii="Times New Roman" w:cs="Times New Roman" w:eastAsia="Times New Roman" w:hAnsi="Times New Roman"/>
          <w:sz w:val="17"/>
          <w:szCs w:val="17"/>
          <w:color w:val="auto"/>
        </w:rPr>
        <w:t>Exercise of stock options Vesting of restricted stock units Conversion of Class C to Class 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June 30,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Class C</w:t>
            </w:r>
          </w:p>
        </w:tc>
      </w:tr>
      <w:tr>
        <w:trPr>
          <w:trHeight w:val="228"/>
        </w:trPr>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22,321,422</w:t>
            </w:r>
          </w:p>
        </w:tc>
        <w:tc>
          <w:tcPr>
            <w:tcW w:w="3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3,492,672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66,273</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95,337</w:t>
            </w:r>
          </w:p>
        </w:tc>
      </w:tr>
      <w:tr>
        <w:trPr>
          <w:trHeight w:val="216"/>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3,547</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8"/>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45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22,391,637</w:t>
            </w:r>
          </w:p>
        </w:tc>
        <w:tc>
          <w:tcPr>
            <w:tcW w:w="300" w:type="dxa"/>
            <w:vAlign w:val="bottom"/>
          </w:tcPr>
          <w:p>
            <w:pPr>
              <w:spacing w:after="0"/>
              <w:rPr>
                <w:sz w:val="24"/>
                <w:szCs w:val="24"/>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3,587,614</w:t>
            </w:r>
          </w:p>
        </w:tc>
        <w:tc>
          <w:tcPr>
            <w:tcW w:w="40" w:type="dxa"/>
            <w:vAlign w:val="bottom"/>
          </w:tcPr>
          <w:p>
            <w:pPr>
              <w:spacing w:after="0"/>
              <w:rPr>
                <w:sz w:val="24"/>
                <w:szCs w:val="24"/>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22,119,299</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3,291,271</w:t>
            </w:r>
          </w:p>
        </w:tc>
        <w:tc>
          <w:tcPr>
            <w:tcW w:w="40" w:type="dxa"/>
            <w:vAlign w:val="bottom"/>
          </w:tcPr>
          <w:p>
            <w:pPr>
              <w:spacing w:after="0"/>
              <w:rPr>
                <w:sz w:val="24"/>
                <w:szCs w:val="24"/>
                <w:color w:val="auto"/>
              </w:rPr>
            </w:pPr>
          </w:p>
        </w:tc>
      </w:tr>
      <w:tr>
        <w:trPr>
          <w:trHeight w:val="414"/>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32,082</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865</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8"/>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5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22,152,512</w:t>
            </w:r>
          </w:p>
        </w:tc>
        <w:tc>
          <w:tcPr>
            <w:tcW w:w="300" w:type="dxa"/>
            <w:vAlign w:val="bottom"/>
          </w:tcPr>
          <w:p>
            <w:pPr>
              <w:spacing w:after="0"/>
              <w:rPr>
                <w:sz w:val="24"/>
                <w:szCs w:val="24"/>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3,291,005</w:t>
            </w:r>
          </w:p>
        </w:tc>
        <w:tc>
          <w:tcPr>
            <w:tcW w:w="40" w:type="dxa"/>
            <w:vAlign w:val="bottom"/>
          </w:tcPr>
          <w:p>
            <w:pPr>
              <w:spacing w:after="0"/>
              <w:rPr>
                <w:sz w:val="24"/>
                <w:szCs w:val="24"/>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-2185035</wp:posOffset>
            </wp:positionV>
            <wp:extent cx="498919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-1902460</wp:posOffset>
            </wp:positionV>
            <wp:extent cx="498919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-1628140</wp:posOffset>
            </wp:positionV>
            <wp:extent cx="498919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-1336675</wp:posOffset>
            </wp:positionV>
            <wp:extent cx="498919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-1019175</wp:posOffset>
            </wp:positionV>
            <wp:extent cx="498919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-745490</wp:posOffset>
            </wp:positionV>
            <wp:extent cx="498919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-471170</wp:posOffset>
            </wp:positionV>
            <wp:extent cx="498919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-179070</wp:posOffset>
            </wp:positionV>
            <wp:extent cx="4989195"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679"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Adjusted retroactively for the effect of annual stock dividends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39" w:name="page40"/>
    <w:bookmarkEnd w:id="39"/>
    <w:p>
      <w:pPr>
        <w:jc w:val="center"/>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83" w:lineRule="exact"/>
        <w:rPr>
          <w:sz w:val="20"/>
          <w:szCs w:val="20"/>
          <w:color w:val="auto"/>
        </w:rPr>
      </w:pPr>
    </w:p>
    <w:p>
      <w:pPr>
        <w:jc w:val="center"/>
        <w:ind w:right="7660" w:firstLine="8"/>
        <w:spacing w:after="0" w:line="500" w:lineRule="auto"/>
        <w:tabs>
          <w:tab w:leader="none" w:pos="6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 Description of Products and Services by Segment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three operating and reportable business segments: life insurance, cemetery and mortuary, and mortgage. The Company’s life insurance segment’s revenue consists of life insurance premiums, fees earned on factored life insurance policies and net investment income derived from investing policyholder and surplus funds. Its expenses include operating expenses to collect insurance premiums and insurance policy receivables, and administer claims, and commissions payable related to the sale of insurance products sold by the Company’s independent agency force. The Company’s cemetery and mortuary segment’s revenue consists of fees from the sale of at-need cemetery and mortuary merchandise, services at its mortuaries and cemeteries, pre-need sales of cemetery spaces after collection of 10% or more of the purchase price and the net investment income from investing surplus cash. Its expenses include operating expenses to maintain mortuary and cemetery operations and commissions related to the sale of insurance products sold by the Company’s agents. The Company’s mortgage segment’s revenue consists of residential mortgage origination fee income and mortgage interest income. Its expenses include normal operating expenses related to the origination and sale of residential mortgage loans, loan servicing and warehouse interest and fee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Services and Cost Sharing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operating and reportable segments are the same as those described in Part II, Item 8, Note 1 - Significant Accounting Policies of the Company’s Annual Report on Form 10-K for the year ended December 31, 2024.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Company’s Operating and Reportable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and reportable segments are business units that are managed separately due to the different products provided and the need to report separately to the various regulatory jurisdictions.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Chief Operating Decision Maker (“CODM”)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 over month and year over 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0" w:name="page41"/>
    <w:bookmarkEnd w:id="40"/>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 Information (Continued)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For the Three Months Ended June 30, 2025</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56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30,185,854</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7,257,717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29,485,104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66,928,675</w:t>
            </w: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19,999,873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465,425</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115,690</w:t>
            </w: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20,580,988</w:t>
            </w: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873,261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271,176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1,142,707</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465,668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146,243</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276,868</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888,779</w:t>
            </w:r>
          </w:p>
        </w:tc>
        <w:tc>
          <w:tcPr>
            <w:tcW w:w="80" w:type="dxa"/>
            <w:vAlign w:val="bottom"/>
          </w:tcPr>
          <w:p>
            <w:pPr>
              <w:spacing w:after="0"/>
              <w:rPr>
                <w:sz w:val="18"/>
                <w:szCs w:val="18"/>
                <w:color w:val="auto"/>
              </w:rPr>
            </w:pPr>
          </w:p>
        </w:tc>
      </w:tr>
      <w:tr>
        <w:trPr>
          <w:trHeight w:val="230"/>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1,828,343</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84,767</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74,557</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1,987,667</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53,352,999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8,225,328</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29,950,489</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91,528,816</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(1,987,667)</w:t>
            </w:r>
          </w:p>
        </w:tc>
      </w:tr>
      <w:tr>
        <w:trPr>
          <w:trHeight w:val="209"/>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89,541,149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15,021,638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1,231,654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8,800,130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5,584,263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153,412</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1,076,858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580,026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11,808,454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8,397,298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2,673,778</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11,100,269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126,294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142,609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671,545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78,960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35,956</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822,223</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219,873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223,184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155,961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1,891,789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312,143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74,406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899,009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180" w:type="dxa"/>
            <w:vAlign w:val="bottom"/>
          </w:tcPr>
          <w:p>
            <w:pPr>
              <w:spacing w:after="0"/>
              <w:rPr>
                <w:sz w:val="17"/>
                <w:szCs w:val="17"/>
                <w:color w:val="auto"/>
              </w:rPr>
            </w:pPr>
          </w:p>
        </w:tc>
        <w:tc>
          <w:tcPr>
            <w:tcW w:w="5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734,203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2,402,646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1,303,824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2,229,404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159,256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84,485</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1,743,926</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993,830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299,461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1,159,283</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1,811,081</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429,866</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(410,683)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6,402,872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1,364,352</w:t>
            </w: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(1,260,869)</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6,506,355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6,506,355</w:t>
            </w:r>
          </w:p>
        </w:tc>
        <w:tc>
          <w:tcPr>
            <w:tcW w:w="8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1" w:name="page42"/>
    <w:bookmarkEnd w:id="41"/>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 Information (Continued)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For the Three Months Ended June 30, 2024</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29,960,558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7,768,947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29,619,516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67,349,021</w:t>
            </w: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17,184,071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574,957</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285,780</w:t>
            </w: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18,044,808</w:t>
            </w: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(210,594)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(202,810)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36,165</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(377,239)</w:t>
            </w: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303,280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136,774</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334,692</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774,746</w:t>
            </w:r>
          </w:p>
        </w:tc>
        <w:tc>
          <w:tcPr>
            <w:tcW w:w="80" w:type="dxa"/>
            <w:vAlign w:val="bottom"/>
          </w:tcPr>
          <w:p>
            <w:pPr>
              <w:spacing w:after="0"/>
              <w:rPr>
                <w:sz w:val="18"/>
                <w:szCs w:val="18"/>
                <w:color w:val="auto"/>
              </w:rPr>
            </w:pPr>
          </w:p>
        </w:tc>
      </w:tr>
      <w:tr>
        <w:trPr>
          <w:trHeight w:val="230"/>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1,905,973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84,767</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144,989</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2,135,729</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49,143,288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8,362,635</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30,421,142</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87,927,065</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(2,135,729)</w:t>
            </w:r>
          </w:p>
        </w:tc>
      </w:tr>
      <w:tr>
        <w:trPr>
          <w:trHeight w:val="209"/>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85,791,336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14,070,165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1,042,940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9,212,937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4,105,564</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195,825</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1,457,231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546,821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11,448,789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7,285,612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2,553,252</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10,963,712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115,381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150,937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519,899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39,148</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1,135,024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225,182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208,727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158,990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1,533,881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216,829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54,186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852,711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180" w:type="dxa"/>
            <w:vAlign w:val="bottom"/>
          </w:tcPr>
          <w:p>
            <w:pPr>
              <w:spacing w:after="0"/>
              <w:rPr>
                <w:sz w:val="17"/>
                <w:szCs w:val="17"/>
                <w:color w:val="auto"/>
              </w:rPr>
            </w:pPr>
          </w:p>
        </w:tc>
        <w:tc>
          <w:tcPr>
            <w:tcW w:w="5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759,265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2,208,425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1,195,248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1,712,720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228,864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92,296</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1,814,569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927,112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146,488</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1,235,459</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1,548,019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522,022</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48,003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5,616,695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1,568,498</w:t>
            </w: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86,356</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7,271,549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7,271,549</w:t>
            </w:r>
          </w:p>
        </w:tc>
        <w:tc>
          <w:tcPr>
            <w:tcW w:w="8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2" w:name="page43"/>
    <w:bookmarkEnd w:id="42"/>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 Information (Continued)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For the Six Months Ended June 30, 2025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59,965,379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14,557,938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54,294,345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128,817,662</w:t>
            </w: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38,630,818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886,678</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39,783,612</w:t>
            </w: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1,163,795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481,146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83,787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1,728,728</w:t>
            </w: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1,051,266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334,093</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1,950,870</w:t>
            </w:r>
          </w:p>
        </w:tc>
      </w:tr>
      <w:tr>
        <w:trPr>
          <w:trHeight w:val="230"/>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3,148,266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168,603</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3,513,294</w:t>
            </w:r>
          </w:p>
        </w:tc>
      </w:tr>
      <w:tr>
        <w:trPr>
          <w:trHeight w:val="209"/>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103,959,524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16,428,458</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55,406,184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175,794,166</w:t>
            </w:r>
          </w:p>
        </w:tc>
        <w:tc>
          <w:tcPr>
            <w:tcW w:w="100" w:type="dxa"/>
            <w:vAlign w:val="bottom"/>
            <w:tcBorders>
              <w:bottom w:val="single" w:sz="8" w:color="CCEEFF"/>
            </w:tcBorders>
          </w:tcPr>
          <w:p>
            <w:pPr>
              <w:spacing w:after="0"/>
              <w:rPr>
                <w:sz w:val="18"/>
                <w:szCs w:val="18"/>
                <w:color w:val="auto"/>
              </w:rPr>
            </w:pPr>
          </w:p>
        </w:tc>
      </w:tr>
      <w:tr>
        <w:trPr>
          <w:trHeight w:val="210"/>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(3,513,294)</w:t>
            </w:r>
          </w:p>
        </w:tc>
      </w:tr>
      <w:tr>
        <w:trPr>
          <w:trHeight w:val="209"/>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172,280,872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31,067,103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2,433,209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17,788,187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10,106,833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327,377</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1,939,201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788,446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21,176,072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Personnel</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16,923,486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5,211,804</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22,218,463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294,218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Rent and rent related</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73,994</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1,673,006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462,685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435,545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315,923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3,307,041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547,931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144,932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1,777,119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80" w:type="dxa"/>
            <w:vAlign w:val="bottom"/>
          </w:tcPr>
          <w:p>
            <w:pPr>
              <w:spacing w:after="0"/>
              <w:rPr>
                <w:sz w:val="17"/>
                <w:szCs w:val="17"/>
                <w:color w:val="auto"/>
              </w:rPr>
            </w:pPr>
          </w:p>
        </w:tc>
        <w:tc>
          <w:tcPr>
            <w:tcW w:w="5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1,452,274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(1)(2)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5,027,184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2,535,034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3,871,848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364,814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171,926</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2,976,554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1,900,277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512,379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2,412,553</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2,992,292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964,710</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(894,136)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4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10,549,028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3,067,609</w:t>
            </w: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(2,771,990)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10,844,647</w:t>
            </w:r>
          </w:p>
        </w:tc>
        <w:tc>
          <w:tcPr>
            <w:tcW w:w="100" w:type="dxa"/>
            <w:vAlign w:val="bottom"/>
            <w:tcBorders>
              <w:bottom w:val="single" w:sz="8" w:color="CCEEFF"/>
            </w:tcBorders>
          </w:tcPr>
          <w:p>
            <w:pPr>
              <w:spacing w:after="0"/>
              <w:rPr>
                <w:sz w:val="19"/>
                <w:szCs w:val="19"/>
                <w:color w:val="auto"/>
              </w:rPr>
            </w:pPr>
          </w:p>
        </w:tc>
      </w:tr>
      <w:tr>
        <w:trPr>
          <w:trHeight w:val="223"/>
        </w:trPr>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8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10,844,647</w:t>
            </w: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1,382,976,345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101,407,961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86,674,977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1,571,059,283</w:t>
            </w: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(27,081,176)</w:t>
            </w:r>
          </w:p>
        </w:tc>
      </w:tr>
      <w:tr>
        <w:trPr>
          <w:trHeight w:val="223"/>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1,543,978,107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38,588,008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535,256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39,376,495</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312" w:gutter="0" w:footer="0" w:header="0"/>
        </w:sectPr>
      </w:pPr>
    </w:p>
    <w:bookmarkStart w:id="43" w:name="page44"/>
    <w:bookmarkEnd w:id="43"/>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 Information (Continued)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For the Six Months Ended June 30,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59,812,651</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14,717,438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51,451,186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125,981,275</w:t>
            </w: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35,796,434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1,659,149</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37,991,376</w:t>
            </w: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877,899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379,352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1,292,187</w:t>
            </w: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720,966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309,507</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684,223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1,714,696</w:t>
            </w:r>
          </w:p>
        </w:tc>
      </w:tr>
      <w:tr>
        <w:trPr>
          <w:trHeight w:val="229"/>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3,285,548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169,535</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291,595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3,746,678</w:t>
            </w:r>
          </w:p>
        </w:tc>
      </w:tr>
      <w:tr>
        <w:trPr>
          <w:trHeight w:val="209"/>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100,493,498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17,234,981</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52,997,733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170,726,212</w:t>
            </w:r>
          </w:p>
        </w:tc>
        <w:tc>
          <w:tcPr>
            <w:tcW w:w="100" w:type="dxa"/>
            <w:vAlign w:val="bottom"/>
            <w:tcBorders>
              <w:bottom w:val="single" w:sz="8" w:color="CCEEFF"/>
            </w:tcBorders>
          </w:tcPr>
          <w:p>
            <w:pPr>
              <w:spacing w:after="0"/>
              <w:rPr>
                <w:sz w:val="18"/>
                <w:szCs w:val="18"/>
                <w:color w:val="auto"/>
              </w:rPr>
            </w:pPr>
          </w:p>
        </w:tc>
      </w:tr>
      <w:tr>
        <w:trPr>
          <w:trHeight w:val="210"/>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(3,746,678)</w:t>
            </w:r>
          </w:p>
        </w:tc>
      </w:tr>
      <w:tr>
        <w:trPr>
          <w:trHeight w:val="209"/>
        </w:trPr>
        <w:tc>
          <w:tcPr>
            <w:tcW w:w="5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166,979,534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29,783,918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2,258,733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18,558,824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8,614,996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430,306</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1,863,729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778,606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18,791,723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Personnel</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14,516,920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4,862,978</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21,277,813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222,877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278,614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972,381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Rent and rent related</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229,627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79,429</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2,389,660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449,259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415,332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315,757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2,982,976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423,128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120,986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1,804,933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80" w:type="dxa"/>
            <w:vAlign w:val="bottom"/>
          </w:tcPr>
          <w:p>
            <w:pPr>
              <w:spacing w:after="0"/>
              <w:rPr>
                <w:sz w:val="17"/>
                <w:szCs w:val="17"/>
                <w:color w:val="auto"/>
              </w:rPr>
            </w:pPr>
          </w:p>
        </w:tc>
        <w:tc>
          <w:tcPr>
            <w:tcW w:w="5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1,520,224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 (1)(2)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4,038,531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2,428,425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2,949,067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460,238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186,320</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3,100,120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1,858,271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242,563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2,509,588</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3,365,088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1,308,876</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4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12,329,135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3,835,065</w:t>
            </w: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(1,418,129)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14,746,071</w:t>
            </w:r>
          </w:p>
        </w:tc>
        <w:tc>
          <w:tcPr>
            <w:tcW w:w="100" w:type="dxa"/>
            <w:vAlign w:val="bottom"/>
            <w:tcBorders>
              <w:bottom w:val="single" w:sz="8" w:color="CCEEFF"/>
            </w:tcBorders>
          </w:tcPr>
          <w:p>
            <w:pPr>
              <w:spacing w:after="0"/>
              <w:rPr>
                <w:sz w:val="19"/>
                <w:szCs w:val="19"/>
                <w:color w:val="auto"/>
              </w:rPr>
            </w:pPr>
          </w:p>
        </w:tc>
      </w:tr>
      <w:tr>
        <w:trPr>
          <w:trHeight w:val="223"/>
        </w:trPr>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8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14,746,071</w:t>
            </w:r>
          </w:p>
        </w:tc>
      </w:tr>
      <w:tr>
        <w:trPr>
          <w:trHeight w:val="197"/>
        </w:trPr>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1,302,401,062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91,353,123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96,262,785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1,490,016,970</w:t>
            </w: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(29,292,449)</w:t>
            </w:r>
          </w:p>
        </w:tc>
      </w:tr>
      <w:tr>
        <w:trPr>
          <w:trHeight w:val="223"/>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1,460,724,521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27,906,115</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254,644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85,411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28,246,170</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312" w:gutter="0" w:footer="0" w:header="0"/>
        </w:sectPr>
      </w:pPr>
    </w:p>
    <w:bookmarkStart w:id="44" w:name="page45"/>
    <w:bookmarkEnd w:id="44"/>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 that are used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5" w:name="page46"/>
    <w:bookmarkEnd w:id="45"/>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right="7120" w:firstLine="8"/>
        <w:spacing w:after="0" w:line="529" w:lineRule="auto"/>
        <w:tabs>
          <w:tab w:leader="none" w:pos="64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 The items shown under Level 3 are valued as follows:</w:t>
      </w: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in volatile markets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loan commitments with potential borrowers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the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Fair value is generally determined by obtaining an independent appraisal, which typically considers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properties and property condition.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properties with the funds required for estimated future policy benefits. Accordingly, in addition to an appraisal, the fair value determination will generally be weighed more heavily toward the rental analysis.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6" w:name="page47"/>
    <w:bookmarkEnd w:id="46"/>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Quoted 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Assets</w:t>
            </w:r>
          </w:p>
        </w:tc>
        <w:tc>
          <w:tcPr>
            <w:tcW w:w="1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390,441,720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389,291,982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1,149,738</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16,556,531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16,556,531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165,876,119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165,876,119</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2,451,338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2,451,338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11,327,440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11,327,440</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770,339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770,339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5,273,613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5,273,613</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3,677,291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3,677,291</w:t>
            </w:r>
          </w:p>
        </w:tc>
        <w:tc>
          <w:tcPr>
            <w:tcW w:w="80" w:type="dxa"/>
            <w:vAlign w:val="bottom"/>
            <w:shd w:val="clear" w:color="auto" w:fill="CCEEFF"/>
          </w:tcPr>
          <w:p>
            <w:pPr>
              <w:spacing w:after="0"/>
              <w:rPr>
                <w:sz w:val="19"/>
                <w:szCs w:val="19"/>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596,374,391</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33,157,584</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392,513,659</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170,703,148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(757,137)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(757,137)</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(757,137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(757,137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7" w:name="page48"/>
    <w:bookmarkEnd w:id="47"/>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Quoted 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366,546,129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365,396,203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131,181,148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2,351,369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2,351,369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769,662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5,348,089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80" w:type="dxa"/>
            <w:vAlign w:val="bottom"/>
            <w:shd w:val="clear" w:color="auto" w:fill="CCEEFF"/>
          </w:tcPr>
          <w:p>
            <w:pPr>
              <w:spacing w:after="0"/>
              <w:rPr>
                <w:sz w:val="19"/>
                <w:szCs w:val="19"/>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536,860,288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30,663,891</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368,517,234</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137,679,163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(3,034,879)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(3,034,879)</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8" w:name="page49"/>
    <w:bookmarkEnd w:id="48"/>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June 30, 2025,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7"/>
              </w:rPr>
              <w:t>Fair Value at</w:t>
            </w:r>
          </w:p>
        </w:tc>
        <w:tc>
          <w:tcPr>
            <w:tcW w:w="160" w:type="dxa"/>
            <w:vAlign w:val="bottom"/>
          </w:tcPr>
          <w:p>
            <w:pPr>
              <w:spacing w:after="0"/>
              <w:rPr>
                <w:sz w:val="20"/>
                <w:szCs w:val="2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20"/>
                <w:szCs w:val="20"/>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20"/>
                <w:szCs w:val="20"/>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0"/>
                <w:szCs w:val="20"/>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520"/>
              <w:spacing w:after="0" w:line="205" w:lineRule="exact"/>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191"/>
        </w:trPr>
        <w:tc>
          <w:tcPr>
            <w:tcW w:w="23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 unpaid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$ 165,876,119</w:t>
            </w:r>
          </w:p>
        </w:tc>
        <w:tc>
          <w:tcPr>
            <w:tcW w:w="1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1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2,920,154</w:t>
            </w:r>
          </w:p>
        </w:tc>
        <w:tc>
          <w:tcPr>
            <w:tcW w:w="1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1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 bps</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1,149,738</w:t>
            </w:r>
          </w:p>
        </w:tc>
        <w:tc>
          <w:tcPr>
            <w:tcW w:w="1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1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2024,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Fair Value at</w:t>
            </w:r>
          </w:p>
        </w:tc>
        <w:tc>
          <w:tcPr>
            <w:tcW w:w="16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20"/>
                <w:szCs w:val="20"/>
                <w:color w:val="auto"/>
              </w:rPr>
            </w:pPr>
          </w:p>
        </w:tc>
        <w:tc>
          <w:tcPr>
            <w:tcW w:w="25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0"/>
                <w:szCs w:val="20"/>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80"/>
              <w:spacing w:after="0" w:line="205" w:lineRule="exact"/>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Maximum</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Technique</w:t>
            </w:r>
          </w:p>
        </w:tc>
        <w:tc>
          <w:tcPr>
            <w:tcW w:w="2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Input(s)</w:t>
            </w:r>
          </w:p>
        </w:tc>
        <w:tc>
          <w:tcPr>
            <w:tcW w:w="1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191"/>
        </w:trPr>
        <w:tc>
          <w:tcPr>
            <w:tcW w:w="2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as a</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principal</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131,181,148</w:t>
            </w:r>
          </w:p>
        </w:tc>
        <w:tc>
          <w:tcPr>
            <w:tcW w:w="1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2,313,210</w:t>
            </w:r>
          </w:p>
        </w:tc>
        <w:tc>
          <w:tcPr>
            <w:tcW w:w="1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Pull-through rate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Initial-Value</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 bps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242 bps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 bps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1,149,926</w:t>
            </w:r>
          </w:p>
        </w:tc>
        <w:tc>
          <w:tcPr>
            <w:tcW w:w="1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100.16</w:t>
            </w:r>
          </w:p>
        </w:tc>
        <w:tc>
          <w:tcPr>
            <w:tcW w:w="0" w:type="dxa"/>
            <w:vAlign w:val="bottom"/>
          </w:tcPr>
          <w:p>
            <w:pPr>
              <w:spacing w:after="0"/>
              <w:rPr>
                <w:sz w:val="1"/>
                <w:szCs w:val="1"/>
                <w:color w:val="auto"/>
              </w:rPr>
            </w:pPr>
          </w:p>
        </w:tc>
      </w:tr>
      <w:tr>
        <w:trPr>
          <w:trHeight w:val="432"/>
        </w:trPr>
        <w:tc>
          <w:tcPr>
            <w:tcW w:w="2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47</w:t>
            </w: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9" w:right="339" w:bottom="1440" w:gutter="0" w:footer="0" w:header="0"/>
        </w:sectPr>
      </w:pPr>
    </w:p>
    <w:bookmarkStart w:id="49" w:name="page50"/>
    <w:bookmarkEnd w:id="49"/>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Net Loan</w:t>
            </w:r>
          </w:p>
        </w:tc>
        <w:tc>
          <w:tcPr>
            <w:tcW w:w="14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Loans Held for</w:t>
            </w: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34"/>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Sale</w:t>
            </w: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Available for Sale</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2,787,750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139,834,226</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1,150,304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616,896,709</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(603,595,597)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Transter to mortgage loans held for investment</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(828,063)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(380,000)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132,404(1)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13,948,844(1)</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(566)</w:t>
            </w:r>
          </w:p>
        </w:tc>
      </w:tr>
      <w:tr>
        <w:trPr>
          <w:trHeight w:val="223"/>
        </w:trPr>
        <w:tc>
          <w:tcPr>
            <w:tcW w:w="58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2,920,154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165,876,119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1,149,738</w:t>
            </w:r>
          </w:p>
        </w:tc>
        <w:tc>
          <w:tcPr>
            <w:tcW w:w="20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Net Loan</w:t>
            </w:r>
          </w:p>
        </w:tc>
        <w:tc>
          <w:tcPr>
            <w:tcW w:w="14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Loans Held for</w:t>
            </w: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34"/>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Sale</w:t>
            </w: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Available for Sale</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2,145,040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112,678,958</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1,232,187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60" w:type="dxa"/>
            <w:vAlign w:val="bottom"/>
          </w:tcPr>
          <w:p>
            <w:pPr>
              <w:spacing w:after="0"/>
              <w:rPr>
                <w:sz w:val="18"/>
                <w:szCs w:val="18"/>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624,218,401</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(599,685,654)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429,823(1)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12,984,711(1)</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5,282</w:t>
            </w:r>
          </w:p>
        </w:tc>
        <w:tc>
          <w:tcPr>
            <w:tcW w:w="200" w:type="dxa"/>
            <w:vAlign w:val="bottom"/>
          </w:tcPr>
          <w:p>
            <w:pPr>
              <w:spacing w:after="0"/>
              <w:rPr>
                <w:sz w:val="19"/>
                <w:szCs w:val="19"/>
                <w:color w:val="auto"/>
              </w:rPr>
            </w:pPr>
          </w:p>
        </w:tc>
      </w:tr>
      <w:tr>
        <w:trPr>
          <w:trHeight w:val="223"/>
        </w:trPr>
        <w:tc>
          <w:tcPr>
            <w:tcW w:w="58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2,574,863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150,196,416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1,237,469</w:t>
            </w:r>
          </w:p>
        </w:tc>
        <w:tc>
          <w:tcPr>
            <w:tcW w:w="20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0" w:name="page51"/>
    <w:bookmarkEnd w:id="50"/>
    <w:p>
      <w:pPr>
        <w:jc w:val="center"/>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six month period ended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5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Net Loan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34"/>
        </w:trPr>
        <w:tc>
          <w:tcPr>
            <w:tcW w:w="5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Commitments</w:t>
            </w:r>
          </w:p>
        </w:tc>
        <w:tc>
          <w:tcPr>
            <w:tcW w:w="1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Available for Sale</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2,313,210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1,134,783,086</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(1,124,978,173)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(828,063)</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(380,000)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606,944(1)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26,098,121(1)</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50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2,920,154</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165,876,119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1,149,738</w:t>
            </w:r>
          </w:p>
        </w:tc>
        <w:tc>
          <w:tcPr>
            <w:tcW w:w="200" w:type="dxa"/>
            <w:vAlign w:val="bottom"/>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six month period ended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Net Loan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34"/>
        </w:trPr>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Commitments</w:t>
            </w:r>
          </w:p>
        </w:tc>
        <w:tc>
          <w:tcPr>
            <w:tcW w:w="1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Available for Sale</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1,089,823,515</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(1,085,736,592)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(1,867,552)</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(858,977)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991,601(1)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22,286,832(1)</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(1,187)</w:t>
            </w:r>
          </w:p>
        </w:tc>
      </w:tr>
      <w:tr>
        <w:trPr>
          <w:trHeight w:val="223"/>
        </w:trPr>
        <w:tc>
          <w:tcPr>
            <w:tcW w:w="46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2,574,863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150,196,416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1,237,469</w:t>
            </w:r>
          </w:p>
        </w:tc>
        <w:tc>
          <w:tcPr>
            <w:tcW w:w="200" w:type="dxa"/>
            <w:vAlign w:val="bottom"/>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1" w:name="page52"/>
    <w:bookmarkEnd w:id="51"/>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June 30, 2025 or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June 30, 2025 and December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Carrying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90,130,844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91,001,081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91,001,081</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164,679,678</w:t>
            </w:r>
          </w:p>
        </w:tc>
        <w:tc>
          <w:tcPr>
            <w:tcW w:w="86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164,679,678</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164,679,678</w:t>
            </w:r>
          </w:p>
        </w:tc>
      </w:tr>
      <w:tr>
        <w:trPr>
          <w:trHeight w:val="23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69,593,474</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71,148,434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71,148,434</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324,403,996</w:t>
            </w:r>
          </w:p>
        </w:tc>
        <w:tc>
          <w:tcPr>
            <w:tcW w:w="320" w:type="dxa"/>
            <w:vAlign w:val="bottom"/>
          </w:tcPr>
          <w:p>
            <w:pPr>
              <w:spacing w:after="0"/>
              <w:rPr>
                <w:sz w:val="18"/>
                <w:szCs w:val="18"/>
                <w:color w:val="auto"/>
              </w:rPr>
            </w:pPr>
          </w:p>
        </w:tc>
        <w:tc>
          <w:tcPr>
            <w:tcW w:w="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326,829,193</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326,829,193</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14,208,030</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14,208,030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14,208,030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43,680,960</w:t>
            </w:r>
          </w:p>
        </w:tc>
        <w:tc>
          <w:tcPr>
            <w:tcW w:w="86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43,680,960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43,680,960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1,143,987</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1,143,987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1,143,987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1,723,637</w:t>
            </w:r>
          </w:p>
        </w:tc>
        <w:tc>
          <w:tcPr>
            <w:tcW w:w="86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1,723,637</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1,723,637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2,714,310</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4,160,130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4,160,130</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(122,931,941)</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(109,365,273)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(109,365,273)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(36,350,373)</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(36,396,788)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(36,396,788)</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(105,422,065)</w:t>
            </w:r>
          </w:p>
        </w:tc>
        <w:tc>
          <w:tcPr>
            <w:tcW w:w="860" w:type="dxa"/>
            <w:vAlign w:val="bottom"/>
          </w:tcPr>
          <w:p>
            <w:pPr>
              <w:spacing w:after="0"/>
              <w:rPr>
                <w:sz w:val="20"/>
                <w:szCs w:val="20"/>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(104,473,330)</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(104,473,330)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2" w:name="page53"/>
    <w:bookmarkEnd w:id="52"/>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Carrying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89,780,350</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90,168,328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90,168,328</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150,211,240</w:t>
            </w:r>
          </w:p>
        </w:tc>
        <w:tc>
          <w:tcPr>
            <w:tcW w:w="8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150,211,240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150,211,240</w:t>
            </w: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61,755,768</w:t>
            </w:r>
          </w:p>
        </w:tc>
        <w:tc>
          <w:tcPr>
            <w:tcW w:w="8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60,864,775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60,864,775</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320" w:type="dxa"/>
            <w:vAlign w:val="bottom"/>
          </w:tcPr>
          <w:p>
            <w:pPr>
              <w:spacing w:after="0"/>
              <w:rPr>
                <w:sz w:val="18"/>
                <w:szCs w:val="18"/>
                <w:color w:val="auto"/>
              </w:rPr>
            </w:pPr>
          </w:p>
        </w:tc>
        <w:tc>
          <w:tcPr>
            <w:tcW w:w="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8"/>
                <w:szCs w:val="18"/>
                <w:color w:val="auto"/>
              </w:rPr>
            </w:pPr>
          </w:p>
        </w:tc>
        <w:tc>
          <w:tcPr>
            <w:tcW w:w="84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14,019,248</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14,019,248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46,956,932</w:t>
            </w:r>
          </w:p>
        </w:tc>
        <w:tc>
          <w:tcPr>
            <w:tcW w:w="8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46,956,932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46,956,932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983,834</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983,834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2,141,464</w:t>
            </w:r>
          </w:p>
        </w:tc>
        <w:tc>
          <w:tcPr>
            <w:tcW w:w="8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2,141,464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2,141,464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2,939,878</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4,552,316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4,552,316</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(106,740,104)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(90,455,678)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(90,455,678)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(37,066,043)</w:t>
            </w: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(37,626,593)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(37,626,593)</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(105,716,087)</w:t>
            </w:r>
          </w:p>
        </w:tc>
        <w:tc>
          <w:tcPr>
            <w:tcW w:w="86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(104,611,544)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(104,611,544)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primarily have short term maturities.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3" w:name="page54"/>
    <w:bookmarkEnd w:id="53"/>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primarily have short term maturities, accordingly, the carrying amounts reported in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 for these financial instruments approximate their fair values.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4" w:name="page55"/>
    <w:bookmarkEnd w:id="54"/>
    <w:p>
      <w:pPr>
        <w:jc w:val="center"/>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210" w:lineRule="exact"/>
        <w:rPr>
          <w:sz w:val="20"/>
          <w:szCs w:val="20"/>
          <w:color w:val="auto"/>
        </w:rPr>
      </w:pPr>
    </w:p>
    <w:p>
      <w:pPr>
        <w:ind w:right="8020" w:firstLine="8"/>
        <w:spacing w:after="0" w:line="500" w:lineRule="auto"/>
        <w:tabs>
          <w:tab w:leader="none" w:pos="6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Balance Sheet</w:t>
            </w: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22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180" w:type="dxa"/>
            <w:vAlign w:val="bottom"/>
          </w:tcPr>
          <w:p>
            <w:pPr>
              <w:spacing w:after="0"/>
              <w:rPr>
                <w:sz w:val="16"/>
                <w:szCs w:val="16"/>
                <w:color w:val="auto"/>
              </w:rPr>
            </w:pPr>
          </w:p>
        </w:tc>
        <w:tc>
          <w:tcPr>
            <w:tcW w:w="9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Liability Fair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10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Liability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Location</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Value</w:t>
            </w:r>
          </w:p>
        </w:tc>
        <w:tc>
          <w:tcPr>
            <w:tcW w:w="16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8"/>
        </w:trPr>
        <w:tc>
          <w:tcPr>
            <w:tcW w:w="1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w:t>
            </w:r>
          </w:p>
        </w:tc>
        <w:tc>
          <w:tcPr>
            <w:tcW w:w="1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as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17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Other assets and</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$ 218,215,543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3,677,291</w:t>
            </w:r>
          </w:p>
        </w:tc>
        <w:tc>
          <w:tcPr>
            <w:tcW w:w="3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757,137</w:t>
            </w:r>
          </w:p>
        </w:tc>
        <w:tc>
          <w:tcPr>
            <w:tcW w:w="12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210,597,657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5,348,089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3,034,879</w:t>
            </w:r>
          </w:p>
        </w:tc>
        <w:tc>
          <w:tcPr>
            <w:tcW w:w="0" w:type="dxa"/>
            <w:vAlign w:val="bottom"/>
          </w:tcPr>
          <w:p>
            <w:pPr>
              <w:spacing w:after="0"/>
              <w:rPr>
                <w:sz w:val="1"/>
                <w:szCs w:val="1"/>
                <w:color w:val="auto"/>
              </w:rPr>
            </w:pPr>
          </w:p>
        </w:tc>
      </w:tr>
      <w:tr>
        <w:trPr>
          <w:trHeight w:val="223"/>
        </w:trPr>
        <w:tc>
          <w:tcPr>
            <w:tcW w:w="1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$ 218,215,543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3,677,291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757,137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210,597,657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5,348,089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3,034,879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Net Amount Gain</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rPr>
              <w:t>Net Amount Gain</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1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Derivative</w:t>
            </w:r>
          </w:p>
        </w:tc>
        <w:tc>
          <w:tcPr>
            <w:tcW w:w="24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Classification</w:t>
            </w:r>
          </w:p>
        </w:tc>
        <w:tc>
          <w:tcPr>
            <w:tcW w:w="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3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132,404</w:t>
            </w:r>
          </w:p>
        </w:tc>
        <w:tc>
          <w:tcPr>
            <w:tcW w:w="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429,823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606,944</w:t>
            </w: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991,601</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1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9" w:right="339" w:bottom="1440" w:gutter="0" w:footer="0" w:header="0"/>
        </w:sectPr>
      </w:pPr>
    </w:p>
    <w:bookmarkStart w:id="55" w:name="page56"/>
    <w:bookmarkEnd w:id="55"/>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83"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subsidiary SecurityNational Mortgage, has two lines of credit for the purpose of funding mortgage loans.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lines of credit, with U.S. Bank, allows SecurityNational Mortgage to borrow up to $15,000,000. The relevant agreement contemplates interest at 2.10% plus the greater of (i) 0%, and (ii) the one-month forward-looking term rate based on SOFR on drawn amounts and matures on July 17, 2026. The Company is required to comply with covenants for adjusted tangible net worth, unrestricted cash balance, and a maximum pre-tax loss of $2.5 million for the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other line of credit, with Western Alliance Bank, allows SecurityNational Mortgage to borrow up to $25,000,000. The relevant agreement contemplates interest at the 1-Month SOFR rate plus 2.0% on drawn amounts and matures on August 27, 2025. The Company is required to comply with covenants for adjusted tangible net worth, unrestricted cash balance, and a maximum pre-tax loss of $2.5 million for the quarter.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for the U.S. Bank warehouse line of credit includes a cross-default provision where certain events of default under other of SecurityNational Mortgage’s obligations constitute events of default under the warehouse lines of credit. As of June 30, 2025, SecurityNational Mortgage was not in compliance with the net income covenant of Western Alliance Bank’s warehouse line of credit. SecurityNational Mortgage is in the process of receiving waivers. In the unlikely event the Company is required to repay the outstanding advances of approximately $12,751,822 on the warehouse lines of credit, the Company has sufficient cash to do so.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6" w:name="page57"/>
    <w:bookmarkEnd w:id="56"/>
    <w:p>
      <w:pPr>
        <w:jc w:val="center"/>
        <w:ind w:left="340" w:right="2100"/>
        <w:spacing w:after="0" w:line="24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June 30, 2025 (Unaudited)</w:t>
      </w:r>
    </w:p>
    <w:p>
      <w:pPr>
        <w:spacing w:after="0" w:line="183"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Revolving Lines of Credit and Bank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debt covenants on its revolving lines of credit and is required to comply with minimum operating cash flow ratios and minimum net worth requirement for each of its business segments. The Company also has debt covenants for one of its loans on real estate requiring a minimum consolidated operating cash flow ratio, minimum liquidity, and consolidated net worth. In addition to these financial debt covenants, the Company is required to provide segment specific financial statements and building specific financial statements on all bank loans. As of June 30, 2025, the Company was in compliance with all these debt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subsidiaries.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legal actions arising from the normal conduct of business. The Company believes that none of the actions, if adversely determined, will have a material effect on the Company’s financial position or results of operations. Based on management’s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7" w:name="page58"/>
    <w:bookmarkEnd w:id="5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its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condensed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2,939,878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3,461,146</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90,370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2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(611,638)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 temporary</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 temporary</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2,714,310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2,939,878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4,160,130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4,552,316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June 30, 2025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MSR</w:t>
            </w:r>
          </w:p>
        </w:tc>
      </w:tr>
      <w:tr>
        <w:trPr>
          <w:trHeight w:val="234"/>
        </w:trPr>
        <w:tc>
          <w:tcPr>
            <w:tcW w:w="45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262,128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238,072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212,299</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190,174</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1,520,990</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2,714,310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24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498,606</w:t>
            </w:r>
          </w:p>
        </w:tc>
        <w:tc>
          <w:tcPr>
            <w:tcW w:w="80" w:type="dxa"/>
            <w:vAlign w:val="bottom"/>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12,231</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53,004</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31,848</w:t>
            </w:r>
          </w:p>
        </w:tc>
        <w:tc>
          <w:tcPr>
            <w:tcW w:w="2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76,212</w:t>
            </w:r>
          </w:p>
        </w:tc>
      </w:tr>
      <w:tr>
        <w:trPr>
          <w:trHeight w:val="223"/>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486,849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2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 2025</w:t>
            </w:r>
          </w:p>
        </w:tc>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373,567,275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385,134,774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Prepayment</w:t>
            </w: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Average</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Discount</w:t>
            </w:r>
          </w:p>
        </w:tc>
        <w:tc>
          <w:tcPr>
            <w:tcW w:w="33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Speeds</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Life (Years)</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Rate</w:t>
            </w:r>
          </w:p>
        </w:tc>
        <w:tc>
          <w:tcPr>
            <w:tcW w:w="3380" w:type="dxa"/>
            <w:vAlign w:val="bottom"/>
          </w:tcPr>
          <w:p>
            <w:pPr>
              <w:spacing w:after="0"/>
              <w:rPr>
                <w:sz w:val="20"/>
                <w:szCs w:val="20"/>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7.77</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33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8.28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3380" w:type="dxa"/>
            <w:vAlign w:val="bottom"/>
          </w:tcPr>
          <w:p>
            <w:pPr>
              <w:spacing w:after="0"/>
              <w:rPr>
                <w:sz w:val="20"/>
                <w:szCs w:val="20"/>
                <w:color w:val="auto"/>
              </w:rPr>
            </w:pPr>
          </w:p>
        </w:tc>
      </w:tr>
      <w:tr>
        <w:trPr>
          <w:trHeight w:val="414"/>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9" w:name="page60"/>
    <w:bookmarkEnd w:id="5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 periods ended June 30, 2025 and 2024 was 22.0% and 22.6%, respectively, which resulted in a provision for income taxes of $1,830,264 and $2,118,044, respectively, and for the six month periods ended June 30, 2025 and 2024 was 22.0% and 22.4%, respectively, which resulted in a provision for income taxes of $3,062,866 and $4,262,833, respectively. The Company’s effective tax rate is higher than the U.S. federal statutory rate of 21% due to, among other factors, state taxes as offset by certain state income tax benefits, along with certain permanent tax adjustments such as meals and entertainment and stock-based compensation. The decrease in the effective tax rate when compared to the prior year was primarily due to the Company’s decreased state income tax provision.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(June 30, 2025)</w:t>
            </w:r>
          </w:p>
        </w:tc>
        <w:tc>
          <w:tcPr>
            <w:tcW w:w="120" w:type="dxa"/>
            <w:vAlign w:val="bottom"/>
          </w:tcPr>
          <w:p>
            <w:pPr>
              <w:spacing w:after="0"/>
              <w:rPr>
                <w:sz w:val="19"/>
                <w:szCs w:val="19"/>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7,043,636</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21,589,242</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(December 31, 2024)</w:t>
            </w:r>
          </w:p>
        </w:tc>
        <w:tc>
          <w:tcPr>
            <w:tcW w:w="120" w:type="dxa"/>
            <w:vAlign w:val="bottom"/>
          </w:tcPr>
          <w:p>
            <w:pPr>
              <w:spacing w:after="0"/>
              <w:rPr>
                <w:sz w:val="19"/>
                <w:szCs w:val="19"/>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7,095,589</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20,168,405</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1020" w:hanging="1012"/>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Receivables, net on the condensed consolidated balance sheets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 periods ended June 30, 2025 and 2024 was $1,164,177 and $1,429,381, respectively, and for the six month periods ended June 30, 2025 and 2024 was $2,323,389 and $2,935,495,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189"/>
        </w:trPr>
        <w:tc>
          <w:tcPr>
            <w:tcW w:w="32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420" w:type="dxa"/>
            <w:vAlign w:val="bottom"/>
            <w:tcBorders>
              <w:top w:val="single" w:sz="8" w:color="CCEEFF"/>
            </w:tcBorders>
            <w:gridSpan w:val="2"/>
          </w:tcPr>
          <w:p>
            <w:pPr>
              <w:spacing w:after="0"/>
              <w:rPr>
                <w:sz w:val="18"/>
                <w:szCs w:val="18"/>
                <w:color w:val="auto"/>
              </w:rPr>
            </w:pPr>
          </w:p>
        </w:tc>
        <w:tc>
          <w:tcPr>
            <w:tcW w:w="860" w:type="dxa"/>
            <w:vAlign w:val="bottom"/>
            <w:tcBorders>
              <w:top w:val="single" w:sz="8" w:color="CCEEFF"/>
            </w:tcBorders>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5,083,789</w:t>
            </w:r>
          </w:p>
        </w:tc>
        <w:tc>
          <w:tcPr>
            <w:tcW w:w="36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4,864,380</w:t>
            </w:r>
          </w:p>
        </w:tc>
        <w:tc>
          <w:tcPr>
            <w:tcW w:w="440" w:type="dxa"/>
            <w:vAlign w:val="bottom"/>
            <w:tcBorders>
              <w:top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10,800,066</w:t>
            </w:r>
          </w:p>
        </w:tc>
        <w:tc>
          <w:tcPr>
            <w:tcW w:w="440" w:type="dxa"/>
            <w:vAlign w:val="bottom"/>
            <w:tcBorders>
              <w:top w:val="single" w:sz="8" w:color="CCEEFF"/>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10,274,680</w:t>
            </w:r>
          </w:p>
        </w:tc>
        <w:tc>
          <w:tcPr>
            <w:tcW w:w="1140" w:type="dxa"/>
            <w:vAlign w:val="bottom"/>
          </w:tcPr>
          <w:p>
            <w:pPr>
              <w:spacing w:after="0"/>
              <w:rPr>
                <w:sz w:val="18"/>
                <w:szCs w:val="18"/>
                <w:color w:val="auto"/>
              </w:rPr>
            </w:pPr>
          </w:p>
        </w:tc>
      </w:tr>
      <w:tr>
        <w:trPr>
          <w:trHeight w:val="229"/>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2,173,928</w:t>
            </w: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2,904,567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3,757,872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4,442,758</w:t>
            </w:r>
          </w:p>
        </w:tc>
        <w:tc>
          <w:tcPr>
            <w:tcW w:w="1140" w:type="dxa"/>
            <w:vAlign w:val="bottom"/>
          </w:tcPr>
          <w:p>
            <w:pPr>
              <w:spacing w:after="0"/>
              <w:rPr>
                <w:sz w:val="19"/>
                <w:szCs w:val="19"/>
                <w:color w:val="auto"/>
              </w:rPr>
            </w:pP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7,257,717</w:t>
            </w:r>
          </w:p>
        </w:tc>
        <w:tc>
          <w:tcPr>
            <w:tcW w:w="3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7,768,947</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14,557,938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14,717,438</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r>
      <w:tr>
        <w:trPr>
          <w:trHeight w:val="196"/>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8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4,843,082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5,032,430</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8,997,629</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9,222,652</w:t>
            </w:r>
          </w:p>
        </w:tc>
        <w:tc>
          <w:tcPr>
            <w:tcW w:w="1140" w:type="dxa"/>
            <w:vAlign w:val="bottom"/>
          </w:tcPr>
          <w:p>
            <w:pPr>
              <w:spacing w:after="0"/>
              <w:rPr>
                <w:sz w:val="18"/>
                <w:szCs w:val="18"/>
                <w:color w:val="auto"/>
              </w:rPr>
            </w:pPr>
          </w:p>
        </w:tc>
      </w:t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2,414,635</w:t>
            </w: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2,736,517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5,560,309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5,494,786</w:t>
            </w:r>
          </w:p>
        </w:tc>
        <w:tc>
          <w:tcPr>
            <w:tcW w:w="1140" w:type="dxa"/>
            <w:vAlign w:val="bottom"/>
          </w:tcPr>
          <w:p>
            <w:pPr>
              <w:spacing w:after="0"/>
              <w:rPr>
                <w:sz w:val="19"/>
                <w:szCs w:val="19"/>
                <w:color w:val="auto"/>
              </w:rPr>
            </w:pP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7,257,717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7,768,947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14,557,938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14,717,438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1" w:name="page62"/>
    <w:bookmarkEnd w:id="61"/>
    <w:p>
      <w:pPr>
        <w:jc w:val="center"/>
        <w:ind w:left="2580" w:right="4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June 30,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7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4,094,413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4,028,881</w:t>
            </w:r>
          </w:p>
        </w:tc>
        <w:tc>
          <w:tcPr>
            <w:tcW w:w="40" w:type="dxa"/>
            <w:vAlign w:val="bottom"/>
          </w:tcPr>
          <w:p>
            <w:pPr>
              <w:spacing w:after="0"/>
              <w:rPr>
                <w:sz w:val="18"/>
                <w:szCs w:val="18"/>
                <w:color w:val="auto"/>
              </w:rPr>
            </w:pPr>
          </w:p>
        </w:tc>
      </w:tr>
      <w:tr>
        <w:trPr>
          <w:trHeight w:val="229"/>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5,821,672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6,412,804</w:t>
            </w:r>
          </w:p>
        </w:tc>
        <w:tc>
          <w:tcPr>
            <w:tcW w:w="40" w:type="dxa"/>
            <w:vAlign w:val="bottom"/>
            <w:shd w:val="clear" w:color="auto" w:fill="CCEEFF"/>
          </w:tcPr>
          <w:p>
            <w:pPr>
              <w:spacing w:after="0"/>
              <w:rPr>
                <w:sz w:val="19"/>
                <w:szCs w:val="19"/>
                <w:color w:val="auto"/>
              </w:rPr>
            </w:pPr>
          </w:p>
        </w:tc>
      </w:tr>
      <w:tr>
        <w:trPr>
          <w:trHeight w:val="210"/>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16,959,721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17,537,274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(1,491,043)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(1,678,531)</w:t>
            </w:r>
          </w:p>
        </w:tc>
      </w:tr>
      <w:tr>
        <w:trPr>
          <w:trHeight w:val="223"/>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1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15,468,678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15,858,743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an allowance for credit losses for its receivables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0"/>
        </w:trPr>
        <w:tc>
          <w:tcPr>
            <w:tcW w:w="7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2025</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(104,209)</w:t>
            </w:r>
          </w:p>
        </w:tc>
      </w:tr>
      <w:tr>
        <w:trPr>
          <w:trHeight w:val="229"/>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(36,847)</w:t>
            </w:r>
          </w:p>
        </w:tc>
      </w:tr>
      <w:tr>
        <w:trPr>
          <w:trHeight w:val="263"/>
        </w:trPr>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1,491,043</w:t>
            </w:r>
          </w:p>
        </w:tc>
        <w:tc>
          <w:tcPr>
            <w:tcW w:w="80" w:type="dxa"/>
            <w:vAlign w:val="bottom"/>
            <w:tcBorders>
              <w:bottom w:val="single" w:sz="8" w:color="CCEEFF"/>
            </w:tcBorders>
          </w:tcPr>
          <w:p>
            <w:pPr>
              <w:spacing w:after="0"/>
              <w:rPr>
                <w:sz w:val="22"/>
                <w:szCs w:val="22"/>
                <w:color w:val="auto"/>
              </w:rPr>
            </w:pPr>
          </w:p>
        </w:tc>
      </w:tr>
      <w:tr>
        <w:trPr>
          <w:trHeight w:val="196"/>
        </w:trPr>
        <w:tc>
          <w:tcPr>
            <w:tcW w:w="28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 - March 31, 2024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1,755,553</w:t>
            </w: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31,494</w:t>
            </w:r>
          </w:p>
        </w:tc>
      </w:tr>
      <w:tr>
        <w:trPr>
          <w:trHeight w:val="230"/>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(16,136)</w:t>
            </w:r>
          </w:p>
        </w:tc>
      </w:tr>
      <w:tr>
        <w:trPr>
          <w:trHeight w:val="223"/>
        </w:trPr>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3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Included in other expenses on the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8"/>
        </w:trPr>
        <w:tc>
          <w:tcPr>
            <w:tcW w:w="28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Six Months Ended</w:t>
            </w:r>
          </w:p>
        </w:tc>
      </w:tr>
      <w:tr>
        <w:trPr>
          <w:trHeight w:val="210"/>
        </w:trPr>
        <w:tc>
          <w:tcPr>
            <w:tcW w:w="7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(88,067)</w:t>
            </w:r>
          </w:p>
        </w:tc>
      </w:tr>
      <w:tr>
        <w:trPr>
          <w:trHeight w:val="230"/>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(99,421)</w:t>
            </w:r>
          </w:p>
        </w:tc>
      </w:tr>
      <w:tr>
        <w:trPr>
          <w:trHeight w:val="263"/>
        </w:trPr>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 - June 30, 2025</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1,491,043</w:t>
            </w:r>
          </w:p>
        </w:tc>
        <w:tc>
          <w:tcPr>
            <w:tcW w:w="80" w:type="dxa"/>
            <w:vAlign w:val="bottom"/>
            <w:tcBorders>
              <w:bottom w:val="single" w:sz="8" w:color="CCEEFF"/>
            </w:tcBorders>
          </w:tcPr>
          <w:p>
            <w:pPr>
              <w:spacing w:after="0"/>
              <w:rPr>
                <w:sz w:val="22"/>
                <w:szCs w:val="22"/>
                <w:color w:val="auto"/>
              </w:rPr>
            </w:pPr>
          </w:p>
        </w:tc>
      </w:tr>
      <w:tr>
        <w:trPr>
          <w:trHeight w:val="197"/>
        </w:trPr>
        <w:tc>
          <w:tcPr>
            <w:tcW w:w="28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1,897,887</w:t>
            </w: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(87,003)</w:t>
            </w:r>
          </w:p>
        </w:tc>
      </w:tr>
      <w:tr>
        <w:trPr>
          <w:trHeight w:val="229"/>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(39,973)</w:t>
            </w:r>
          </w:p>
        </w:tc>
      </w:tr>
      <w:tr>
        <w:trPr>
          <w:trHeight w:val="223"/>
        </w:trPr>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other expenses on the condensed consolidated statements of earnings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62" w:name="page63"/>
    <w:bookmarkEnd w:id="6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June 30,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Gross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Amortized Cost</w:t>
            </w:r>
          </w:p>
        </w:tc>
        <w:tc>
          <w:tcPr>
            <w:tcW w:w="34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6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652,304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650,938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123,331</w:t>
            </w:r>
          </w:p>
        </w:tc>
        <w:tc>
          <w:tcPr>
            <w:tcW w:w="3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119,401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760" w:type="dxa"/>
            <w:vAlign w:val="bottom"/>
            <w:tcBorders>
              <w:top w:val="single" w:sz="8" w:color="CCEEFF"/>
            </w:tcBorders>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775,635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770,339</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4,026,314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1,476,598</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(229,299)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5,273,613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4,026,314</w:t>
            </w:r>
          </w:p>
        </w:tc>
        <w:tc>
          <w:tcPr>
            <w:tcW w:w="3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1,476,598</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(229,299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5,273,613</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1,727,091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(3,454)</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1,723,637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1,106,769</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405,205</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3,078</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9,282,641</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(5,788,630)</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3,494,011</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3" w:name="page64"/>
    <w:bookmarkEnd w:id="6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Gross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Amortized Cost</w:t>
            </w:r>
          </w:p>
        </w:tc>
        <w:tc>
          <w:tcPr>
            <w:tcW w:w="34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651,428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649,418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125,194</w:t>
            </w:r>
          </w:p>
        </w:tc>
        <w:tc>
          <w:tcPr>
            <w:tcW w:w="3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760" w:type="dxa"/>
            <w:vAlign w:val="bottom"/>
            <w:tcBorders>
              <w:top w:val="single" w:sz="8" w:color="CCEEFF"/>
            </w:tcBorders>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776,622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769,662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3,874,522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1,271,529</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(226,007)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4,920,044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3,874,522</w:t>
            </w:r>
          </w:p>
        </w:tc>
        <w:tc>
          <w:tcPr>
            <w:tcW w:w="3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1,271,529</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(226,007</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202,600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1,939,269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1,002,396</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2,937</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8,836,503</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(5,642,693)</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3,193,810</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right="3740" w:firstLine="8"/>
        <w:spacing w:after="0" w:line="500" w:lineRule="auto"/>
        <w:tabs>
          <w:tab w:leader="none" w:pos="64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June 30, 2025 and December 31, 2024.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June 30, 2025</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Losses for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Losses for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More than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Total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Twelve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r>
      <w:tr>
        <w:trPr>
          <w:trHeight w:val="858"/>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1,682</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500,140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1,682</w:t>
            </w: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500,140</w:t>
            </w:r>
          </w:p>
        </w:tc>
      </w:tr>
      <w:tr>
        <w:trPr>
          <w:trHeight w:val="44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3,930</w:t>
            </w:r>
          </w:p>
        </w:tc>
        <w:tc>
          <w:tcPr>
            <w:tcW w:w="2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119,401</w:t>
            </w:r>
          </w:p>
        </w:tc>
        <w:tc>
          <w:tcPr>
            <w:tcW w:w="1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119,401</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119,401</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619,541</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-1019810</wp:posOffset>
            </wp:positionV>
            <wp:extent cx="641223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-462280</wp:posOffset>
            </wp:positionV>
            <wp:extent cx="6412230" cy="283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28321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20" w:space="620"/>
            <w:col w:w="82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2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649,419</w:t>
            </w:r>
          </w:p>
        </w:tc>
        <w:tc>
          <w:tcPr>
            <w:tcW w:w="6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2,010</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649,419</w:t>
            </w: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4,950</w:t>
            </w:r>
          </w:p>
        </w:tc>
        <w:tc>
          <w:tcPr>
            <w:tcW w:w="2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120,243</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120,243</w:t>
            </w:r>
          </w:p>
        </w:tc>
      </w:tr>
      <w:tr>
        <w:trPr>
          <w:trHeight w:val="223"/>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three securities with fair values aggregating 99.1% of the aggregate amortized cost as of June 30, 2025. Relevant holdings were comprised of four securities with fair values aggregating 99.1% of aggregate amortized cost as of December 31, 2024. No credit losses have been recognized for the three and six month periods ended June 30, 2025 and 2024, since the unrealized losses are primarily the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June 30, 2025,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9"/>
                <w:szCs w:val="19"/>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1"/>
        </w:trPr>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501,823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500,139</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221,939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218,960</w:t>
            </w:r>
          </w:p>
        </w:tc>
      </w:tr>
      <w:tr>
        <w:trPr>
          <w:trHeight w:val="230"/>
        </w:trPr>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51,240</w:t>
            </w:r>
          </w:p>
        </w:tc>
      </w:tr>
      <w:tr>
        <w:trPr>
          <w:trHeight w:val="234"/>
        </w:trPr>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770,339</w:t>
            </w:r>
          </w:p>
        </w:tc>
        <w:tc>
          <w:tcPr>
            <w:tcW w:w="20" w:type="dxa"/>
            <w:vAlign w:val="bottom"/>
            <w:tcBorders>
              <w:top w:val="single" w:sz="8" w:color="auto"/>
            </w:tcBorders>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-1019175</wp:posOffset>
            </wp:positionV>
            <wp:extent cx="427736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77360" cy="1460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-736600</wp:posOffset>
            </wp:positionV>
            <wp:extent cx="42773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-454025</wp:posOffset>
            </wp:positionV>
            <wp:extent cx="427736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77360" cy="16319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480" w:space="720"/>
            <w:col w:w="7040"/>
          </w:cols>
          <w:pgMar w:left="320" w:top="688" w:right="339" w:bottom="1440" w:gutter="0" w:footer="0" w:header="0"/>
          <w:type w:val="continuous"/>
        </w:sectPr>
      </w:pPr>
    </w:p>
    <w:bookmarkStart w:id="65" w:name="page66"/>
    <w:bookmarkEnd w:id="6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restricted cash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June 30,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Gross 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54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1,926,996</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1,926,375</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387,046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384,030</w:t>
            </w:r>
          </w:p>
        </w:tc>
      </w:tr>
      <w:tr>
        <w:trPr>
          <w:trHeight w:val="23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143,321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140,933</w:t>
            </w:r>
          </w:p>
        </w:tc>
      </w:tr>
      <w:tr>
        <w:trPr>
          <w:trHeight w:val="263"/>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2,457,363</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2,451,338</w:t>
            </w:r>
          </w:p>
        </w:tc>
        <w:tc>
          <w:tcPr>
            <w:tcW w:w="100" w:type="dxa"/>
            <w:vAlign w:val="bottom"/>
            <w:tcBorders>
              <w:bottom w:val="single" w:sz="8" w:color="CCEEFF"/>
            </w:tcBorders>
          </w:tcPr>
          <w:p>
            <w:pPr>
              <w:spacing w:after="0"/>
              <w:rPr>
                <w:sz w:val="22"/>
                <w:szCs w:val="22"/>
                <w:color w:val="auto"/>
              </w:rPr>
            </w:pPr>
          </w:p>
        </w:tc>
      </w:tr>
      <w:tr>
        <w:trPr>
          <w:trHeight w:val="197"/>
        </w:trPr>
        <w:tc>
          <w:tcPr>
            <w:tcW w:w="4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9,601,907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2,121,588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(396,055)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11,327,440</w:t>
            </w:r>
          </w:p>
        </w:tc>
      </w:tr>
      <w:tr>
        <w:trPr>
          <w:trHeight w:val="223"/>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9,601,907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2,121,588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(396,055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1,146,280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1,143,987</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4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1,850,936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4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12,680,488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4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29,461,821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5540" w:right="3860" w:hanging="5532"/>
        <w:spacing w:after="0" w:line="532" w:lineRule="auto"/>
        <w:tabs>
          <w:tab w:leader="none" w:pos="33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$11,520,474 for the life insurance and mortgage segments.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right="3740" w:firstLine="8"/>
        <w:spacing w:after="0" w:line="500" w:lineRule="auto"/>
        <w:tabs>
          <w:tab w:leader="none" w:pos="6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Restricted assets as of December 31, 2024,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Gross 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54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8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1,741,029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1,741,774</w:t>
            </w: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467,174</w:t>
            </w:r>
          </w:p>
        </w:tc>
      </w:tr>
      <w:tr>
        <w:trPr>
          <w:trHeight w:val="230"/>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144,616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142,421</w:t>
            </w:r>
          </w:p>
        </w:tc>
      </w:tr>
      <w:tr>
        <w:trPr>
          <w:trHeight w:val="263"/>
        </w:trPr>
        <w:tc>
          <w:tcPr>
            <w:tcW w:w="4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2,356,862</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2,351,369</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8,547,709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1,914,309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(489,852)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9,972,166</w:t>
            </w:r>
          </w:p>
        </w:tc>
      </w:tr>
      <w:tr>
        <w:trPr>
          <w:trHeight w:val="223"/>
        </w:trPr>
        <w:tc>
          <w:tcPr>
            <w:tcW w:w="4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8,547,709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1,914,309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985,806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1,939,269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8,553,803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23,806,836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5540" w:right="3940" w:hanging="5532"/>
        <w:spacing w:after="0" w:line="532" w:lineRule="auto"/>
        <w:tabs>
          <w:tab w:leader="none" w:pos="3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$7,657,958 for the life insurance and mortgage segments.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right="3740" w:firstLine="8"/>
        <w:spacing w:after="0" w:line="500" w:lineRule="auto"/>
        <w:tabs>
          <w:tab w:leader="none" w:pos="6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June 30, 2025 and December 31, 2024.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June 30, 2025</w:t>
      </w:r>
    </w:p>
    <w:p>
      <w:pPr>
        <w:spacing w:after="0" w:line="2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Corporate securities including public utilities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Losses for</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More than</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r>
      <w:tr>
        <w:trPr>
          <w:trHeight w:val="858"/>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929,246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929,246</w:t>
            </w:r>
          </w:p>
        </w:tc>
      </w:tr>
      <w:tr>
        <w:trPr>
          <w:trHeight w:val="43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233,740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2,999</w:t>
            </w:r>
          </w:p>
        </w:tc>
        <w:tc>
          <w:tcPr>
            <w:tcW w:w="24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25,208</w:t>
            </w:r>
          </w:p>
        </w:tc>
        <w:tc>
          <w:tcPr>
            <w:tcW w:w="1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3,098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258,948</w:t>
            </w:r>
          </w:p>
        </w:tc>
      </w:tr>
      <w:tr>
        <w:trPr>
          <w:trHeight w:val="44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50,925</w:t>
            </w:r>
          </w:p>
        </w:tc>
        <w:tc>
          <w:tcPr>
            <w:tcW w:w="1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115,925</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1,304,119</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-1293495</wp:posOffset>
            </wp:positionV>
            <wp:extent cx="641223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-736600</wp:posOffset>
            </wp:positionV>
            <wp:extent cx="641223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641223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680" w:space="360"/>
            <w:col w:w="82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2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agencies</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558,707</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558,707</w:t>
            </w:r>
          </w:p>
        </w:tc>
      </w:tr>
      <w:tr>
        <w:trPr>
          <w:trHeight w:val="198"/>
        </w:trPr>
        <w:tc>
          <w:tcPr>
            <w:tcW w:w="2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237,636</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129,358</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366,994</w:t>
            </w:r>
          </w:p>
        </w:tc>
      </w:tr>
      <w:tr>
        <w:trPr>
          <w:trHeight w:val="198"/>
        </w:trPr>
        <w:tc>
          <w:tcPr>
            <w:tcW w:w="2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Corporate securities including public</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51,685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65,704</w:t>
            </w:r>
          </w:p>
        </w:tc>
        <w:tc>
          <w:tcPr>
            <w:tcW w:w="3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117,389</w:t>
            </w:r>
          </w:p>
        </w:tc>
      </w:tr>
      <w:tr>
        <w:trPr>
          <w:trHeight w:val="223"/>
        </w:trPr>
        <w:tc>
          <w:tcPr>
            <w:tcW w:w="2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11 securities with fair values aggregating 99.5% of the aggregate amortized cost as of June 30, 2025. Relevant holdings were comprised of 15 securities with fair values aggregating 99.2% of the aggregate amortized cost as of December 31, 2024. No credit losses have been recognized for the three and six month periods ended June 30, 2025 and 2024, since the unrealized losses are primarily the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June 30, 2025,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7"/>
        <w:spacing w:after="0"/>
        <w:tabs>
          <w:tab w:leader="none" w:pos="1367" w:val="left"/>
        </w:tabs>
        <w:rPr>
          <w:sz w:val="20"/>
          <w:szCs w:val="20"/>
          <w:color w:val="auto"/>
        </w:rPr>
      </w:pPr>
      <w:r>
        <w:rPr>
          <w:rFonts w:ascii="Times New Roman" w:cs="Times New Roman" w:eastAsia="Times New Roman" w:hAnsi="Times New Roman"/>
          <w:sz w:val="18"/>
          <w:szCs w:val="18"/>
          <w:color w:val="auto"/>
        </w:rPr>
        <w:t>Amortized</w:t>
      </w:r>
      <w:r>
        <w:rPr>
          <w:sz w:val="20"/>
          <w:szCs w:val="20"/>
          <w:color w:val="auto"/>
        </w:rPr>
        <w:tab/>
      </w:r>
      <w:r>
        <w:rPr>
          <w:rFonts w:ascii="Times New Roman" w:cs="Times New Roman" w:eastAsia="Times New Roman" w:hAnsi="Times New Roman"/>
          <w:sz w:val="18"/>
          <w:szCs w:val="18"/>
          <w:color w:val="auto"/>
        </w:rPr>
        <w:t>Estimated Fair</w:t>
      </w:r>
    </w:p>
    <w:p>
      <w:pPr>
        <w:spacing w:after="0" w:line="27" w:lineRule="exact"/>
        <w:rPr>
          <w:sz w:val="20"/>
          <w:szCs w:val="20"/>
          <w:color w:val="auto"/>
        </w:rPr>
      </w:pPr>
    </w:p>
    <w:p>
      <w:pPr>
        <w:ind w:left="407"/>
        <w:spacing w:after="0"/>
        <w:tabs>
          <w:tab w:leader="none" w:pos="1687" w:val="left"/>
        </w:tabs>
        <w:rPr>
          <w:sz w:val="20"/>
          <w:szCs w:val="20"/>
          <w:color w:val="auto"/>
        </w:rPr>
      </w:pPr>
      <w:r>
        <w:rPr>
          <w:rFonts w:ascii="Times New Roman" w:cs="Times New Roman" w:eastAsia="Times New Roman" w:hAnsi="Times New Roman"/>
          <w:sz w:val="18"/>
          <w:szCs w:val="18"/>
          <w:color w:val="auto"/>
        </w:rPr>
        <w:t>Cost</w:t>
      </w:r>
      <w:r>
        <w:rPr>
          <w:sz w:val="20"/>
          <w:szCs w:val="20"/>
          <w:color w:val="auto"/>
        </w:rPr>
        <w:tab/>
      </w:r>
      <w:r>
        <w:rPr>
          <w:rFonts w:ascii="Times New Roman" w:cs="Times New Roman" w:eastAsia="Times New Roman" w:hAnsi="Times New Roman"/>
          <w:sz w:val="18"/>
          <w:szCs w:val="18"/>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14605</wp:posOffset>
            </wp:positionV>
            <wp:extent cx="427736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447" w:hanging="447"/>
        <w:spacing w:after="0"/>
        <w:tabs>
          <w:tab w:leader="none" w:pos="4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1,167,294  $1,165,242</w:t>
      </w:r>
    </w:p>
    <w:p>
      <w:pPr>
        <w:spacing w:after="0" w:line="22" w:lineRule="exact"/>
        <w:rPr>
          <w:rFonts w:ascii="Times New Roman" w:cs="Times New Roman" w:eastAsia="Times New Roman" w:hAnsi="Times New Roman"/>
          <w:sz w:val="18"/>
          <w:szCs w:val="18"/>
          <w:color w:val="auto"/>
        </w:rPr>
      </w:pPr>
    </w:p>
    <w:p>
      <w:pPr>
        <w:ind w:left="5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941,785941,849</w:t>
      </w:r>
    </w:p>
    <w:p>
      <w:pPr>
        <w:spacing w:after="0" w:line="9" w:lineRule="exact"/>
        <w:rPr>
          <w:rFonts w:ascii="Times New Roman" w:cs="Times New Roman" w:eastAsia="Times New Roman" w:hAnsi="Times New Roman"/>
          <w:sz w:val="18"/>
          <w:szCs w:val="18"/>
          <w:color w:val="auto"/>
        </w:rPr>
      </w:pPr>
    </w:p>
    <w:p>
      <w:pPr>
        <w:ind w:left="5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100,307100,283</w:t>
      </w:r>
    </w:p>
    <w:p>
      <w:pPr>
        <w:spacing w:after="0" w:line="9" w:lineRule="exact"/>
        <w:rPr>
          <w:rFonts w:ascii="Times New Roman" w:cs="Times New Roman" w:eastAsia="Times New Roman" w:hAnsi="Times New Roman"/>
          <w:sz w:val="18"/>
          <w:szCs w:val="18"/>
          <w:color w:val="auto"/>
        </w:rPr>
      </w:pPr>
    </w:p>
    <w:p>
      <w:pPr>
        <w:ind w:left="5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247,977243,964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-267970</wp:posOffset>
            </wp:positionV>
            <wp:extent cx="42773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14605</wp:posOffset>
            </wp:positionV>
            <wp:extent cx="427736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11" w:lineRule="exact"/>
        <w:rPr>
          <w:sz w:val="20"/>
          <w:szCs w:val="20"/>
          <w:color w:val="auto"/>
        </w:rPr>
      </w:pPr>
    </w:p>
    <w:p>
      <w:pPr>
        <w:ind w:left="7"/>
        <w:spacing w:after="0"/>
        <w:tabs>
          <w:tab w:leader="none" w:pos="427" w:val="left"/>
          <w:tab w:leader="none" w:pos="1307" w:val="left"/>
          <w:tab w:leader="none" w:pos="1767"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2,457,363</w:t>
        <w:tab/>
        <w:t>$</w:t>
      </w:r>
      <w:r>
        <w:rPr>
          <w:sz w:val="20"/>
          <w:szCs w:val="20"/>
          <w:color w:val="auto"/>
        </w:rPr>
        <w:tab/>
      </w:r>
      <w:r>
        <w:rPr>
          <w:rFonts w:ascii="Times New Roman" w:cs="Times New Roman" w:eastAsia="Times New Roman" w:hAnsi="Times New Roman"/>
          <w:sz w:val="18"/>
          <w:szCs w:val="18"/>
          <w:color w:val="auto"/>
        </w:rPr>
        <w:t>2,451,338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855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73" w:space="720"/>
            <w:col w:w="7047"/>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3 and 8 for additional information regarding restricted assets and cemetery perpetual care trust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8" w:name="page69"/>
    <w:bookmarkEnd w:id="68"/>
    <w:p>
      <w:pPr>
        <w:jc w:val="center"/>
        <w:ind w:left="1460" w:right="156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2025 (Unaudited)</w:t>
      </w:r>
    </w:p>
    <w:p>
      <w:pPr>
        <w:spacing w:after="0" w:line="176"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72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securities available for sale</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2,642,449</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(654,164)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6,558,703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(1,689,264)</w:t>
            </w: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50,796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(76,729)</w:t>
            </w:r>
          </w:p>
        </w:tc>
        <w:tc>
          <w:tcPr>
            <w:tcW w:w="3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(92,876)</w:t>
            </w:r>
          </w:p>
        </w:tc>
      </w:tr>
      <w:tr>
        <w:trPr>
          <w:trHeight w:val="178"/>
        </w:trPr>
        <w:tc>
          <w:tcPr>
            <w:tcW w:w="29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unrealized gains (losses) before</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2,693,245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(650,489)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6,481,974</w:t>
            </w:r>
          </w:p>
        </w:tc>
        <w:tc>
          <w:tcPr>
            <w:tcW w:w="3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(1,782,140)</w:t>
            </w: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(565,252)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135,422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(1,361,701)</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373,973</w:t>
            </w:r>
          </w:p>
        </w:tc>
        <w:tc>
          <w:tcPr>
            <w:tcW w:w="60" w:type="dxa"/>
            <w:vAlign w:val="bottom"/>
          </w:tcPr>
          <w:p>
            <w:pPr>
              <w:spacing w:after="0"/>
              <w:rPr>
                <w:sz w:val="19"/>
                <w:szCs w:val="19"/>
                <w:color w:val="auto"/>
              </w:rPr>
            </w:pPr>
          </w:p>
        </w:tc>
      </w:tr>
      <w:tr>
        <w:trPr>
          <w:trHeight w:val="209"/>
        </w:trPr>
        <w:tc>
          <w:tcPr>
            <w:tcW w:w="2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5,120,273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(1,408,167</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2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Unrealized losses on restricted assets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(532)</w:t>
            </w:r>
          </w:p>
        </w:tc>
        <w:tc>
          <w:tcPr>
            <w:tcW w:w="3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(3,583)</w:t>
            </w:r>
          </w:p>
        </w:tc>
      </w:tr>
      <w:tr>
        <w:trPr>
          <w:trHeight w:val="23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shd w:val="clear" w:color="auto" w:fill="CCEEFF"/>
          </w:tcPr>
          <w:p>
            <w:pPr>
              <w:spacing w:after="0"/>
              <w:rPr>
                <w:sz w:val="19"/>
                <w:szCs w:val="19"/>
                <w:color w:val="auto"/>
              </w:rPr>
            </w:pPr>
          </w:p>
        </w:tc>
      </w:tr>
      <w:tr>
        <w:trPr>
          <w:trHeight w:val="209"/>
        </w:trPr>
        <w:tc>
          <w:tcPr>
            <w:tcW w:w="2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29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cemetery</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care trust investments (1)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1,665</w:t>
            </w:r>
          </w:p>
        </w:tc>
        <w:tc>
          <w:tcPr>
            <w:tcW w:w="3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0" w:type="dxa"/>
            <w:vAlign w:val="bottom"/>
          </w:tcPr>
          <w:p>
            <w:pPr>
              <w:spacing w:after="0"/>
              <w:rPr>
                <w:sz w:val="19"/>
                <w:szCs w:val="19"/>
                <w:color w:val="auto"/>
              </w:rPr>
            </w:pPr>
          </w:p>
        </w:tc>
      </w:tr>
      <w:tr>
        <w:trPr>
          <w:trHeight w:val="209"/>
        </w:trPr>
        <w:tc>
          <w:tcPr>
            <w:tcW w:w="2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2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changes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2,123,511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(517,129)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5,121,123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(1,412,227)</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June 30, 2025:</w:t>
      </w:r>
    </w:p>
    <w:p>
      <w:pPr>
        <w:sectPr>
          <w:pgSz w:w="11900" w:h="16838" w:orient="portrait"/>
          <w:cols w:equalWidth="0" w:num="1">
            <w:col w:w="10139"/>
          </w:cols>
          <w:pgMar w:left="32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p>
      <w:pPr>
        <w:spacing w:after="0"/>
        <w:rPr>
          <w:sz w:val="20"/>
          <w:szCs w:val="20"/>
          <w:color w:val="auto"/>
        </w:rPr>
      </w:pPr>
      <w:r>
        <w:rPr>
          <w:rFonts w:ascii="Times New Roman" w:cs="Times New Roman" w:eastAsia="Times New Roman" w:hAnsi="Times New Roman"/>
          <w:sz w:val="18"/>
          <w:szCs w:val="18"/>
          <w:color w:val="auto"/>
        </w:rPr>
        <w:t>Unrealized losses on restricted assets (1)</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Unrealized gains (losses) on cemetery perpetual care trust investments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783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184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Change for the</w:t>
            </w:r>
          </w:p>
        </w:tc>
        <w:tc>
          <w:tcPr>
            <w:tcW w:w="120" w:type="dxa"/>
            <w:vAlign w:val="bottom"/>
          </w:tcPr>
          <w:p>
            <w:pPr>
              <w:spacing w:after="0"/>
              <w:rPr>
                <w:sz w:val="18"/>
                <w:szCs w:val="18"/>
                <w:color w:val="auto"/>
              </w:rPr>
            </w:pPr>
          </w:p>
        </w:tc>
        <w:tc>
          <w:tcPr>
            <w:tcW w:w="14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34"/>
        </w:trPr>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period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(6,941,915)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5,120,273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(1,821,642)</w:t>
            </w:r>
          </w:p>
        </w:tc>
      </w:tr>
      <w:tr>
        <w:trPr>
          <w:trHeight w:val="234"/>
        </w:trPr>
        <w:tc>
          <w:tcPr>
            <w:tcW w:w="420" w:type="dxa"/>
            <w:vAlign w:val="bottom"/>
          </w:tcPr>
          <w:p>
            <w:pPr>
              <w:spacing w:after="0"/>
              <w:rPr>
                <w:sz w:val="20"/>
                <w:szCs w:val="20"/>
                <w:color w:val="auto"/>
              </w:rPr>
            </w:pPr>
          </w:p>
        </w:tc>
        <w:tc>
          <w:tcPr>
            <w:tcW w:w="14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(4,126)</w:t>
            </w:r>
          </w:p>
        </w:tc>
        <w:tc>
          <w:tcPr>
            <w:tcW w:w="16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(4,526)</w:t>
            </w:r>
          </w:p>
        </w:tc>
      </w:tr>
      <w:tr>
        <w:trPr>
          <w:trHeight w:val="445"/>
        </w:trPr>
        <w:tc>
          <w:tcPr>
            <w:tcW w:w="420" w:type="dxa"/>
            <w:vAlign w:val="bottom"/>
          </w:tcPr>
          <w:p>
            <w:pPr>
              <w:spacing w:after="0"/>
              <w:rPr>
                <w:sz w:val="24"/>
                <w:szCs w:val="24"/>
                <w:color w:val="auto"/>
              </w:rPr>
            </w:pPr>
          </w:p>
        </w:tc>
        <w:tc>
          <w:tcPr>
            <w:tcW w:w="14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(5,225)</w:t>
            </w:r>
          </w:p>
        </w:tc>
        <w:tc>
          <w:tcPr>
            <w:tcW w:w="160" w:type="dxa"/>
            <w:vAlign w:val="bottom"/>
          </w:tcPr>
          <w:p>
            <w:pPr>
              <w:spacing w:after="0"/>
              <w:rPr>
                <w:sz w:val="24"/>
                <w:szCs w:val="24"/>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23"/>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(6,951,266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5,121,123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(1,830,143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-873760</wp:posOffset>
            </wp:positionV>
            <wp:extent cx="6412230"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-462280</wp:posOffset>
            </wp:positionV>
            <wp:extent cx="6412230" cy="282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28257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4660" w:space="200"/>
            <w:col w:w="5279"/>
          </w:cols>
          <w:pgMar w:left="320" w:top="688"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accumulated balances of other comprehensive income (loss) as of December 31, 2024:</w:t>
      </w:r>
    </w:p>
    <w:p>
      <w:pPr>
        <w:sectPr>
          <w:pgSz w:w="11900" w:h="16838" w:orient="portrait"/>
          <w:cols w:equalWidth="0" w:num="1">
            <w:col w:w="10139"/>
          </w:cols>
          <w:pgMar w:left="320" w:top="6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Unrealized losses on fixed maturity securities available for sale Unrealized gains (losses) on restricted assets (1)</w:t>
      </w:r>
    </w:p>
    <w:p>
      <w:pPr>
        <w:spacing w:after="0" w:line="250" w:lineRule="auto"/>
        <w:rPr>
          <w:sz w:val="20"/>
          <w:szCs w:val="20"/>
          <w:color w:val="auto"/>
        </w:rPr>
      </w:pPr>
      <w:r>
        <w:rPr>
          <w:rFonts w:ascii="Times New Roman" w:cs="Times New Roman" w:eastAsia="Times New Roman" w:hAnsi="Times New Roman"/>
          <w:sz w:val="18"/>
          <w:szCs w:val="18"/>
          <w:color w:val="auto"/>
        </w:rPr>
        <w:t>Unrealized losses on cemetery perpetual care trust investments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7830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184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spacing w:after="0"/>
              <w:rPr>
                <w:sz w:val="18"/>
                <w:szCs w:val="18"/>
                <w:color w:val="auto"/>
              </w:rPr>
            </w:pPr>
          </w:p>
        </w:tc>
        <w:tc>
          <w:tcPr>
            <w:tcW w:w="16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Change for the</w:t>
            </w:r>
          </w:p>
        </w:tc>
        <w:tc>
          <w:tcPr>
            <w:tcW w:w="120" w:type="dxa"/>
            <w:vAlign w:val="bottom"/>
          </w:tcPr>
          <w:p>
            <w:pPr>
              <w:spacing w:after="0"/>
              <w:rPr>
                <w:sz w:val="18"/>
                <w:szCs w:val="18"/>
                <w:color w:val="auto"/>
              </w:rPr>
            </w:pPr>
          </w:p>
        </w:tc>
        <w:tc>
          <w:tcPr>
            <w:tcW w:w="14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184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166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38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(6,876,629)</w:t>
            </w:r>
          </w:p>
        </w:tc>
        <w:tc>
          <w:tcPr>
            <w:tcW w:w="30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(65,286)</w:t>
            </w:r>
          </w:p>
        </w:tc>
        <w:tc>
          <w:tcPr>
            <w:tcW w:w="30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(6,941,915)</w:t>
            </w:r>
          </w:p>
        </w:tc>
        <w:tc>
          <w:tcPr>
            <w:tcW w:w="60" w:type="dxa"/>
            <w:vAlign w:val="bottom"/>
            <w:gridSpan w:val="2"/>
          </w:tcPr>
          <w:p>
            <w:pPr>
              <w:spacing w:after="0"/>
              <w:rPr>
                <w:sz w:val="16"/>
                <w:szCs w:val="16"/>
                <w:color w:val="auto"/>
              </w:rPr>
            </w:pPr>
          </w:p>
        </w:tc>
      </w:tr>
      <w:tr>
        <w:trPr>
          <w:trHeight w:val="234"/>
        </w:trPr>
        <w:tc>
          <w:tcPr>
            <w:tcW w:w="380" w:type="dxa"/>
            <w:vAlign w:val="bottom"/>
          </w:tcPr>
          <w:p>
            <w:pPr>
              <w:spacing w:after="0"/>
              <w:rPr>
                <w:sz w:val="20"/>
                <w:szCs w:val="20"/>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(4,757)</w:t>
            </w:r>
          </w:p>
        </w:tc>
        <w:tc>
          <w:tcPr>
            <w:tcW w:w="160" w:type="dxa"/>
            <w:vAlign w:val="bottom"/>
          </w:tcPr>
          <w:p>
            <w:pPr>
              <w:spacing w:after="0"/>
              <w:rPr>
                <w:sz w:val="20"/>
                <w:szCs w:val="20"/>
                <w:color w:val="auto"/>
              </w:rPr>
            </w:pPr>
          </w:p>
        </w:tc>
        <w:tc>
          <w:tcPr>
            <w:tcW w:w="16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445"/>
        </w:trPr>
        <w:tc>
          <w:tcPr>
            <w:tcW w:w="380" w:type="dxa"/>
            <w:vAlign w:val="bottom"/>
          </w:tcPr>
          <w:p>
            <w:pPr>
              <w:spacing w:after="0"/>
              <w:rPr>
                <w:sz w:val="24"/>
                <w:szCs w:val="24"/>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24"/>
                <w:szCs w:val="24"/>
                <w:color w:val="auto"/>
              </w:rPr>
            </w:pPr>
          </w:p>
        </w:tc>
        <w:tc>
          <w:tcPr>
            <w:tcW w:w="16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(5,225)</w:t>
            </w:r>
          </w:p>
        </w:tc>
      </w:tr>
      <w:tr>
        <w:trPr>
          <w:trHeight w:val="223"/>
        </w:trPr>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(6,951,266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9"/>
        </w:trPr>
        <w:tc>
          <w:tcPr>
            <w:tcW w:w="380" w:type="dxa"/>
            <w:vAlign w:val="bottom"/>
          </w:tcPr>
          <w:p>
            <w:pPr>
              <w:spacing w:after="0"/>
              <w:rPr>
                <w:sz w:val="24"/>
                <w:szCs w:val="24"/>
                <w:color w:val="auto"/>
              </w:rPr>
            </w:pPr>
          </w:p>
        </w:tc>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67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-1327785</wp:posOffset>
            </wp:positionV>
            <wp:extent cx="641223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-1045210</wp:posOffset>
            </wp:positionV>
            <wp:extent cx="6412230" cy="282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12230" cy="28257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60" w:space="200"/>
            <w:col w:w="5279"/>
          </w:cols>
          <w:pgMar w:left="320" w:top="688" w:right="1440"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the three and six month periods ended June 30,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to the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80" w:type="dxa"/>
            <w:vAlign w:val="bottom"/>
          </w:tcPr>
          <w:p>
            <w:pPr>
              <w:spacing w:after="0"/>
              <w:rPr>
                <w:sz w:val="18"/>
                <w:szCs w:val="18"/>
                <w:color w:val="auto"/>
              </w:rPr>
            </w:pPr>
          </w:p>
        </w:tc>
        <w:tc>
          <w:tcPr>
            <w:tcW w:w="328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80" w:type="dxa"/>
            <w:vAlign w:val="bottom"/>
          </w:tcPr>
          <w:p>
            <w:pPr>
              <w:spacing w:after="0"/>
              <w:rPr>
                <w:sz w:val="20"/>
                <w:szCs w:val="20"/>
                <w:color w:val="auto"/>
              </w:rPr>
            </w:pPr>
          </w:p>
        </w:tc>
        <w:tc>
          <w:tcPr>
            <w:tcW w:w="328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30,186</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29,961</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59,813</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17,184</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35,796</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Gains  (losses)  on  investments  and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878</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721</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1,906</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6,403</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5,617</w:t>
            </w:r>
          </w:p>
        </w:tc>
        <w:tc>
          <w:tcPr>
            <w:tcW w:w="28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4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10,549</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12,329</w:t>
            </w:r>
          </w:p>
        </w:tc>
        <w:tc>
          <w:tcPr>
            <w:tcW w:w="28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for the six month period ended June 30, 2025 decreased due to (a) a $3,493,000 increase in selling, general and administrative expenses, primarily attributable to a $2,407,000 increase in personnel expenses due to an annual increase in salaries and key new hires as a part of the Company’s growth strategy, (b) a $1,492,000 increase in amortization of deferred policy acquisition costs, (c) a $1,283,000 increase in death benefits, (d) a $174,000 increase in surrenders and other policy benefits (e) a $137,000 decrease in intersegment revenue, and (f) a $42,000 increase in interest expense, which were partially offset by (i) a $2,834,000 increase in net investment income, (ii) a $771,000 decrease in future policy benefits, (iii) a $373,000 decrease in income tax expense, (iv) a $330,000 increase in other revenues, (v) a $286,000 increase in gains on investments and other assets, (vi) a $153,000 increase in insurance premiums and other considerations, and (vii) a $95,000 decrease in intersegment expenses.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eleven mortuaries in Utah and four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and six month periods ended June 30, 2025 and 2024.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80" w:type="dxa"/>
            <w:vAlign w:val="bottom"/>
          </w:tcPr>
          <w:p>
            <w:pPr>
              <w:spacing w:after="0"/>
              <w:rPr>
                <w:sz w:val="18"/>
                <w:szCs w:val="18"/>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80" w:type="dxa"/>
            <w:vAlign w:val="bottom"/>
          </w:tcPr>
          <w:p>
            <w:pPr>
              <w:spacing w:after="0"/>
              <w:rPr>
                <w:sz w:val="20"/>
                <w:szCs w:val="20"/>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w w:val="99"/>
              </w:rPr>
              <w:t>(in thousands of dollars)</w:t>
            </w:r>
          </w:p>
        </w:tc>
      </w:tr>
      <w:tr>
        <w:trPr>
          <w:trHeight w:val="191"/>
        </w:trPr>
        <w:tc>
          <w:tcPr>
            <w:tcW w:w="3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6"/>
                <w:szCs w:val="16"/>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(Decrease)</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4,093</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4,644</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3,125</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6,539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575</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Gains  (losses)  on  investments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Interesegment revenues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197"/>
        </w:trPr>
        <w:tc>
          <w:tcPr>
            <w:tcW w:w="30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earnings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1,568</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CCEEFF"/>
            </w:tcBorders>
            <w:shd w:val="clear" w:color="auto" w:fill="CCEEFF"/>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3,835</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Profitability in the six month period ended June 30, 2025 decreased due to (a) a $772,000 decrease in net investment income, (b) a $520,000 increase in selling, general and administrative expenses, primarily attributable to a $349,000 increase in personnel expenses, (c) a $243,000 decrease in cemetery pre-need sales, (d) a $132,000 decrease in cemetery at-need sales, and (e) a $1,000 decrease in intersegment revenues, which were partially offset by (i) a $344,000 decrease in income tax expense, (ii) a $216,000 increase in mortuary at-need sales, (iii) a $103,000 decrease in amortization of deferred policy acquisition costs, (iv) a $102,000 increase in gains on investments and other assets, (v) a $97,000 decrease in cost of goods and services sold, (vi) a $25,000 increase in other revenues, and (vii) a $14,000 decrease in intersegment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Company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0.79% of its loan origination volume. These mortgage loans are serviced by either SecurityNational Mortgage or an approved third-party sub-servicer.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increased inflation.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 periods ended June 30, 2025 and 2024, SecurityNational Mortgage originated 3,375 loans ($1,134,783,000 total volume) and 3,494 loans ($1,089,824,000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and six month periods ended June 30,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to the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80" w:type="dxa"/>
            <w:vAlign w:val="bottom"/>
          </w:tcPr>
          <w:p>
            <w:pPr>
              <w:spacing w:after="0"/>
              <w:rPr>
                <w:sz w:val="18"/>
                <w:szCs w:val="18"/>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80" w:type="dxa"/>
            <w:vAlign w:val="bottom"/>
          </w:tcPr>
          <w:p>
            <w:pPr>
              <w:spacing w:after="0"/>
              <w:rPr>
                <w:sz w:val="20"/>
                <w:szCs w:val="20"/>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w w:val="99"/>
              </w:rPr>
              <w:t>(in thousands of dollars)</w:t>
            </w:r>
          </w:p>
        </w:tc>
      </w:tr>
      <w:tr>
        <w:trPr>
          <w:trHeight w:val="191"/>
        </w:trPr>
        <w:tc>
          <w:tcPr>
            <w:tcW w:w="3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6"/>
                <w:szCs w:val="16"/>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20,185</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18,675</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37,140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33,405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9,318</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15,598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16,158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3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loans held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180" w:type="dxa"/>
            <w:vAlign w:val="bottom"/>
          </w:tcPr>
          <w:p>
            <w:pPr>
              <w:spacing w:after="0"/>
              <w:rPr>
                <w:sz w:val="20"/>
                <w:szCs w:val="20"/>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1,197</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3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loan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430</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Gains (losses) on investments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30,422</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55,406</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52,998</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30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(1,261</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w:t>
            </w:r>
          </w:p>
        </w:tc>
        <w:tc>
          <w:tcPr>
            <w:tcW w:w="400" w:type="dxa"/>
            <w:vAlign w:val="bottom"/>
            <w:tcBorders>
              <w:bottom w:val="single" w:sz="8" w:color="CCEEFF"/>
            </w:tcBorders>
            <w:shd w:val="clear" w:color="auto" w:fill="CCEEFF"/>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(2,772</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(1,418</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Losses for the six month period ended June 30, 2025 increased due to (a) a $2,384,000 increase in commissions, (b) a $941,000 increase in personnel expenses, (c) a $895,000 increase in other expenses, (d) a $560,000 decrease in income from loan originations, (e) a $385,000 decrease in the fair value of loan commitments, (f) a $324,000 increase in costs related to funding mortgage loans, (g) a $272,000 increase in advertising expenses, (h) a $270,000 increase in interest expense, (i) a $270,000 decrease in net investment income, (j) a $119,000 decrease in other revenues, and (k) a $95,000 decrease in intersegment revenues, which were partially offset by (i) a $3,735,000 increase in secondary gains from investors, (ii) a $717,000 decrease in rent and rent related expenses, (iii) a $483,000 increase in income tax benefit, (iv) a $124,000 decrease in intersegment expenses, (v) a $53,000 increase in the fair value of loans held for sale, and (vi) a $49,000 increase in gains on investments and other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 period ended June 30, 2025, Compared to Three month period ended June 30, 2024</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Total revenues increased by $3,750,000, or 4.4%, to $89,541,000 for the three month period ended June 30, 2025, from $85,791,000 for the comparable period in 2024. Contributing to this increase in total revenues was a $2,536,000 increase in net investment income, a $1,520,000 increase in gains on investments and other assets, a $225,000 increase in insurance premiums and other considerations, and a $114,000 increase in other revenues, which were partially offset by a $511,000 decrease in net mortuary and cemetery sales and a $134,000 decrease in mortgage fee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$134,000, or 0.5%, to $29,485,000, for the three month period ended June 30, 2025, from $29,619,000 for the comparable period in 2024. This decrease was primarily due to a $1,511,000 increase in secondary gains from mortgage loans sold to third-party investors into the secondary market, which was partially offset by a $889,000 decrease in the fair value of loans held for sale, a $459,000 decrease in loan fees, interest income, and the provision for loan loss reserve, and a $297,000 decrease in the fair value of loan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$225,000, or 0.8%, to $30,186,000 for the three month period ended June 30, 2025, from $29,961,000 for the comparable period in 2024. This increase was primarily due to an increase of $587,000 in renewal premiums, which was partially offset by a decrease of $362,000 in first year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$2,536,000, or 14.1%, to $20,581,000 for the three month period ended June 30, 2025, from $18,045,000 for the comparable period in 2024. This increase was primarily attributable to a $5,436,000 increase in mortgage loan interest, a $404,000 increase in fixed maturity securities income, a $252,000 increase in insurance assignment income, a $71,000 increase in equity securities income, and a $46,000 increase in policy loan interest, which were partially offset by a $2,380,000 increase in investment expenses, a $762,000 decrease in interest on cash and cash equivalents, a $412,000 decrease in real estate income, and a $119,000 decrease in other investment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decreased by $511,000, or 6.6%, to $7,258,000 for the three month period ended June 30, 2025, from $7,769,000 for the comparable period in 2024. This decrease was primarily due to a $388,000 decrease in cemetery pre-need sales and a $163,000 decrease in cemetery at-need sales, which were partially offset by a $40,000 increase in mortuary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on investments and other assets increased by $1,520,000 to $1,143,000 in net gains for the three month period ended June 30, 2025, from $377,000 in net losses for the comparable period in 2024. This increase in gains on investments and other assets was primarily due to a $1,190,000 increase in gains on equity securities, primarily attributable to increases in the fair value of these equity securities, a $164,000 increase in gains on real estate, a $119,000 increase in gains on other assets, and a $47,000 increase in gains on fixed maturity securities.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revenues increased by $114,000, or 14.7%, to $889,000 for the three month period ended June 30, 2025, from $775,000 for the comparable period in 2024. This increase was primarily due to an increase of $174,000 in other miscellaneous revenues and a decrease of $60,000 in servicing fee revenue due to a decrease in the retention of mortgage servicing rights.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$727,000 or 3.0%, to $25,053,000 for the three month period ended June 30, 2025, from $24,326,000 for the comparable period in 2024. This increase was primarily the result of a $951,000 increase in death benefits and a $189,000 increase in surrender and other policy benefits, which were partially offset by a $413,000 decrease in future policy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$1,436,000, or 33.4%, to $5,737,000 for the three month period ended June 30, 2025, from $4,301,000 for the comparable period in 2024. This increase was primarily due to an increase in the average outstanding balance of deferred policy and pre-need acquisition costs and primarily due to an increase in the termination rate for deaths and lapses.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$2,496,000, or 5.5%, to $47,961,000 for the three month period ended June 30, 2025, from $45,465,000 for the comparable period in 2024. This increase was primarily the result of a $1,369,000 increase in personnel expenses due to an annual increase in salaries and key new hires as a part of the Company’s growth strategy, a $956,000 increase in other expenses, a $358,000 increase in costs related to funding mortgage loans, a $154,000 increase in advertising expense, a $13,000 increase in commissions, and a $6,000 increase in depreciation on property and equipment, which were partially offset by a $360,000 decrease in rent and rent related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$220,000, or 20.5%, to $1,293,000 for the three month period ended June 30, 2025, from $1,073,000 for the comparable period in 2024. This increase was primarily due to an increase of $153,000 in interest expense on mortgage warehouse lines of credit for loans held for sale and an increase of $67,000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decreased by $76,000, or 6.2%, to $1,159,000 for the three month period ended June 30, 2025, from $1,235,000 for the comparable period in 2024. This decrease was primarily due to a decrease of $63,000 in at-need sales and a decrease of $13,000 in pre-need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total benefits and expenses were $81,205,000, or 90.7% of total revenues, for the three month period ended June 30, 2025, as compared to $76,402,000, or 89.1% of total revenues, for the comparable period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Six month period ended June 30, 2025, Compared to Six month period ended June 30,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$5,301,000, or 3.2%, to $172,281,000 for the six month period ended June 30, 2025, from $166,980,000 for the comparable period in 2024. Contributing to this increase in total revenues was a $2,843,000 increase in mortgage fee income, a $1,792,000 increase in net investment income, a $437,000 increase in gains on investments and other assets, a $236,000 increase in other revenues, and a $153,000 increase in insurance premiums and other considerations, which were partially offset by a $160,000 decrease in net mortuary and cemetery sales.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increased by $2,843,000, or 5.5%, to $54,294,000, for the six month period ended June 30, 2025, from $51,451,000 for the comparable period in 2024. This increase was primarily due to a $3,735,000 increase in secondary gains from mortgage loans sold to third-party investors into the secondary market and a $53,000 increase in the fair value of loans held for sale, which were partially offset by a $560,000 decrease in loan fees, interest income, and the provision for loan loss reserve and an $385,000 decrease in the fair value of loan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$153,000, or 0.3%, to $59,965,000 for the six month period ended June 30, 2025, from $59,812,000 for the comparable period in 2024. This increase was primarily due to an increase of $847,000 in renewal premiums, which was partially offset by a decrease of $694,000 in first year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$1,792,000, or 4.7%, to $39,783,000 for the six month period ended June 30, 2025, from $37,991,000 for the comparable period in 2024. This increase was primarily attributable to a $4,586,000 increase in mortgage loan interest, a $908,000 increase in insurance assignment income, a $666,000 increase in fixed maturity securities income, and a $95,000 increase in equity securities income, which were partially offset by a $2,278,000 increase in investment expenses, a $1,051,000 decrease in interest on cash and cash equivalents, a $968,000 decrease in real estate income, a $156,000 decrease in other investment income, and a $10,000 decrease in policy loan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decreased by $160,000, or 1.1%, to $14,558,000 for the six month period ended June 30, 2025, from $14,718,000 for the comparable period in 2024. This decrease was primarily due to a $243,000 decrease in cemetery pre-need sales and a $132,000 decrease in cemetery at-need sales, which were partially offset by a $216,000 increase in mortuary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on investments and other assets increased by $437,000, or 33.8% to $1,729,000 for the six month period ended June 30, 2025, from $1,292,000 for the comparable period in 2024. This increase in gains on investments and other assets was primarily due to a $308,000 increase in gains on real estate, a $96,000 increase in gains on equity securities, a $17,000 increase in gains on other assets, and a $16,000 increase in gains on fixed maturity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increased by $236,000, or 13.8%, to $1,951,000 for the six month period ended June 30, 2025, from $1,715,000 for the comparable period in 2024. This increase was primarily due to an increase of $324,000 in other miscellaneous revenues and a decrease of $88,000 in servicing fee revenue due to a decrease in the retention of mortgage servicing rights.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$687,000 or 1.4%, to $51,288,000 for the six month period ended June 30, 2025, from $50,601,000 for the comparable period in 2024. This increase was primarily the result of a $1,283,000 increase in death benefits and a $175,000 increase in surrender and other policy benefits, which were partially offset by $771,000 decrease in future policy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$1,389,000, or 15.4%, to $10,434,000 for the six month period ended June 30, 2025, from $9,045,000 for the comparable period in 2024. This increase was primarily due to an increase in the average outstanding balance of deferred policy and pre-need acquisition costs and primarily due to an increase in the termination rate for deaths and lapses.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$8,112,000, or 9.7%, to $91,825,000 for the six month period ended June 30, 2025, from $83,713,000 for the comparable period in 2024. This increase was primarily the result of a $3,696,000 increase in personnel expenses due to an annual increase in salaries and key new hires as a part of the Company’s growth strategy, a $2,469,000 increase in commissions, a $2,071,000 increase in other expenses, a $324,000 increase in costs related to funding mortgage loans, a $291,000 increase in advertising expense, and a $34,000 increase in depreciation on property and equipment, which were partially offset by a $773,000 decrease in rent and rent related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$312,000, or 14.8%, to $2,413,000 for the six month period ended June 30, 2025, from $2,101,000 for the comparable period in 2024. This increase was primarily due to an increase of $270,000 in interest expense on mortgage warehouse lines of credit for loans held for sale and an increase of $42,000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decreased by $97,000, or 3.9%, to $2,413,000 for the six month period ended June 30, 2025, from $2,510,000 for the comparable period in 2024. This decrease was primarily due to a decrease of $103,000 in at-need sales, which was partially offset by an increase of $6,000 in pre-need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total benefits and expenses were $158,373,000, or 91.9% of total revenues, for the six month period ended June 30, 2025, as compared to $147,971,000, or 88.6% of total revenues, for the comparable period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SecurityNational Mortgage was not in compliance with the net income covenant of Western Alliance Bank’s warehouse line of credit. SecurityNational Mortgage is in the process of receiving waivers. In the unlikely event the Company is required to repay the outstanding advances of approximately $12,751,822 on the warehouse lines of credit, the Company has sufficient cash to do so.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 periods ended June 30, 2025 and 2024, the Company’s operations provided cash of approximately $1,905,000 and of approximately $8,104,000, respectively. The decrease in cash provided by operations was due primarily to the decrease in net earnings.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$372,354,000 (at estimated fair value) and $348,774,000 (at estimated fair value) as of June 30, 2025 and December 31, 2024, respectively. This represented 35.7% and 38.0% of the total investments of the Company as of June 30, 2025 and December 31, 2024, respectively. Generally, all bonds owned by the life insurance subsidiaries are rated by the National Association of Insurance Commissioners. Under this rating system, there are six categories used for the rating of bonds. As of June 30, 2025, 2.0% (or $7,314,000) and as of December 31, 2024, 2.4% (or $8,431,000)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June 30, 2025 and December 31, 2024,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$477,687,000 as of June 30, 2025, as compared to $445,758,000 as of December 31, 2024. This increase was primarily due to an increase of $15,972,000 in stockholders’ equity and an increase of $16,192,000 in bank loans and other loans payable. Stockholders’ equity as a percent of total capitalization was 74.3% and 76.1% as of June 30, 2025 and December 31, 2024,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2024 was 7.0% as compared to a lapse rate of 4.4% for 2023. The 2025 lapse rate to date has been approximately the same as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approximately $127,098,000 and $120,216,000 as of June 30, 2025, and December 31, 2024, respectively. The life insurance subsidiaries cannot pay a dividend to their parent company without the approval of state insurance regulatory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One Big Beautiful Bill Act (“OBBBA”), which was signed into law on July 4, 2025, significantly affected U.S. income tax law. The Company is currently assessing its impact, however the Company does not expect a material impact to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2025,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2025,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2025 the Company executed a 10b5-1 agreement with a broker to repurchase shares of the Company’s Class A Common Stock. Under the terms of the agreement, the broker is permitted to repurchase up to $1,000,000 of the Company’s Class A Common Stock. Purchases commenced April 23, 2025. The agreement is subject to the daily time, price and volume conditions of Rule 10b-18. The agreement will expire on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three-month period ended June 30, 2025 under the 10b5-1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 Maximum Number (or</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 Total Number of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Approximate Dollar</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 Shares Purchased as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Value) of Class A Shares</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Part of Publicly</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that May Yet Be</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 Total Number of Class</w:t>
            </w:r>
          </w:p>
        </w:tc>
        <w:tc>
          <w:tcPr>
            <w:tcW w:w="10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 Average Price Paid</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Announced Plan or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Purchased Under the Plan</w:t>
            </w:r>
          </w:p>
        </w:tc>
      </w:tr>
      <w:tr>
        <w:trPr>
          <w:trHeight w:val="234"/>
        </w:trPr>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Period</w:t>
            </w:r>
          </w:p>
        </w:tc>
        <w:tc>
          <w:tcPr>
            <w:tcW w:w="2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 Shares Purchased</w:t>
            </w:r>
          </w:p>
        </w:tc>
        <w:tc>
          <w:tcPr>
            <w:tcW w:w="100" w:type="dxa"/>
            <w:vAlign w:val="bottom"/>
          </w:tcPr>
          <w:p>
            <w:pPr>
              <w:spacing w:after="0"/>
              <w:rPr>
                <w:sz w:val="20"/>
                <w:szCs w:val="20"/>
                <w:color w:val="auto"/>
              </w:rPr>
            </w:pP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per Class A Share (1)</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Program</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 Program (2)</w:t>
            </w:r>
          </w:p>
        </w:tc>
      </w:tr>
      <w:tr>
        <w:trPr>
          <w:trHeight w:val="209"/>
        </w:trPr>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4/1/2025-4/30/2025</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5/1/2025-5/31/2025</w:t>
            </w:r>
          </w:p>
        </w:tc>
        <w:tc>
          <w:tcPr>
            <w:tcW w:w="220" w:type="dxa"/>
            <w:vAlign w:val="bottom"/>
          </w:tcPr>
          <w:p>
            <w:pPr>
              <w:spacing w:after="0"/>
              <w:rPr>
                <w:sz w:val="18"/>
                <w:szCs w:val="18"/>
                <w:color w:val="auto"/>
              </w:rPr>
            </w:pPr>
          </w:p>
        </w:tc>
        <w:tc>
          <w:tcPr>
            <w:tcW w:w="2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28,643</w:t>
            </w:r>
          </w:p>
        </w:tc>
        <w:tc>
          <w:tcPr>
            <w:tcW w:w="10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141,930</w:t>
            </w:r>
          </w:p>
        </w:tc>
      </w:tr>
      <w:tr>
        <w:trPr>
          <w:trHeight w:val="216"/>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6/1/2025-6/30/2025</w:t>
            </w:r>
          </w:p>
        </w:tc>
        <w:tc>
          <w:tcPr>
            <w:tcW w:w="2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42,902</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99,028</w:t>
            </w:r>
          </w:p>
        </w:tc>
      </w:tr>
      <w:tr>
        <w:trPr>
          <w:trHeight w:val="230"/>
        </w:trPr>
        <w:tc>
          <w:tcPr>
            <w:tcW w:w="2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95,584</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that allow for the immediate expensing of domestic research and development expenses, immediate expensing of certain capital expenditures, and other changes to the U.S. taxation of profits derived from foreign operations. The Company continues to evaluate the impact the new legislation will have on its estimated annual effective tax rate and cash tax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of Trading Arrangements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Section 16 officers or directors of the Company adopted, modified, or terminated a “Rule 10b5-1 trading arrangement” or “non-Rule 10b5-1 trading arrangement” (each as defined in Item 408 of Regulation S-K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660"/>
        <w:spacing w:after="0"/>
        <w:tabs>
          <w:tab w:leader="none" w:pos="14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72">
        <w:r>
          <w:rPr>
            <w:rFonts w:ascii="Times New Roman" w:cs="Times New Roman" w:eastAsia="Times New Roman" w:hAnsi="Times New Roman"/>
            <w:sz w:val="17"/>
            <w:szCs w:val="17"/>
            <w:u w:val="single" w:color="auto"/>
            <w:color w:val="0000EE"/>
          </w:rPr>
          <w:t>Amended and Restated Articles of Incorporation (1)</w:t>
        </w:r>
      </w:hyperlink>
    </w:p>
    <w:p>
      <w:pPr>
        <w:spacing w:after="0" w:line="27" w:lineRule="exact"/>
        <w:rPr>
          <w:sz w:val="20"/>
          <w:szCs w:val="20"/>
          <w:color w:val="auto"/>
        </w:rPr>
      </w:pPr>
    </w:p>
    <w:p>
      <w:pPr>
        <w:ind w:left="660"/>
        <w:spacing w:after="0"/>
        <w:tabs>
          <w:tab w:leader="none" w:pos="14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73">
        <w:r>
          <w:rPr>
            <w:rFonts w:ascii="Times New Roman" w:cs="Times New Roman" w:eastAsia="Times New Roman" w:hAnsi="Times New Roman"/>
            <w:sz w:val="17"/>
            <w:szCs w:val="17"/>
            <w:u w:val="single" w:color="auto"/>
            <w:color w:val="0000EE"/>
          </w:rPr>
          <w:t>Amended and Restated Bylaws (2)</w:t>
        </w:r>
      </w:hyperlink>
    </w:p>
    <w:p>
      <w:pPr>
        <w:spacing w:after="0" w:line="9" w:lineRule="exact"/>
        <w:rPr>
          <w:sz w:val="20"/>
          <w:szCs w:val="20"/>
          <w:color w:val="auto"/>
        </w:rPr>
      </w:pPr>
    </w:p>
    <w:p>
      <w:pPr>
        <w:ind w:left="1420" w:hanging="764"/>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185"/>
        </w:trPr>
        <w:tc>
          <w:tcPr>
            <w:tcW w:w="7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2000" w:type="dxa"/>
            <w:vAlign w:val="bottom"/>
            <w:tcBorders>
              <w:bottom w:val="single" w:sz="8" w:color="0000EE"/>
            </w:tcBorders>
          </w:tcPr>
          <w:p>
            <w:pPr>
              <w:spacing w:after="0" w:line="184"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tcPr>
          <w:p>
            <w:pPr>
              <w:ind w:left="20"/>
              <w:spacing w:after="0" w:line="184"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6"/>
                <w:szCs w:val="16"/>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420" w:hanging="764"/>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7830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i w:val="1"/>
                <w:iCs w:val="1"/>
                <w:color w:val="auto"/>
                <w:w w:val="99"/>
              </w:rPr>
              <w:t>REGISTRANT</w:t>
            </w:r>
          </w:p>
        </w:tc>
      </w:tr>
      <w:tr>
        <w:trPr>
          <w:trHeight w:val="392"/>
        </w:trPr>
        <w:tc>
          <w:tcPr>
            <w:tcW w:w="354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SECURITY NATIONAL FINANCIAL CORPORATION</w:t>
            </w:r>
          </w:p>
        </w:tc>
        <w:tc>
          <w:tcPr>
            <w:tcW w:w="3540" w:type="dxa"/>
            <w:vAlign w:val="bottom"/>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77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32"/>
        </w:trPr>
        <w:tc>
          <w:tcPr>
            <w:tcW w:w="35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Dated: August 14, 2025</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5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Dated: August 14, 2025</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3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SNMA-PF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SNHH-SH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SNFC Subsidiary,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Source Center, Inc. dba Security National Travel Services</w:t>
      </w:r>
    </w:p>
    <w:p>
      <w:pPr>
        <w:spacing w:after="0" w:line="9" w:lineRule="exact"/>
        <w:rPr>
          <w:sz w:val="20"/>
          <w:szCs w:val="20"/>
          <w:color w:val="auto"/>
        </w:rPr>
      </w:pPr>
    </w:p>
    <w:p>
      <w:pPr>
        <w:ind w:right="4980"/>
        <w:spacing w:after="0" w:line="26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SN Marketing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Endowment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Trusts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MEM-JK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Oquirrh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Towns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81" w:name="page82"/>
    <w:bookmarkEnd w:id="8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Dated: August 14,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2" w:name="page83"/>
    <w:bookmarkEnd w:id="8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54"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Dated: August 14,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3" w:name="page84"/>
    <w:bookmarkEnd w:id="8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June 30, 2025,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Dated: August 14,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4" w:name="page85"/>
    <w:bookmarkEnd w:id="84"/>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June 30, 2025,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Dated: August 14,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1)"/>
      <w:numFmt w:val="decimal"/>
      <w:start w:val="1"/>
    </w:lvl>
  </w:abstractNum>
  <w:abstractNum w:abstractNumId="5">
    <w:nsid w:val="39386575"/>
    <w:multiLevelType w:val="hybridMultilevel"/>
    <w:lvl w:ilvl="0">
      <w:lvlJc w:val="left"/>
      <w:lvlText w:val="%1)"/>
      <w:numFmt w:val="decimal"/>
      <w:start w:val="2"/>
    </w:lvl>
  </w:abstractNum>
  <w:abstractNum w:abstractNumId="6">
    <w:nsid w:val="1CF10FD8"/>
    <w:multiLevelType w:val="hybridMultilevel"/>
    <w:lvl w:ilvl="0">
      <w:lvlJc w:val="left"/>
      <w:lvlText w:val="%1)"/>
      <w:numFmt w:val="decimal"/>
      <w:start w:val="3"/>
    </w:lvl>
  </w:abstractNum>
  <w:abstractNum w:abstractNumId="7">
    <w:nsid w:val="180115BE"/>
    <w:multiLevelType w:val="hybridMultilevel"/>
    <w:lvl w:ilvl="0">
      <w:lvlJc w:val="left"/>
      <w:lvlText w:val="(%1)"/>
      <w:numFmt w:val="decimal"/>
      <w:start w:val="1"/>
    </w:lvl>
  </w:abstractNum>
  <w:abstractNum w:abstractNumId="8">
    <w:nsid w:val="235BA861"/>
    <w:multiLevelType w:val="hybridMultilevel"/>
    <w:lvl w:ilvl="0">
      <w:lvlJc w:val="left"/>
      <w:lvlText w:val="%1)"/>
      <w:numFmt w:val="decimal"/>
      <w:start w:val="3"/>
    </w:lvl>
  </w:abstractNum>
  <w:abstractNum w:abstractNumId="9">
    <w:nsid w:val="47398C89"/>
    <w:multiLevelType w:val="hybridMultilevel"/>
    <w:lvl w:ilvl="0">
      <w:lvlJc w:val="left"/>
      <w:lvlText w:val="(%1)"/>
      <w:numFmt w:val="decimal"/>
      <w:start w:val="1"/>
    </w:lvl>
  </w:abstractNum>
  <w:abstractNum w:abstractNumId="10">
    <w:nsid w:val="354FE9F9"/>
    <w:multiLevelType w:val="hybridMultilevel"/>
    <w:lvl w:ilvl="0">
      <w:lvlJc w:val="left"/>
      <w:lvlText w:val="%1)"/>
      <w:numFmt w:val="decimal"/>
      <w:start w:val="3"/>
    </w:lvl>
  </w:abstractNum>
  <w:abstractNum w:abstractNumId="11">
    <w:nsid w:val="15B5AF5C"/>
    <w:multiLevelType w:val="hybridMultilevel"/>
    <w:lvl w:ilvl="0">
      <w:lvlJc w:val="left"/>
      <w:lvlText w:val="%1)"/>
      <w:numFmt w:val="decimal"/>
      <w:start w:val="3"/>
    </w:lvl>
  </w:abstractNum>
  <w:abstractNum w:abstractNumId="12">
    <w:nsid w:val="741226BB"/>
    <w:multiLevelType w:val="hybridMultilevel"/>
    <w:lvl w:ilvl="0">
      <w:lvlJc w:val="left"/>
      <w:lvlText w:val="%1)"/>
      <w:numFmt w:val="decimal"/>
      <w:start w:val="3"/>
    </w:lvl>
  </w:abstractNum>
  <w:abstractNum w:abstractNumId="13">
    <w:nsid w:val="D34B6A8"/>
    <w:multiLevelType w:val="hybridMultilevel"/>
    <w:lvl w:ilvl="0">
      <w:lvlJc w:val="left"/>
      <w:lvlText w:val="%1)"/>
      <w:numFmt w:val="decimal"/>
      <w:start w:val="3"/>
    </w:lvl>
  </w:abstractNum>
  <w:abstractNum w:abstractNumId="14">
    <w:nsid w:val="10233C99"/>
    <w:multiLevelType w:val="hybridMultilevel"/>
    <w:lvl w:ilvl="0">
      <w:lvlJc w:val="left"/>
      <w:lvlText w:val="%1)"/>
      <w:numFmt w:val="decimal"/>
      <w:start w:val="3"/>
    </w:lvl>
  </w:abstractNum>
  <w:abstractNum w:abstractNumId="15">
    <w:nsid w:val="3F6AB60F"/>
    <w:multiLevelType w:val="hybridMultilevel"/>
    <w:lvl w:ilvl="0">
      <w:lvlJc w:val="left"/>
      <w:lvlText w:val="%1)"/>
      <w:numFmt w:val="decimal"/>
      <w:start w:val="3"/>
    </w:lvl>
  </w:abstractNum>
  <w:abstractNum w:abstractNumId="16">
    <w:nsid w:val="61574095"/>
    <w:multiLevelType w:val="hybridMultilevel"/>
    <w:lvl w:ilvl="0">
      <w:lvlJc w:val="left"/>
      <w:lvlText w:val="%1)"/>
      <w:numFmt w:val="decimal"/>
      <w:start w:val="3"/>
    </w:lvl>
  </w:abstractNum>
  <w:abstractNum w:abstractNumId="17">
    <w:nsid w:val="7E0C57B1"/>
    <w:multiLevelType w:val="hybridMultilevel"/>
    <w:lvl w:ilvl="0">
      <w:lvlJc w:val="left"/>
      <w:lvlText w:val="(%1)"/>
      <w:numFmt w:val="decimal"/>
    </w:lvl>
    <w:lvl w:ilvl="1">
      <w:lvlJc w:val="left"/>
      <w:lvlText w:val="$"/>
      <w:numFmt w:val="bullet"/>
      <w:start w:val="1"/>
    </w:lvl>
  </w:abstractNum>
  <w:abstractNum w:abstractNumId="18">
    <w:nsid w:val="77AE35EB"/>
    <w:multiLevelType w:val="hybridMultilevel"/>
    <w:lvl w:ilvl="0">
      <w:lvlJc w:val="left"/>
      <w:lvlText w:val="(%1)"/>
      <w:numFmt w:val="decimal"/>
      <w:start w:val="1"/>
    </w:lvl>
  </w:abstractNum>
  <w:abstractNum w:abstractNumId="19">
    <w:nsid w:val="579BE4F1"/>
    <w:multiLevelType w:val="hybridMultilevel"/>
    <w:lvl w:ilvl="0">
      <w:lvlJc w:val="left"/>
      <w:lvlText w:val="%1)"/>
      <w:numFmt w:val="decimal"/>
      <w:start w:val="3"/>
    </w:lvl>
  </w:abstractNum>
  <w:abstractNum w:abstractNumId="20">
    <w:nsid w:val="310C50B3"/>
    <w:multiLevelType w:val="hybridMultilevel"/>
    <w:lvl w:ilvl="0">
      <w:lvlJc w:val="left"/>
      <w:lvlText w:val="(%1)"/>
      <w:numFmt w:val="decimal"/>
    </w:lvl>
    <w:lvl w:ilvl="1">
      <w:lvlJc w:val="left"/>
      <w:lvlText w:val="$"/>
      <w:numFmt w:val="bullet"/>
      <w:start w:val="1"/>
    </w:lvl>
  </w:abstractNum>
  <w:abstractNum w:abstractNumId="21">
    <w:nsid w:val="5FF87E05"/>
    <w:multiLevelType w:val="hybridMultilevel"/>
    <w:lvl w:ilvl="0">
      <w:lvlJc w:val="left"/>
      <w:lvlText w:val="(%1)"/>
      <w:numFmt w:val="decimal"/>
    </w:lvl>
    <w:lvl w:ilvl="1">
      <w:lvlJc w:val="left"/>
      <w:lvlText w:val="$"/>
      <w:numFmt w:val="bullet"/>
      <w:start w:val="1"/>
    </w:lvl>
  </w:abstractNum>
  <w:abstractNum w:abstractNumId="22">
    <w:nsid w:val="2F305DEF"/>
    <w:multiLevelType w:val="hybridMultilevel"/>
    <w:lvl w:ilvl="0">
      <w:lvlJc w:val="left"/>
      <w:lvlText w:val="%1)"/>
      <w:numFmt w:val="decimal"/>
      <w:start w:val="3"/>
    </w:lvl>
  </w:abstractNum>
  <w:abstractNum w:abstractNumId="23">
    <w:nsid w:val="25A70BF7"/>
    <w:multiLevelType w:val="hybridMultilevel"/>
    <w:lvl w:ilvl="0">
      <w:lvlJc w:val="left"/>
      <w:lvlText w:val="%1)"/>
      <w:numFmt w:val="decimal"/>
      <w:start w:val="3"/>
    </w:lvl>
  </w:abstractNum>
  <w:abstractNum w:abstractNumId="24">
    <w:nsid w:val="1DBABF00"/>
    <w:multiLevelType w:val="hybridMultilevel"/>
    <w:lvl w:ilvl="0">
      <w:lvlJc w:val="left"/>
      <w:lvlText w:val="%1)"/>
      <w:numFmt w:val="decimal"/>
      <w:start w:val="3"/>
    </w:lvl>
  </w:abstractNum>
  <w:abstractNum w:abstractNumId="25">
    <w:nsid w:val="4AD084E9"/>
    <w:multiLevelType w:val="hybridMultilevel"/>
    <w:lvl w:ilvl="0">
      <w:lvlJc w:val="left"/>
      <w:lvlText w:val="(%1)"/>
      <w:numFmt w:val="decimal"/>
      <w:start w:val="1"/>
    </w:lvl>
  </w:abstractNum>
  <w:abstractNum w:abstractNumId="26">
    <w:nsid w:val="1F48EAA1"/>
    <w:multiLevelType w:val="hybridMultilevel"/>
    <w:lvl w:ilvl="0">
      <w:lvlJc w:val="left"/>
      <w:lvlText w:val="%1)"/>
      <w:numFmt w:val="decimal"/>
      <w:start w:val="3"/>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1)"/>
      <w:numFmt w:val="decimal"/>
      <w:start w:val="3"/>
    </w:lvl>
  </w:abstractNum>
  <w:abstractNum w:abstractNumId="29">
    <w:nsid w:val="100F8FCA"/>
    <w:multiLevelType w:val="hybridMultilevel"/>
    <w:lvl w:ilvl="0">
      <w:lvlJc w:val="left"/>
      <w:lvlText w:val="%1)"/>
      <w:numFmt w:val="decimal"/>
      <w:start w:val="3"/>
    </w:lvl>
  </w:abstractNum>
  <w:abstractNum w:abstractNumId="30">
    <w:nsid w:val="6590700B"/>
    <w:multiLevelType w:val="hybridMultilevel"/>
    <w:lvl w:ilvl="0">
      <w:lvlJc w:val="left"/>
      <w:lvlText w:val="%1)"/>
      <w:numFmt w:val="decimal"/>
      <w:start w:val="3"/>
    </w:lvl>
  </w:abstractNum>
  <w:abstractNum w:abstractNumId="31">
    <w:nsid w:val="15014ACB"/>
    <w:multiLevelType w:val="hybridMultilevel"/>
    <w:lvl w:ilvl="0">
      <w:lvlJc w:val="left"/>
      <w:lvlText w:val="%1)"/>
      <w:numFmt w:val="decimal"/>
      <w:start w:val="3"/>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3"/>
    </w:lvl>
  </w:abstractNum>
  <w:abstractNum w:abstractNumId="34">
    <w:nsid w:val="799D0247"/>
    <w:multiLevelType w:val="hybridMultilevel"/>
    <w:lvl w:ilvl="0">
      <w:lvlJc w:val="left"/>
      <w:lvlText w:val="%1)"/>
      <w:numFmt w:val="decimal"/>
      <w:start w:val="3"/>
    </w:lvl>
  </w:abstractNum>
  <w:abstractNum w:abstractNumId="35">
    <w:nsid w:val="6B94764"/>
    <w:multiLevelType w:val="hybridMultilevel"/>
    <w:lvl w:ilvl="0">
      <w:lvlJc w:val="left"/>
      <w:lvlText w:val="%1)"/>
      <w:numFmt w:val="decimal"/>
      <w:start w:val="4"/>
    </w:lvl>
  </w:abstractNum>
  <w:abstractNum w:abstractNumId="36">
    <w:nsid w:val="42C296BD"/>
    <w:multiLevelType w:val="hybridMultilevel"/>
    <w:lvl w:ilvl="0">
      <w:lvlJc w:val="left"/>
      <w:lvlText w:val="%1)"/>
      <w:numFmt w:val="decimal"/>
      <w:start w:val="4"/>
    </w:lvl>
  </w:abstractNum>
  <w:abstractNum w:abstractNumId="37">
    <w:nsid w:val="168E121F"/>
    <w:multiLevelType w:val="hybridMultilevel"/>
    <w:lvl w:ilvl="0">
      <w:lvlJc w:val="left"/>
      <w:lvlText w:val="%1)"/>
      <w:numFmt w:val="decimal"/>
      <w:start w:val="5"/>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1)"/>
      <w:numFmt w:val="decimal"/>
      <w:start w:val="5"/>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5"/>
    </w:lvl>
  </w:abstractNum>
  <w:abstractNum w:abstractNumId="50">
    <w:nsid w:val="1A32234B"/>
    <w:multiLevelType w:val="hybridMultilevel"/>
    <w:lvl w:ilvl="0">
      <w:lvlJc w:val="left"/>
      <w:lvlText w:val="%1)"/>
      <w:numFmt w:val="decimal"/>
      <w:start w:val="6"/>
    </w:lvl>
  </w:abstractNum>
  <w:abstractNum w:abstractNumId="51">
    <w:nsid w:val="3B0FD379"/>
    <w:multiLevelType w:val="hybridMultilevel"/>
    <w:lvl w:ilvl="0">
      <w:lvlJc w:val="left"/>
      <w:lvlText w:val="%1)"/>
      <w:numFmt w:val="decimal"/>
      <w:start w:val="7"/>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3"/>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decimal"/>
      <w:start w:val="3"/>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3"/>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3"/>
    </w:lvl>
  </w:abstractNum>
  <w:abstractNum w:abstractNumId="60">
    <w:nsid w:val="100F59DC"/>
    <w:multiLevelType w:val="hybridMultilevel"/>
    <w:lvl w:ilvl="0">
      <w:lvlJc w:val="left"/>
      <w:lvlText w:val="%1)"/>
      <w:numFmt w:val="decimal"/>
      <w:start w:val="8"/>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decimal"/>
      <w:start w:val="8"/>
    </w:lvl>
  </w:abstractNum>
  <w:abstractNum w:abstractNumId="63">
    <w:nsid w:val="6F6DD9AC"/>
    <w:multiLevelType w:val="hybridMultilevel"/>
    <w:lvl w:ilvl="0">
      <w:lvlJc w:val="left"/>
      <w:lvlText w:val="%1)"/>
      <w:numFmt w:val="decimal"/>
      <w:start w:val="8"/>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8"/>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8"/>
    </w:lvl>
  </w:abstractNum>
  <w:abstractNum w:abstractNumId="68">
    <w:nsid w:val="1716703B"/>
    <w:multiLevelType w:val="hybridMultilevel"/>
    <w:lvl w:ilvl="0">
      <w:lvlJc w:val="left"/>
      <w:lvlText w:val="%1)"/>
      <w:numFmt w:val="decimal"/>
      <w:start w:val="8"/>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decimal"/>
      <w:start w:val="8"/>
    </w:lvl>
  </w:abstractNum>
  <w:abstractNum w:abstractNumId="72">
    <w:nsid w:val="68EBC550"/>
    <w:multiLevelType w:val="hybridMultilevel"/>
    <w:lvl w:ilvl="0">
      <w:lvlJc w:val="left"/>
      <w:lvlText w:val="(%1)"/>
      <w:numFmt w:val="decimal"/>
      <w:start w:val="1"/>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decimal"/>
      <w:start w:val="8"/>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8"/>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8"/>
    </w:lvl>
  </w:abstractNum>
  <w:abstractNum w:abstractNumId="79">
    <w:nsid w:val="43F18422"/>
    <w:multiLevelType w:val="hybridMultilevel"/>
    <w:lvl w:ilvl="0">
      <w:lvlJc w:val="left"/>
      <w:lvlText w:val="%1)"/>
      <w:numFmt w:val="decimal"/>
      <w:start w:val="9"/>
    </w:lvl>
  </w:abstractNum>
  <w:abstractNum w:abstractNumId="80">
    <w:nsid w:val="60EF0119"/>
    <w:multiLevelType w:val="hybridMultilevel"/>
    <w:lvl w:ilvl="0">
      <w:lvlJc w:val="left"/>
      <w:lvlText w:val="%1)"/>
      <w:numFmt w:val="decimal"/>
      <w:start w:val="9"/>
    </w:lvl>
  </w:abstractNum>
  <w:abstractNum w:abstractNumId="81">
    <w:nsid w:val="26F324BA"/>
    <w:multiLevelType w:val="hybridMultilevel"/>
    <w:lvl w:ilvl="0">
      <w:lvlJc w:val="left"/>
      <w:lvlText w:val="%1)"/>
      <w:numFmt w:val="decimal"/>
      <w:start w:val="10"/>
    </w:lvl>
  </w:abstractNum>
  <w:abstractNum w:abstractNumId="82">
    <w:nsid w:val="7F01579B"/>
    <w:multiLevelType w:val="hybridMultilevel"/>
    <w:lvl w:ilvl="0">
      <w:lvlJc w:val="left"/>
      <w:lvlText w:val="%1)"/>
      <w:numFmt w:val="decimal"/>
      <w:start w:val="10"/>
    </w:lvl>
  </w:abstractNum>
  <w:abstractNum w:abstractNumId="83">
    <w:nsid w:val="49DA307D"/>
    <w:multiLevelType w:val="hybridMultilevel"/>
    <w:lvl w:ilvl="0">
      <w:lvlJc w:val="left"/>
      <w:lvlText w:val="%1)"/>
      <w:numFmt w:val="decimal"/>
      <w:start w:val="11"/>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1)"/>
      <w:numFmt w:val="decimal"/>
      <w:start w:val="11"/>
    </w:lvl>
  </w:abstractNum>
  <w:abstractNum w:abstractNumId="86">
    <w:nsid w:val="50801EE1"/>
    <w:multiLevelType w:val="hybridMultilevel"/>
    <w:lvl w:ilvl="0">
      <w:lvlJc w:val="left"/>
      <w:lvlText w:val="%1)"/>
      <w:numFmt w:val="decimal"/>
      <w:start w:val="12"/>
    </w:lvl>
  </w:abstractNum>
  <w:abstractNum w:abstractNumId="87">
    <w:nsid w:val="488AC1A"/>
    <w:multiLevelType w:val="hybridMultilevel"/>
    <w:lvl w:ilvl="0">
      <w:lvlJc w:val="left"/>
      <w:lvlText w:val="%1)"/>
      <w:numFmt w:val="decimal"/>
      <w:start w:val="13"/>
    </w:lvl>
  </w:abstractNum>
  <w:abstractNum w:abstractNumId="88">
    <w:nsid w:val="5FB8011C"/>
    <w:multiLevelType w:val="hybridMultilevel"/>
    <w:lvl w:ilvl="0">
      <w:lvlJc w:val="left"/>
      <w:lvlText w:val="%1)"/>
      <w:numFmt w:val="decimal"/>
      <w:start w:val="13"/>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5"/>
    </w:lvl>
  </w:abstractNum>
  <w:abstractNum w:abstractNumId="91">
    <w:nsid w:val="6FC75AF8"/>
    <w:multiLevelType w:val="hybridMultilevel"/>
    <w:lvl w:ilvl="0">
      <w:lvlJc w:val="left"/>
      <w:lvlText w:val="%1)"/>
      <w:numFmt w:val="decimal"/>
      <w:start w:val="15"/>
    </w:lvl>
  </w:abstractNum>
  <w:abstractNum w:abstractNumId="92">
    <w:nsid w:val="6A5F7029"/>
    <w:multiLevelType w:val="hybridMultilevel"/>
    <w:lvl w:ilvl="0">
      <w:lvlJc w:val="left"/>
      <w:lvlText w:val="%1)"/>
      <w:numFmt w:val="decimal"/>
      <w:start w:val="15"/>
    </w:lvl>
  </w:abstractNum>
  <w:abstractNum w:abstractNumId="93">
    <w:nsid w:val="7D5E18F8"/>
    <w:multiLevelType w:val="hybridMultilevel"/>
    <w:lvl w:ilvl="0">
      <w:lvlJc w:val="left"/>
      <w:lvlText w:val="%1)"/>
      <w:numFmt w:val="decimal"/>
      <w:start w:val="15"/>
    </w:lvl>
  </w:abstractNum>
  <w:abstractNum w:abstractNumId="94">
    <w:nsid w:val="5F3534A4"/>
    <w:multiLevelType w:val="hybridMultilevel"/>
    <w:lvl w:ilvl="0">
      <w:lvlJc w:val="left"/>
      <w:lvlText w:val="(%1)"/>
      <w:numFmt w:val="decimal"/>
      <w:start w:val="1"/>
    </w:lvl>
  </w:abstractNum>
  <w:abstractNum w:abstractNumId="95">
    <w:nsid w:val="73A1821B"/>
    <w:multiLevelType w:val="hybridMultilevel"/>
    <w:lvl w:ilvl="0">
      <w:lvlJc w:val="left"/>
      <w:lvlText w:val="%1)"/>
      <w:numFmt w:val="decimal"/>
      <w:start w:val="15"/>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decimal"/>
      <w:start w:val="15"/>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1)"/>
      <w:numFmt w:val="decimal"/>
      <w:start w:val="16"/>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21"/>
    </w:lvl>
  </w:abstractNum>
  <w:abstractNum w:abstractNumId="102">
    <w:nsid w:val="9DAF632"/>
    <w:multiLevelType w:val="hybridMultilevel"/>
    <w:lvl w:ilvl="0">
      <w:lvlJc w:val="left"/>
      <w:lvlText w:val="%1"/>
      <w:numFmt w:val="decimal"/>
      <w:start w:val="104"/>
    </w:lvl>
    <w:lvl w:ilvl="1">
      <w:lvlJc w:val="left"/>
      <w:lvlText w:val="(%2)"/>
      <w:numFmt w:val="decimal"/>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2" Type="http://schemas.openxmlformats.org/officeDocument/2006/relationships/hyperlink" Target="https://www.sec.gov/Archives/edgar/data/318673/000109690617000214/exh3_1.pdf" TargetMode="External"/><Relationship Id="rId173"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2025-08-14T10:33:31Z</dcterms:created>
  <dcterms:modified xsi:type="dcterms:W3CDTF">2025-08-14T10:33:31Z</dcterms:modified>
</cp:coreProperties>
</file>