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154305</wp:posOffset>
            </wp:positionH>
            <wp:positionV relativeFrom="page">
              <wp:posOffset>154305</wp:posOffset>
            </wp:positionV>
            <wp:extent cx="725360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238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267970</wp:posOffset>
            </wp:positionV>
            <wp:extent cx="7253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825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268" w:lineRule="exact"/>
        <w:rPr>
          <w:sz w:val="24"/>
          <w:szCs w:val="24"/>
          <w:color w:val="auto"/>
        </w:rPr>
      </w:pPr>
    </w:p>
    <w:p>
      <w:pPr>
        <w:jc w:val="center"/>
        <w:ind w:left="4200" w:right="1220" w:hanging="2973"/>
        <w:spacing w:after="0" w:line="285" w:lineRule="auto"/>
        <w:tabs>
          <w:tab w:leader="none" w:pos="1514"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REPORT PURSUANT TO SECTION 13 OR 15(d) OF THE SECURITIES EXCHANGE ACT OF 1934 For the quarter ended March 31, 2018, or</w:t>
      </w:r>
    </w:p>
    <w:p>
      <w:pPr>
        <w:spacing w:after="0" w:line="203" w:lineRule="exact"/>
        <w:rPr>
          <w:sz w:val="24"/>
          <w:szCs w:val="24"/>
          <w:color w:val="auto"/>
        </w:rPr>
      </w:pPr>
    </w:p>
    <w:p>
      <w:pPr>
        <w:ind w:left="1360" w:hanging="99"/>
        <w:spacing w:after="0"/>
        <w:tabs>
          <w:tab w:leader="none" w:pos="13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TRANSITION REPORT PURSUANT TO SECTION 13 OR 15(d) OF THE SECURITIES EXCHANGE ACT OF 1934</w:t>
      </w:r>
    </w:p>
    <w:p>
      <w:pPr>
        <w:spacing w:after="0" w:line="215" w:lineRule="exact"/>
        <w:rPr>
          <w:rFonts w:ascii="Arial" w:cs="Arial" w:eastAsia="Arial" w:hAnsi="Arial"/>
          <w:sz w:val="17"/>
          <w:szCs w:val="17"/>
          <w:b w:val="1"/>
          <w:bCs w:val="1"/>
          <w:color w:val="auto"/>
        </w:rPr>
      </w:pPr>
    </w:p>
    <w:p>
      <w:pPr>
        <w:ind w:left="39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For the Transition Period from _____ to ________</w:t>
      </w:r>
    </w:p>
    <w:p>
      <w:pPr>
        <w:spacing w:after="0" w:line="266" w:lineRule="exact"/>
        <w:rPr>
          <w:rFonts w:ascii="Arial" w:cs="Arial" w:eastAsia="Arial" w:hAnsi="Arial"/>
          <w:sz w:val="17"/>
          <w:szCs w:val="17"/>
          <w:b w:val="1"/>
          <w:bCs w:val="1"/>
          <w:color w:val="auto"/>
        </w:rPr>
      </w:pPr>
    </w:p>
    <w:p>
      <w:pPr>
        <w:ind w:left="44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Commission file number: 000-09341</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1"/>
          <w:szCs w:val="31"/>
          <w:b w:val="1"/>
          <w:bCs w:val="1"/>
          <w:u w:val="single" w:color="auto"/>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236" w:lineRule="exact"/>
        <w:rPr>
          <w:sz w:val="24"/>
          <w:szCs w:val="24"/>
          <w:color w:val="auto"/>
        </w:rPr>
      </w:pPr>
    </w:p>
    <w:tbl>
      <w:tblPr>
        <w:tblLayout w:type="fixed"/>
        <w:tblInd w:w="780" w:type="dxa"/>
        <w:tblCellMar>
          <w:top w:w="0" w:type="dxa"/>
          <w:left w:w="0" w:type="dxa"/>
          <w:bottom w:w="0" w:type="dxa"/>
          <w:right w:w="0" w:type="dxa"/>
        </w:tblCellMar>
      </w:tblPr>
      <w:tr>
        <w:trPr>
          <w:trHeight w:val="195"/>
        </w:trPr>
        <w:tc>
          <w:tcPr>
            <w:tcW w:w="160" w:type="dxa"/>
            <w:vAlign w:val="bottom"/>
          </w:tcPr>
          <w:p>
            <w:pPr>
              <w:spacing w:after="0"/>
              <w:rPr>
                <w:sz w:val="16"/>
                <w:szCs w:val="16"/>
                <w:color w:val="auto"/>
              </w:rPr>
            </w:pPr>
          </w:p>
        </w:tc>
        <w:tc>
          <w:tcPr>
            <w:tcW w:w="4220" w:type="dxa"/>
            <w:vAlign w:val="bottom"/>
            <w:gridSpan w:val="4"/>
          </w:tcPr>
          <w:p>
            <w:pPr>
              <w:jc w:val="center"/>
              <w:ind w:right="380"/>
              <w:spacing w:after="0"/>
              <w:rPr>
                <w:sz w:val="20"/>
                <w:szCs w:val="20"/>
                <w:color w:val="auto"/>
              </w:rPr>
            </w:pPr>
            <w:r>
              <w:rPr>
                <w:rFonts w:ascii="Arial" w:cs="Arial" w:eastAsia="Arial" w:hAnsi="Arial"/>
                <w:sz w:val="17"/>
                <w:szCs w:val="17"/>
                <w:b w:val="1"/>
                <w:bCs w:val="1"/>
                <w:color w:val="auto"/>
              </w:rPr>
              <w:t>UTAH</w:t>
            </w:r>
          </w:p>
        </w:tc>
        <w:tc>
          <w:tcPr>
            <w:tcW w:w="4640" w:type="dxa"/>
            <w:vAlign w:val="bottom"/>
            <w:gridSpan w:val="6"/>
          </w:tcPr>
          <w:p>
            <w:pPr>
              <w:jc w:val="right"/>
              <w:ind w:right="820"/>
              <w:spacing w:after="0"/>
              <w:rPr>
                <w:sz w:val="20"/>
                <w:szCs w:val="20"/>
                <w:color w:val="auto"/>
              </w:rPr>
            </w:pPr>
            <w:r>
              <w:rPr>
                <w:rFonts w:ascii="Arial" w:cs="Arial" w:eastAsia="Arial" w:hAnsi="Arial"/>
                <w:sz w:val="17"/>
                <w:szCs w:val="17"/>
                <w:b w:val="1"/>
                <w:bCs w:val="1"/>
                <w:color w:val="auto"/>
              </w:rPr>
              <w:t>87-0345941</w:t>
            </w:r>
          </w:p>
        </w:tc>
      </w:tr>
      <w:tr>
        <w:trPr>
          <w:trHeight w:val="20"/>
        </w:trPr>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3"/>
        </w:trPr>
        <w:tc>
          <w:tcPr>
            <w:tcW w:w="4380" w:type="dxa"/>
            <w:vAlign w:val="bottom"/>
            <w:gridSpan w:val="5"/>
          </w:tcPr>
          <w:p>
            <w:pPr>
              <w:jc w:val="center"/>
              <w:ind w:right="220"/>
              <w:spacing w:after="0"/>
              <w:rPr>
                <w:sz w:val="20"/>
                <w:szCs w:val="20"/>
                <w:color w:val="auto"/>
              </w:rPr>
            </w:pPr>
            <w:r>
              <w:rPr>
                <w:rFonts w:ascii="Arial" w:cs="Arial" w:eastAsia="Arial" w:hAnsi="Arial"/>
                <w:sz w:val="17"/>
                <w:szCs w:val="17"/>
                <w:i w:val="1"/>
                <w:iCs w:val="1"/>
                <w:color w:val="auto"/>
                <w:w w:val="94"/>
              </w:rPr>
              <w:t>(State or other jurisdiction of incorporation or organization)</w:t>
            </w:r>
          </w:p>
        </w:tc>
        <w:tc>
          <w:tcPr>
            <w:tcW w:w="1100" w:type="dxa"/>
            <w:vAlign w:val="bottom"/>
          </w:tcPr>
          <w:p>
            <w:pPr>
              <w:spacing w:after="0"/>
              <w:rPr>
                <w:sz w:val="19"/>
                <w:szCs w:val="19"/>
                <w:color w:val="auto"/>
              </w:rPr>
            </w:pPr>
          </w:p>
        </w:tc>
        <w:tc>
          <w:tcPr>
            <w:tcW w:w="3540" w:type="dxa"/>
            <w:vAlign w:val="bottom"/>
            <w:gridSpan w:val="5"/>
          </w:tcPr>
          <w:p>
            <w:pPr>
              <w:jc w:val="center"/>
              <w:ind w:left="994"/>
              <w:spacing w:after="0"/>
              <w:rPr>
                <w:sz w:val="20"/>
                <w:szCs w:val="20"/>
                <w:color w:val="auto"/>
              </w:rPr>
            </w:pPr>
            <w:r>
              <w:rPr>
                <w:rFonts w:ascii="Arial" w:cs="Arial" w:eastAsia="Arial" w:hAnsi="Arial"/>
                <w:sz w:val="17"/>
                <w:szCs w:val="17"/>
                <w:i w:val="1"/>
                <w:iCs w:val="1"/>
                <w:color w:val="auto"/>
                <w:w w:val="93"/>
              </w:rPr>
              <w:t>(I.R.S. Employer Identification No.)</w:t>
            </w:r>
          </w:p>
        </w:tc>
      </w:tr>
      <w:tr>
        <w:trPr>
          <w:trHeight w:val="374"/>
        </w:trPr>
        <w:tc>
          <w:tcPr>
            <w:tcW w:w="160" w:type="dxa"/>
            <w:vAlign w:val="bottom"/>
          </w:tcPr>
          <w:p>
            <w:pPr>
              <w:spacing w:after="0"/>
              <w:rPr>
                <w:sz w:val="24"/>
                <w:szCs w:val="24"/>
                <w:color w:val="auto"/>
              </w:rPr>
            </w:pPr>
          </w:p>
        </w:tc>
        <w:tc>
          <w:tcPr>
            <w:tcW w:w="4220" w:type="dxa"/>
            <w:vAlign w:val="bottom"/>
            <w:gridSpan w:val="4"/>
          </w:tcPr>
          <w:p>
            <w:pPr>
              <w:jc w:val="center"/>
              <w:ind w:right="380"/>
              <w:spacing w:after="0"/>
              <w:rPr>
                <w:sz w:val="20"/>
                <w:szCs w:val="20"/>
                <w:color w:val="auto"/>
              </w:rPr>
            </w:pPr>
            <w:r>
              <w:rPr>
                <w:rFonts w:ascii="Arial" w:cs="Arial" w:eastAsia="Arial" w:hAnsi="Arial"/>
                <w:sz w:val="17"/>
                <w:szCs w:val="17"/>
                <w:b w:val="1"/>
                <w:bCs w:val="1"/>
                <w:color w:val="auto"/>
                <w:w w:val="91"/>
              </w:rPr>
              <w:t>5300 South 360 West, Suite 250, Salt Lake City, Utah</w:t>
            </w:r>
          </w:p>
        </w:tc>
        <w:tc>
          <w:tcPr>
            <w:tcW w:w="3820" w:type="dxa"/>
            <w:vAlign w:val="bottom"/>
            <w:gridSpan w:val="5"/>
          </w:tcPr>
          <w:p>
            <w:pPr>
              <w:jc w:val="right"/>
              <w:ind w:right="200"/>
              <w:spacing w:after="0"/>
              <w:rPr>
                <w:sz w:val="20"/>
                <w:szCs w:val="20"/>
                <w:color w:val="auto"/>
              </w:rPr>
            </w:pPr>
            <w:r>
              <w:rPr>
                <w:rFonts w:ascii="Arial" w:cs="Arial" w:eastAsia="Arial" w:hAnsi="Arial"/>
                <w:sz w:val="17"/>
                <w:szCs w:val="17"/>
                <w:b w:val="1"/>
                <w:bCs w:val="1"/>
                <w:color w:val="auto"/>
              </w:rPr>
              <w:t>84123</w:t>
            </w:r>
          </w:p>
        </w:tc>
        <w:tc>
          <w:tcPr>
            <w:tcW w:w="82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384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3840" w:type="dxa"/>
            <w:vAlign w:val="bottom"/>
            <w:gridSpan w:val="3"/>
          </w:tcPr>
          <w:p>
            <w:pPr>
              <w:jc w:val="center"/>
              <w:spacing w:after="0"/>
              <w:rPr>
                <w:sz w:val="20"/>
                <w:szCs w:val="20"/>
                <w:color w:val="auto"/>
              </w:rPr>
            </w:pPr>
            <w:r>
              <w:rPr>
                <w:rFonts w:ascii="Arial" w:cs="Arial" w:eastAsia="Arial" w:hAnsi="Arial"/>
                <w:sz w:val="17"/>
                <w:szCs w:val="17"/>
                <w:i w:val="1"/>
                <w:iCs w:val="1"/>
                <w:color w:val="auto"/>
                <w:w w:val="92"/>
              </w:rPr>
              <w:t>(Address of principal executive offices)</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40" w:type="dxa"/>
            <w:vAlign w:val="bottom"/>
            <w:gridSpan w:val="4"/>
          </w:tcPr>
          <w:p>
            <w:pPr>
              <w:jc w:val="center"/>
              <w:ind w:right="820"/>
              <w:spacing w:after="0"/>
              <w:rPr>
                <w:sz w:val="20"/>
                <w:szCs w:val="20"/>
                <w:color w:val="auto"/>
              </w:rPr>
            </w:pPr>
            <w:r>
              <w:rPr>
                <w:rFonts w:ascii="Arial" w:cs="Arial" w:eastAsia="Arial" w:hAnsi="Arial"/>
                <w:sz w:val="17"/>
                <w:szCs w:val="17"/>
                <w:i w:val="1"/>
                <w:iCs w:val="1"/>
                <w:color w:val="auto"/>
                <w:w w:val="92"/>
              </w:rPr>
              <w:t>(Zip Code)</w:t>
            </w:r>
          </w:p>
        </w:tc>
      </w:tr>
      <w:tr>
        <w:trPr>
          <w:trHeight w:val="374"/>
        </w:trPr>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(801) 264-1060</w:t>
            </w: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200" w:lineRule="exact"/>
        <w:rPr>
          <w:sz w:val="24"/>
          <w:szCs w:val="24"/>
          <w:color w:val="auto"/>
        </w:rPr>
      </w:pPr>
    </w:p>
    <w:p>
      <w:pPr>
        <w:spacing w:after="0" w:line="323" w:lineRule="exact"/>
        <w:rPr>
          <w:sz w:val="24"/>
          <w:szCs w:val="24"/>
          <w:color w:val="auto"/>
        </w:rPr>
      </w:pPr>
    </w:p>
    <w:p>
      <w:pPr>
        <w:jc w:val="both"/>
        <w:ind w:firstLine="385"/>
        <w:spacing w:after="0" w:line="26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28" w:lineRule="exact"/>
        <w:rPr>
          <w:sz w:val="24"/>
          <w:szCs w:val="24"/>
          <w:color w:val="auto"/>
        </w:rPr>
      </w:pPr>
    </w:p>
    <w:p>
      <w:pPr>
        <w:jc w:val="both"/>
        <w:ind w:firstLine="385"/>
        <w:spacing w:after="0" w:line="26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228" w:lineRule="exact"/>
        <w:rPr>
          <w:sz w:val="24"/>
          <w:szCs w:val="24"/>
          <w:color w:val="auto"/>
        </w:rPr>
      </w:pPr>
    </w:p>
    <w:p>
      <w:pPr>
        <w:jc w:val="both"/>
        <w:ind w:firstLine="385"/>
        <w:spacing w:after="0" w:line="27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23" w:right="239" w:bottom="1440" w:gutter="0" w:footer="0" w:header="0"/>
        </w:sectPr>
      </w:pPr>
    </w:p>
    <w:p>
      <w:pPr>
        <w:spacing w:after="0" w:line="216" w:lineRule="exact"/>
        <w:rPr>
          <w:sz w:val="24"/>
          <w:szCs w:val="24"/>
          <w:color w:val="auto"/>
        </w:rPr>
      </w:pPr>
    </w:p>
    <w:p>
      <w:pPr>
        <w:ind w:left="260"/>
        <w:spacing w:after="0"/>
        <w:rPr>
          <w:sz w:val="20"/>
          <w:szCs w:val="20"/>
          <w:color w:val="auto"/>
        </w:rPr>
      </w:pPr>
      <w:r>
        <w:rPr>
          <w:rFonts w:ascii="Arial" w:cs="Arial" w:eastAsia="Arial" w:hAnsi="Arial"/>
          <w:sz w:val="17"/>
          <w:szCs w:val="17"/>
          <w:color w:val="auto"/>
        </w:rPr>
        <w:t>Large accelerated filer [ ]</w:t>
      </w:r>
    </w:p>
    <w:p>
      <w:pPr>
        <w:spacing w:after="0" w:line="21" w:lineRule="exact"/>
        <w:rPr>
          <w:sz w:val="24"/>
          <w:szCs w:val="24"/>
          <w:color w:val="auto"/>
        </w:rPr>
      </w:pPr>
    </w:p>
    <w:p>
      <w:pPr>
        <w:ind w:left="260"/>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[X]</w:t>
      </w:r>
    </w:p>
    <w:p>
      <w:pPr>
        <w:spacing w:after="0" w:line="200" w:lineRule="exact"/>
        <w:rPr>
          <w:sz w:val="24"/>
          <w:szCs w:val="24"/>
          <w:color w:val="auto"/>
        </w:rPr>
      </w:pPr>
    </w:p>
    <w:p>
      <w:pPr>
        <w:sectPr>
          <w:pgSz w:w="11900" w:h="16838" w:orient="portrait"/>
          <w:cols w:equalWidth="0" w:num="2">
            <w:col w:w="5460" w:space="720"/>
            <w:col w:w="5240"/>
          </w:cols>
          <w:pgMar w:left="240" w:top="523" w:right="239" w:bottom="1440" w:gutter="0" w:footer="0" w:header="0"/>
          <w:type w:val="continuous"/>
        </w:sectPr>
      </w:pPr>
    </w:p>
    <w:p>
      <w:pPr>
        <w:spacing w:after="0" w:line="335" w:lineRule="exact"/>
        <w:rPr>
          <w:sz w:val="24"/>
          <w:szCs w:val="24"/>
          <w:color w:val="auto"/>
        </w:rPr>
      </w:pPr>
    </w:p>
    <w:p>
      <w:pPr>
        <w:ind w:left="38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 ] No [X]</w:t>
      </w:r>
    </w:p>
    <w:p>
      <w:pPr>
        <w:spacing w:after="0" w:line="267" w:lineRule="exact"/>
        <w:rPr>
          <w:sz w:val="24"/>
          <w:szCs w:val="24"/>
          <w:color w:val="auto"/>
        </w:rPr>
      </w:pPr>
    </w:p>
    <w:p>
      <w:pPr>
        <w:ind w:left="380"/>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460" w:type="dxa"/>
            <w:vAlign w:val="bottom"/>
          </w:tcPr>
          <w:p>
            <w:pPr>
              <w:spacing w:after="0"/>
              <w:rPr>
                <w:sz w:val="16"/>
                <w:szCs w:val="16"/>
                <w:color w:val="auto"/>
              </w:rPr>
            </w:pPr>
          </w:p>
        </w:tc>
        <w:tc>
          <w:tcPr>
            <w:tcW w:w="28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1"/>
              </w:rPr>
              <w:t xml:space="preserve">Class A Common Stock, </w:t>
            </w:r>
            <w:r>
              <w:rPr>
                <w:rFonts w:ascii="Arial" w:cs="Arial" w:eastAsia="Arial" w:hAnsi="Arial"/>
                <w:sz w:val="17"/>
                <w:szCs w:val="17"/>
                <w:u w:val="single" w:color="auto"/>
                <w:color w:val="auto"/>
                <w:w w:val="91"/>
              </w:rPr>
              <w:t>$</w:t>
            </w:r>
            <w:r>
              <w:rPr>
                <w:rFonts w:ascii="Arial" w:cs="Arial" w:eastAsia="Arial" w:hAnsi="Arial"/>
                <w:sz w:val="17"/>
                <w:szCs w:val="17"/>
                <w:color w:val="auto"/>
                <w:w w:val="91"/>
              </w:rPr>
              <w:t>2.00 par value</w:t>
            </w:r>
          </w:p>
        </w:tc>
        <w:tc>
          <w:tcPr>
            <w:tcW w:w="12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9"/>
              </w:rPr>
              <w:t>14,569,321</w:t>
            </w:r>
          </w:p>
        </w:tc>
        <w:tc>
          <w:tcPr>
            <w:tcW w:w="2460" w:type="dxa"/>
            <w:vAlign w:val="bottom"/>
          </w:tcPr>
          <w:p>
            <w:pPr>
              <w:spacing w:after="0"/>
              <w:rPr>
                <w:sz w:val="16"/>
                <w:szCs w:val="16"/>
                <w:color w:val="auto"/>
              </w:rPr>
            </w:pPr>
          </w:p>
        </w:tc>
      </w:tr>
      <w:tr>
        <w:trPr>
          <w:trHeight w:val="223"/>
        </w:trPr>
        <w:tc>
          <w:tcPr>
            <w:tcW w:w="1460" w:type="dxa"/>
            <w:vAlign w:val="bottom"/>
          </w:tcPr>
          <w:p>
            <w:pPr>
              <w:spacing w:after="0"/>
              <w:rPr>
                <w:sz w:val="19"/>
                <w:szCs w:val="19"/>
                <w:color w:val="auto"/>
              </w:rPr>
            </w:pPr>
          </w:p>
        </w:tc>
        <w:tc>
          <w:tcPr>
            <w:tcW w:w="4080" w:type="dxa"/>
            <w:vAlign w:val="bottom"/>
            <w:gridSpan w:val="3"/>
          </w:tcPr>
          <w:p>
            <w:pPr>
              <w:jc w:val="center"/>
              <w:ind w:right="1280"/>
              <w:spacing w:after="0"/>
              <w:rPr>
                <w:sz w:val="20"/>
                <w:szCs w:val="20"/>
                <w:color w:val="auto"/>
              </w:rPr>
            </w:pPr>
            <w:r>
              <w:rPr>
                <w:rFonts w:ascii="Arial" w:cs="Arial" w:eastAsia="Arial" w:hAnsi="Arial"/>
                <w:sz w:val="17"/>
                <w:szCs w:val="17"/>
                <w:color w:val="auto"/>
                <w:w w:val="93"/>
              </w:rPr>
              <w:t>Title of Class</w:t>
            </w:r>
          </w:p>
        </w:tc>
        <w:tc>
          <w:tcPr>
            <w:tcW w:w="5880" w:type="dxa"/>
            <w:vAlign w:val="bottom"/>
            <w:gridSpan w:val="5"/>
          </w:tcPr>
          <w:p>
            <w:pPr>
              <w:ind w:left="1280"/>
              <w:spacing w:after="0"/>
              <w:rPr>
                <w:sz w:val="20"/>
                <w:szCs w:val="20"/>
                <w:color w:val="auto"/>
              </w:rPr>
            </w:pPr>
            <w:r>
              <w:rPr>
                <w:rFonts w:ascii="Arial" w:cs="Arial" w:eastAsia="Arial" w:hAnsi="Arial"/>
                <w:sz w:val="17"/>
                <w:szCs w:val="17"/>
                <w:color w:val="auto"/>
              </w:rPr>
              <w:t>Number of Shares Outstanding as of May 15, 2018</w:t>
            </w:r>
          </w:p>
        </w:tc>
      </w:tr>
      <w:tr>
        <w:trPr>
          <w:trHeight w:val="374"/>
        </w:trPr>
        <w:tc>
          <w:tcPr>
            <w:tcW w:w="1460" w:type="dxa"/>
            <w:vAlign w:val="bottom"/>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 xml:space="preserve">Class C Common Stock, </w:t>
            </w:r>
            <w:r>
              <w:rPr>
                <w:rFonts w:ascii="Arial" w:cs="Arial" w:eastAsia="Arial" w:hAnsi="Arial"/>
                <w:sz w:val="17"/>
                <w:szCs w:val="17"/>
                <w:u w:val="single" w:color="auto"/>
                <w:color w:val="auto"/>
                <w:w w:val="91"/>
              </w:rPr>
              <w:t>$</w:t>
            </w:r>
            <w:r>
              <w:rPr>
                <w:rFonts w:ascii="Arial" w:cs="Arial" w:eastAsia="Arial" w:hAnsi="Arial"/>
                <w:sz w:val="17"/>
                <w:szCs w:val="17"/>
                <w:color w:val="auto"/>
                <w:w w:val="91"/>
              </w:rPr>
              <w:t>2.00 par value</w:t>
            </w:r>
          </w:p>
        </w:tc>
        <w:tc>
          <w:tcPr>
            <w:tcW w:w="1280" w:type="dxa"/>
            <w:vAlign w:val="bottom"/>
            <w:gridSpan w:val="2"/>
          </w:tcPr>
          <w:p>
            <w:pPr>
              <w:spacing w:after="0"/>
              <w:rPr>
                <w:sz w:val="24"/>
                <w:szCs w:val="24"/>
                <w:color w:val="auto"/>
              </w:rPr>
            </w:pPr>
          </w:p>
        </w:tc>
        <w:tc>
          <w:tcPr>
            <w:tcW w:w="2680" w:type="dxa"/>
            <w:vAlign w:val="bottom"/>
            <w:gridSpan w:val="2"/>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2,089,372</w:t>
            </w:r>
          </w:p>
        </w:tc>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74"/>
        </w:trPr>
        <w:tc>
          <w:tcPr>
            <w:tcW w:w="1460" w:type="dxa"/>
            <w:vAlign w:val="bottom"/>
          </w:tcPr>
          <w:p>
            <w:pPr>
              <w:spacing w:after="0"/>
              <w:rPr>
                <w:sz w:val="23"/>
                <w:szCs w:val="23"/>
                <w:color w:val="auto"/>
              </w:rPr>
            </w:pPr>
          </w:p>
        </w:tc>
        <w:tc>
          <w:tcPr>
            <w:tcW w:w="4080" w:type="dxa"/>
            <w:vAlign w:val="bottom"/>
            <w:gridSpan w:val="3"/>
          </w:tcPr>
          <w:p>
            <w:pPr>
              <w:jc w:val="center"/>
              <w:ind w:right="1280"/>
              <w:spacing w:after="0"/>
              <w:rPr>
                <w:sz w:val="20"/>
                <w:szCs w:val="20"/>
                <w:color w:val="auto"/>
              </w:rPr>
            </w:pPr>
            <w:r>
              <w:rPr>
                <w:rFonts w:ascii="Arial" w:cs="Arial" w:eastAsia="Arial" w:hAnsi="Arial"/>
                <w:sz w:val="17"/>
                <w:szCs w:val="17"/>
                <w:color w:val="auto"/>
                <w:w w:val="93"/>
              </w:rPr>
              <w:t>Title of Class</w:t>
            </w:r>
          </w:p>
        </w:tc>
        <w:tc>
          <w:tcPr>
            <w:tcW w:w="5880" w:type="dxa"/>
            <w:vAlign w:val="bottom"/>
            <w:gridSpan w:val="5"/>
          </w:tcPr>
          <w:p>
            <w:pPr>
              <w:ind w:left="1280"/>
              <w:spacing w:after="0"/>
              <w:rPr>
                <w:sz w:val="20"/>
                <w:szCs w:val="20"/>
                <w:color w:val="auto"/>
              </w:rPr>
            </w:pPr>
            <w:r>
              <w:rPr>
                <w:rFonts w:ascii="Arial" w:cs="Arial" w:eastAsia="Arial" w:hAnsi="Arial"/>
                <w:sz w:val="17"/>
                <w:szCs w:val="17"/>
                <w:color w:val="auto"/>
              </w:rPr>
              <w:t>Number of Shares Outstanding as of May 15, 2018</w:t>
            </w:r>
          </w:p>
        </w:tc>
      </w:tr>
      <w:tr>
        <w:trPr>
          <w:trHeight w:val="636"/>
        </w:trPr>
        <w:tc>
          <w:tcPr>
            <w:tcW w:w="14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2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SECURITY NATIONAL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QUARTER ENDED MARCH 31, 2018</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500" w:type="dxa"/>
            <w:vAlign w:val="bottom"/>
          </w:tcPr>
          <w:p>
            <w:pPr>
              <w:jc w:val="center"/>
              <w:ind w:left="175"/>
              <w:spacing w:after="0"/>
              <w:rPr>
                <w:sz w:val="20"/>
                <w:szCs w:val="20"/>
                <w:color w:val="auto"/>
              </w:rPr>
            </w:pPr>
            <w:r>
              <w:rPr>
                <w:rFonts w:ascii="Arial" w:cs="Arial" w:eastAsia="Arial" w:hAnsi="Arial"/>
                <w:sz w:val="17"/>
                <w:szCs w:val="17"/>
                <w:b w:val="1"/>
                <w:bCs w:val="1"/>
                <w:color w:val="auto"/>
                <w:w w:val="89"/>
              </w:rPr>
              <w:t>Table of Contents</w:t>
            </w:r>
          </w:p>
        </w:tc>
        <w:tc>
          <w:tcPr>
            <w:tcW w:w="1080" w:type="dxa"/>
            <w:vAlign w:val="bottom"/>
            <w:vMerge w:val="restart"/>
          </w:tcPr>
          <w:p>
            <w:pPr>
              <w:ind w:left="220"/>
              <w:spacing w:after="0"/>
              <w:rPr>
                <w:sz w:val="20"/>
                <w:szCs w:val="20"/>
                <w:color w:val="auto"/>
              </w:rPr>
            </w:pPr>
            <w:r>
              <w:rPr>
                <w:rFonts w:ascii="Arial" w:cs="Arial" w:eastAsia="Arial" w:hAnsi="Arial"/>
                <w:sz w:val="17"/>
                <w:szCs w:val="17"/>
                <w:color w:val="auto"/>
              </w:rPr>
              <w:t>Page No.</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500" w:type="dxa"/>
            <w:vAlign w:val="bottom"/>
          </w:tcPr>
          <w:p>
            <w:pPr>
              <w:jc w:val="center"/>
              <w:ind w:left="135"/>
              <w:spacing w:after="0" w:line="193" w:lineRule="exact"/>
              <w:rPr>
                <w:sz w:val="20"/>
                <w:szCs w:val="20"/>
                <w:color w:val="auto"/>
              </w:rPr>
            </w:pPr>
            <w:r>
              <w:rPr>
                <w:rFonts w:ascii="Arial" w:cs="Arial" w:eastAsia="Arial" w:hAnsi="Arial"/>
                <w:sz w:val="17"/>
                <w:szCs w:val="17"/>
                <w:b w:val="1"/>
                <w:bCs w:val="1"/>
                <w:color w:val="auto"/>
                <w:w w:val="97"/>
              </w:rPr>
              <w:t>Part I - Financial Information</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Arial" w:cs="Arial" w:eastAsia="Arial" w:hAnsi="Arial"/>
                <w:sz w:val="17"/>
                <w:szCs w:val="17"/>
                <w:color w:val="auto"/>
              </w:rPr>
              <w:t>Item 1.</w:t>
            </w:r>
          </w:p>
        </w:tc>
        <w:tc>
          <w:tcPr>
            <w:tcW w:w="9500" w:type="dxa"/>
            <w:vAlign w:val="bottom"/>
          </w:tcPr>
          <w:p>
            <w:pPr>
              <w:ind w:left="220"/>
              <w:spacing w:after="0"/>
              <w:rPr>
                <w:sz w:val="20"/>
                <w:szCs w:val="20"/>
                <w:color w:val="auto"/>
              </w:rPr>
            </w:pPr>
            <w:r>
              <w:rPr>
                <w:rFonts w:ascii="Arial" w:cs="Arial" w:eastAsia="Arial" w:hAnsi="Arial"/>
                <w:sz w:val="17"/>
                <w:szCs w:val="17"/>
                <w:color w:val="auto"/>
              </w:rPr>
              <w:t>Financial Statements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Condensed Consolidated Balance Sheets as of March 31, 2018 and December 31, 2017 (unaudited)</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3-4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Condensed Consolidated Statements of Earnings for the Three Months Ended March 31, 2018 and 2017 (unaudited)</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3"/>
              </w:rPr>
              <w:t>Condensed Consolidated Statements of Comprehensive Income for the Three Months Ended March 31, 2018 and 2017 (unaudited)</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Condensed Consolidated Statements of Stockholders' Equity as of March 31, 2018 and March 31, 2017 (unaudited)</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Condensed Consolidated Statements of Cash Flows for the Three Months Ended March 31, 2018 and 2017 (unaudited)</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Notes to Condensed Consolidated Financial Statements (unaudited)</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2.</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3.</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Quantitative and Qualitative Disclosures about Market Risk</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4.</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Controls and Procedures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500" w:type="dxa"/>
            <w:vAlign w:val="bottom"/>
            <w:shd w:val="clear" w:color="auto" w:fill="CCEEFF"/>
          </w:tcPr>
          <w:p>
            <w:pPr>
              <w:jc w:val="center"/>
              <w:ind w:left="135"/>
              <w:spacing w:after="0"/>
              <w:rPr>
                <w:sz w:val="20"/>
                <w:szCs w:val="20"/>
                <w:color w:val="auto"/>
              </w:rPr>
            </w:pPr>
            <w:r>
              <w:rPr>
                <w:rFonts w:ascii="Arial" w:cs="Arial" w:eastAsia="Arial" w:hAnsi="Arial"/>
                <w:sz w:val="17"/>
                <w:szCs w:val="17"/>
                <w:b w:val="1"/>
                <w:bCs w:val="1"/>
                <w:color w:val="auto"/>
                <w:w w:val="97"/>
              </w:rPr>
              <w:t>Part II - Other Information</w:t>
            </w: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1.</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Legal Proceedings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1A.</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Risk Factors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2.</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Unregistered Sales of Equity Securities and Use of Proceeds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3.</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Defaults Upon Senior Securities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4.</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Mine Safety Disclosures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5.</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Information</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6.</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Exhibits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Signature Page</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53</w:t>
            </w:r>
          </w:p>
        </w:tc>
        <w:tc>
          <w:tcPr>
            <w:tcW w:w="0" w:type="dxa"/>
            <w:vAlign w:val="bottom"/>
          </w:tcPr>
          <w:p>
            <w:pPr>
              <w:spacing w:after="0"/>
              <w:rPr>
                <w:sz w:val="1"/>
                <w:szCs w:val="1"/>
                <w:color w:val="auto"/>
              </w:rPr>
            </w:pPr>
          </w:p>
        </w:tc>
      </w:tr>
      <w:tr>
        <w:trPr>
          <w:trHeight w:val="83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500" w:type="dxa"/>
            <w:vAlign w:val="bottom"/>
          </w:tcPr>
          <w:p>
            <w:pPr>
              <w:jc w:val="center"/>
              <w:ind w:left="155"/>
              <w:spacing w:after="0"/>
              <w:rPr>
                <w:sz w:val="20"/>
                <w:szCs w:val="20"/>
                <w:color w:val="auto"/>
              </w:rPr>
            </w:pPr>
            <w:r>
              <w:rPr>
                <w:rFonts w:ascii="Arial" w:cs="Arial" w:eastAsia="Arial" w:hAnsi="Arial"/>
                <w:sz w:val="14"/>
                <w:szCs w:val="14"/>
                <w:color w:val="auto"/>
                <w:w w:val="76"/>
              </w:rPr>
              <w:t>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BALANCE SHEETS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780" w:type="dxa"/>
            <w:vAlign w:val="bottom"/>
          </w:tcPr>
          <w:p>
            <w:pPr>
              <w:ind w:left="4600"/>
              <w:spacing w:after="0"/>
              <w:rPr>
                <w:sz w:val="20"/>
                <w:szCs w:val="20"/>
                <w:color w:val="auto"/>
              </w:rPr>
            </w:pPr>
            <w:r>
              <w:rPr>
                <w:rFonts w:ascii="Arial" w:cs="Arial" w:eastAsia="Arial" w:hAnsi="Arial"/>
                <w:sz w:val="17"/>
                <w:szCs w:val="17"/>
                <w:b w:val="1"/>
                <w:bCs w:val="1"/>
                <w:color w:val="auto"/>
              </w:rPr>
              <w:t>Part I - Financial Information</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8800" w:type="dxa"/>
            <w:vAlign w:val="bottom"/>
            <w:gridSpan w:val="2"/>
          </w:tcPr>
          <w:p>
            <w:pPr>
              <w:spacing w:after="0"/>
              <w:rPr>
                <w:sz w:val="20"/>
                <w:szCs w:val="20"/>
                <w:color w:val="auto"/>
              </w:rPr>
            </w:pPr>
            <w:r>
              <w:rPr>
                <w:rFonts w:ascii="Arial" w:cs="Arial" w:eastAsia="Arial" w:hAnsi="Arial"/>
                <w:sz w:val="17"/>
                <w:szCs w:val="17"/>
                <w:b w:val="1"/>
                <w:bCs w:val="1"/>
                <w:color w:val="auto"/>
              </w:rPr>
              <w:t>Item 1.  Financial Statements.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March 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8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Pr>
          <w:p>
            <w:pPr>
              <w:spacing w:after="0"/>
              <w:rPr>
                <w:sz w:val="17"/>
                <w:szCs w:val="17"/>
                <w:color w:val="auto"/>
              </w:rPr>
            </w:pPr>
          </w:p>
        </w:tc>
        <w:tc>
          <w:tcPr>
            <w:tcW w:w="1020" w:type="dxa"/>
            <w:vAlign w:val="bottom"/>
          </w:tcPr>
          <w:p>
            <w:pPr>
              <w:jc w:val="center"/>
              <w:ind w:right="34"/>
              <w:spacing w:after="0"/>
              <w:rPr>
                <w:sz w:val="20"/>
                <w:szCs w:val="20"/>
                <w:color w:val="auto"/>
              </w:rPr>
            </w:pPr>
            <w:r>
              <w:rPr>
                <w:rFonts w:ascii="Arial" w:cs="Arial" w:eastAsia="Arial" w:hAnsi="Arial"/>
                <w:sz w:val="17"/>
                <w:szCs w:val="17"/>
                <w:color w:val="auto"/>
                <w:w w:val="89"/>
              </w:rPr>
              <w:t>2018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w w:val="90"/>
              </w:rPr>
              <w:t>December 31</w:t>
            </w:r>
          </w:p>
        </w:tc>
        <w:tc>
          <w:tcPr>
            <w:tcW w:w="0" w:type="dxa"/>
            <w:vAlign w:val="bottom"/>
          </w:tcPr>
          <w:p>
            <w:pPr>
              <w:spacing w:after="0"/>
              <w:rPr>
                <w:sz w:val="1"/>
                <w:szCs w:val="1"/>
                <w:color w:val="auto"/>
              </w:rPr>
            </w:pPr>
          </w:p>
        </w:tc>
      </w:tr>
      <w:tr>
        <w:trPr>
          <w:trHeight w:val="223"/>
        </w:trPr>
        <w:tc>
          <w:tcPr>
            <w:tcW w:w="8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(Unaudited)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800" w:type="dxa"/>
            <w:vAlign w:val="bottom"/>
            <w:gridSpan w:val="2"/>
          </w:tcPr>
          <w:p>
            <w:pPr>
              <w:spacing w:after="0"/>
              <w:rPr>
                <w:sz w:val="20"/>
                <w:szCs w:val="20"/>
                <w:color w:val="auto"/>
              </w:rPr>
            </w:pPr>
            <w:r>
              <w:rPr>
                <w:rFonts w:ascii="Arial" w:cs="Arial" w:eastAsia="Arial" w:hAnsi="Arial"/>
                <w:sz w:val="17"/>
                <w:szCs w:val="17"/>
                <w:color w:val="auto"/>
              </w:rPr>
              <w:t>Investments: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Fixed maturity securities, held to maturity, at amortized cost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231,474,083</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228,397,623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Equity securities at estimated fair value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5,889,151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6,037,855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5"/>
              </w:rPr>
              <w:t>Mortgage loans held for investment (net of allowances for loan losses of $1,696,371 and $1,768,796 for 2018 and 2017)</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204,989,906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204,210,885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w w:val="96"/>
              </w:rPr>
              <w:t>Real estate held for investment (net of accumulated depreciation of $15,540,213 and $18,788,869 for 2018 and 2017)</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105,063,331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141,298,706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Other investments and policy loans (net of allowances for doubtful accounts of $931,029 and $846,641 for 2018 and 2017)</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45,550,795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45,895,472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Accrued investment income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3,886,170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3,644,077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investments</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596,853,436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629,484,618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101,728,202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45,315,661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Loans held for sale at estimated fair value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124,866,313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133,414,188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Receivables (net of allowances for doubtful accounts of $1,569,422 and $1,544,518 for 2018 and 2017)</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9,398,972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10,443,869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Restricted assets (including $800,510 and $809,958 for 2018 and 2017 at estimated fair value)</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11,146,540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11,830,621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w w:val="97"/>
              </w:rPr>
              <w:t>Cemetery perpetual care trust investments (including $648,381 and $682,315 for 2018 and 2017 at estimated fair value)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3,806,645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4,623,563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Receivable from reinsurers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13,263,304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13,394,603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Cemetery land and improvements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9,920,554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9,942,933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Deferred policy and pre-need contract acquisition costs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82,496,322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80,625,304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Mortgage servicing rights, net</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21,554,050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21,376,937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7,713,599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8,069,380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Value of business acquired</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6,389,260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6,588,759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2,765,570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2,765,570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6,069,569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4,297,048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997,972,336</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982,173,054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BALANCE SHEETS (Continued)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March 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34"/>
              <w:spacing w:after="0"/>
              <w:rPr>
                <w:sz w:val="20"/>
                <w:szCs w:val="20"/>
                <w:color w:val="auto"/>
              </w:rPr>
            </w:pPr>
            <w:r>
              <w:rPr>
                <w:rFonts w:ascii="Arial" w:cs="Arial" w:eastAsia="Arial" w:hAnsi="Arial"/>
                <w:sz w:val="17"/>
                <w:szCs w:val="17"/>
                <w:color w:val="auto"/>
                <w:w w:val="89"/>
              </w:rPr>
              <w:t>2018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(Unaudited)</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600" w:type="dxa"/>
            <w:vAlign w:val="bottom"/>
            <w:gridSpan w:val="2"/>
          </w:tcPr>
          <w:p>
            <w:pPr>
              <w:spacing w:after="0" w:line="187" w:lineRule="exact"/>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Future policy benefits and unpaid claims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605,543,124</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604,746,951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Unearned premium reserve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4,123,289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4,222,410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Bank and other loans payable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151,451,152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157,450,925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Deferred pre-need cemetery and mortuary contract revenues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12,150,924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12,873,068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Cemetery perpetual care obligation</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3,729,150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3,710,740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3,411,619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3,613,100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 and accrued expenses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30,063,978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29,655,087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Income taxes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21,593,873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17,332,783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832,067,109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833,605,064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Preferred Stock - non-voting - $1.00 par value; 5,000,000 shares authorized; none issued or outstanding</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1"/>
              </w:rPr>
              <w:t>Class A: common stock - $2.00 par value; 20,000,000 shares authorized; issued 14,569,321 shares in 2018 and 14,535,577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shares in 2017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29,138,642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29,071,154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Class B: non-voting common stock - $1.00 par value; 5,000,000 shares authorized; none issued or outstanding</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3"/>
              </w:rPr>
              <w:t>Class C: convertible common stock - $2.00 par value; 3,000,000 shares authorized; issued 2,089,372 shares in 2018 and</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2,089,374 shares in 2017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4,178,744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4,178,748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38,255,340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38,125,042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 net of taxes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603,170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Retained earnings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95,041,166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77,520,951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Treasury stock at cost - 468,770 Class A shares in 2018 and 537,203 Class A shares in 2017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(708,665)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(931,075)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5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165,905,227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148,567,990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58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997,972,336</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982,173,054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EARNINGS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7"/>
                <w:szCs w:val="17"/>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7"/>
                <w:szCs w:val="17"/>
                <w:color w:val="auto"/>
              </w:rPr>
              <w:t>March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80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Insurance premiums and other considerations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18,810,358</w:t>
            </w:r>
          </w:p>
        </w:tc>
        <w:tc>
          <w:tcPr>
            <w:tcW w:w="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17,357,124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Net investment income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10,074,431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9,016,376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Net mortuary and cemetery sales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3,232,729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3,358,973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Gains on investments and other assets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22,020,939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145,330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Other than temporary impairments on investments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(52,139)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Mortgage fee income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25,460,160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38,974,760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2,477,492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2,028,873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Total revenues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82,076,109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70,829,297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b w:val="1"/>
                <w:bCs w:val="1"/>
                <w:color w:val="auto"/>
              </w:rPr>
              <w:t>Benefits and expenses: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Death benefits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9,608,098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8,794,598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Surrenders and other policy benefits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810,128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857,531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Increase in future policy benefits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5,584,936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5,568,042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Amortization of deferred policy and pre-need acquisition costs and value of business acquired</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3,109,933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2,264,039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Commissions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11,282,401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16,355,048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Personnel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16,566,688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18,589,687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Advertising</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1,029,591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1,310,674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Rent and rent related</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1,963,350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2,223,996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Depreciation on property and equipment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477,031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625,812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Costs related to funding mortgage loans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1,369,281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2,219,649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6,810,324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7,346,493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1,761,677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1,254,039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Cost of goods and services sold-mortuaries and cemeteries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515,490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521,919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benefits and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60,888,928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67,931,527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before income taxes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21,187,181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2,897,770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Income tax expense</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(4,261,258)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(1,037,770)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b w:val="1"/>
                <w:bCs w:val="1"/>
                <w:color w:val="auto"/>
              </w:rPr>
              <w:t>Net earnings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16,925,923</w:t>
            </w:r>
          </w:p>
        </w:tc>
        <w:tc>
          <w:tcPr>
            <w:tcW w:w="14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1,860,000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b w:val="1"/>
                <w:bCs w:val="1"/>
                <w:color w:val="auto"/>
              </w:rPr>
              <w:t>Net earnings per Class A Equivalent common share (1)</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1.05</w:t>
            </w:r>
          </w:p>
        </w:tc>
        <w:tc>
          <w:tcPr>
            <w:tcW w:w="14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b w:val="1"/>
                <w:bCs w:val="1"/>
                <w:color w:val="auto"/>
              </w:rPr>
              <w:t>Net earnings per Class A Equivalent common share-assuming dilution (1)</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1.04</w:t>
            </w:r>
          </w:p>
        </w:tc>
        <w:tc>
          <w:tcPr>
            <w:tcW w:w="14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Weighted-average Class A equivalent common share outstanding (1)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16,171,412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15,827,495</w:t>
            </w: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Weighted-average Class A equivalent common shares outstanding-assuming dilution (1)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16,347,777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16,320,830</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7"/>
                <w:szCs w:val="17"/>
                <w:color w:val="auto"/>
              </w:rPr>
              <w:t>(1) Net earnings per share amounts have been adjusted retroactively for the effect of annual stock dividends.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8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COMPREHENSIVE INCOME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7"/>
                <w:szCs w:val="17"/>
                <w:color w:val="auto"/>
              </w:rPr>
              <w:t>Three Months Ended</w:t>
            </w: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right"/>
              <w:ind w:right="25"/>
              <w:spacing w:after="0"/>
              <w:rPr>
                <w:sz w:val="20"/>
                <w:szCs w:val="20"/>
                <w:color w:val="auto"/>
              </w:rPr>
            </w:pPr>
            <w:r>
              <w:rPr>
                <w:rFonts w:ascii="Arial" w:cs="Arial" w:eastAsia="Arial" w:hAnsi="Arial"/>
                <w:sz w:val="17"/>
                <w:szCs w:val="17"/>
                <w:color w:val="auto"/>
              </w:rPr>
              <w:t>March 31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earnings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16,925,923</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1,860,000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Unrealized gains on equity securities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29,871</w:t>
            </w:r>
          </w:p>
        </w:tc>
      </w:tr>
      <w:tr>
        <w:trPr>
          <w:trHeight w:val="211"/>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Unrealized gains on derivative instruments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1,595</w:t>
            </w: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comprehensive income, before income tax</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31,466</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Income tax expense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(10,174)</w:t>
            </w:r>
          </w:p>
        </w:tc>
      </w:tr>
      <w:tr>
        <w:trPr>
          <w:trHeight w:val="211"/>
        </w:trPr>
        <w:tc>
          <w:tcPr>
            <w:tcW w:w="20" w:type="dxa"/>
            <w:vAlign w:val="bottom"/>
          </w:tcPr>
          <w:p>
            <w:pPr>
              <w:spacing w:after="0"/>
              <w:rPr>
                <w:sz w:val="18"/>
                <w:szCs w:val="18"/>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comprehensive income, net of income tax</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Comprehensive income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16,925,923</w:t>
            </w:r>
          </w:p>
        </w:tc>
        <w:tc>
          <w:tcPr>
            <w:tcW w:w="54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1,881,292</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89"/>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7"/>
                <w:szCs w:val="17"/>
                <w:b w:val="1"/>
                <w:bCs w:val="1"/>
                <w:color w:val="auto"/>
                <w:w w:val="86"/>
              </w:rPr>
              <w:t>Class A</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8"/>
              </w:rPr>
              <w:t>Additional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Other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34"/>
              <w:spacing w:after="0"/>
              <w:rPr>
                <w:sz w:val="20"/>
                <w:szCs w:val="20"/>
                <w:color w:val="auto"/>
              </w:rPr>
            </w:pPr>
            <w:r>
              <w:rPr>
                <w:rFonts w:ascii="Arial" w:cs="Arial" w:eastAsia="Arial" w:hAnsi="Arial"/>
                <w:sz w:val="17"/>
                <w:szCs w:val="17"/>
                <w:b w:val="1"/>
                <w:bCs w:val="1"/>
                <w:color w:val="auto"/>
                <w:w w:val="89"/>
              </w:rPr>
              <w:t>Common</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Class C</w:t>
            </w:r>
          </w:p>
        </w:tc>
        <w:tc>
          <w:tcPr>
            <w:tcW w:w="14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Paid-in</w:t>
            </w:r>
          </w:p>
        </w:tc>
        <w:tc>
          <w:tcPr>
            <w:tcW w:w="10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9"/>
              </w:rPr>
              <w:t>Comprehensive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Retained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Treasury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74"/>
              <w:spacing w:after="0"/>
              <w:rPr>
                <w:sz w:val="20"/>
                <w:szCs w:val="20"/>
                <w:color w:val="auto"/>
              </w:rPr>
            </w:pPr>
            <w:r>
              <w:rPr>
                <w:rFonts w:ascii="Arial" w:cs="Arial" w:eastAsia="Arial" w:hAnsi="Arial"/>
                <w:sz w:val="17"/>
                <w:szCs w:val="17"/>
                <w:b w:val="1"/>
                <w:bCs w:val="1"/>
                <w:color w:val="auto"/>
                <w:w w:val="90"/>
              </w:rPr>
              <w:t>Stock</w:t>
            </w:r>
          </w:p>
        </w:tc>
        <w:tc>
          <w:tcPr>
            <w:tcW w:w="24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7"/>
                <w:szCs w:val="17"/>
                <w:b w:val="1"/>
                <w:bCs w:val="1"/>
                <w:color w:val="auto"/>
              </w:rPr>
              <w:t>Common Stock</w:t>
            </w:r>
          </w:p>
        </w:tc>
        <w:tc>
          <w:tcPr>
            <w:tcW w:w="1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Capital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Income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Earnings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Stock</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94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auto"/>
                <w:w w:val="95"/>
              </w:rPr>
              <w:t>Balance at December 31,</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27,638,012</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3,804,458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34,813,246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264,822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67,409,204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(1,370,611)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132,559,131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Pr>
          <w:p>
            <w:pPr>
              <w:spacing w:after="0" w:line="193" w:lineRule="exact"/>
              <w:rPr>
                <w:sz w:val="20"/>
                <w:szCs w:val="20"/>
                <w:color w:val="auto"/>
              </w:rPr>
            </w:pPr>
            <w:r>
              <w:rPr>
                <w:rFonts w:ascii="Arial" w:cs="Arial" w:eastAsia="Arial" w:hAnsi="Arial"/>
                <w:sz w:val="17"/>
                <w:szCs w:val="17"/>
                <w:color w:val="auto"/>
              </w:rPr>
              <w:t>Other comprehensive</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7"/>
                <w:szCs w:val="17"/>
                <w:color w:val="auto"/>
              </w:rPr>
              <w:t>income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21,292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21,292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Grant of stock options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101,996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101,996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Sale of treasury stock</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178,002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146,065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324,067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w w:val="95"/>
              </w:rPr>
              <w:t>Purchase of treasury stock</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(185,470)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(185,470)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Stock dividends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930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2,350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(3,284)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Conversion Class C to</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Class A</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(1,214)</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940" w:type="dxa"/>
            <w:vAlign w:val="bottom"/>
            <w:tcBorders>
              <w:top w:val="single" w:sz="8" w:color="CCEEFF"/>
            </w:tcBorders>
          </w:tcPr>
          <w:p>
            <w:pPr>
              <w:spacing w:after="0" w:line="187" w:lineRule="exact"/>
              <w:rPr>
                <w:sz w:val="20"/>
                <w:szCs w:val="20"/>
                <w:color w:val="auto"/>
              </w:rPr>
            </w:pPr>
            <w:r>
              <w:rPr>
                <w:rFonts w:ascii="Arial" w:cs="Arial" w:eastAsia="Arial" w:hAnsi="Arial"/>
                <w:sz w:val="17"/>
                <w:szCs w:val="17"/>
                <w:b w:val="1"/>
                <w:bCs w:val="1"/>
                <w:color w:val="auto"/>
              </w:rPr>
              <w:t>Balance at March 31,</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60" w:type="dxa"/>
            <w:vAlign w:val="bottom"/>
            <w:gridSpan w:val="2"/>
          </w:tcPr>
          <w:p>
            <w:pPr>
              <w:spacing w:after="0"/>
              <w:rPr>
                <w:sz w:val="20"/>
                <w:szCs w:val="20"/>
                <w:color w:val="auto"/>
              </w:rPr>
            </w:pPr>
            <w:r>
              <w:rPr>
                <w:rFonts w:ascii="Arial" w:cs="Arial" w:eastAsia="Arial" w:hAnsi="Arial"/>
                <w:sz w:val="17"/>
                <w:szCs w:val="17"/>
                <w:b w:val="1"/>
                <w:bCs w:val="1"/>
                <w:color w:val="auto"/>
              </w:rPr>
              <w:t>2017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27,640,156</w:t>
            </w:r>
          </w:p>
        </w:tc>
        <w:tc>
          <w:tcPr>
            <w:tcW w:w="44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3,803,248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35,095,594</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286,114</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69,265,920</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(1,410,016)</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134,681,016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940" w:type="dxa"/>
            <w:vAlign w:val="bottom"/>
          </w:tcPr>
          <w:p>
            <w:pPr>
              <w:spacing w:after="0" w:line="187" w:lineRule="exact"/>
              <w:rPr>
                <w:sz w:val="20"/>
                <w:szCs w:val="20"/>
                <w:color w:val="auto"/>
              </w:rPr>
            </w:pPr>
            <w:r>
              <w:rPr>
                <w:rFonts w:ascii="Arial" w:cs="Arial" w:eastAsia="Arial" w:hAnsi="Arial"/>
                <w:sz w:val="17"/>
                <w:szCs w:val="17"/>
                <w:b w:val="1"/>
                <w:bCs w:val="1"/>
                <w:color w:val="auto"/>
                <w:w w:val="95"/>
              </w:rPr>
              <w:t>Balance at December 31,</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60" w:type="dxa"/>
            <w:vAlign w:val="bottom"/>
            <w:gridSpan w:val="2"/>
          </w:tcPr>
          <w:p>
            <w:pPr>
              <w:spacing w:after="0"/>
              <w:rPr>
                <w:sz w:val="20"/>
                <w:szCs w:val="20"/>
                <w:color w:val="auto"/>
              </w:rPr>
            </w:pPr>
            <w:r>
              <w:rPr>
                <w:rFonts w:ascii="Arial" w:cs="Arial" w:eastAsia="Arial" w:hAnsi="Arial"/>
                <w:sz w:val="17"/>
                <w:szCs w:val="17"/>
                <w:b w:val="1"/>
                <w:bCs w:val="1"/>
                <w:color w:val="auto"/>
              </w:rPr>
              <w:t>2017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29,071,154</w:t>
            </w:r>
          </w:p>
        </w:tc>
        <w:tc>
          <w:tcPr>
            <w:tcW w:w="44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4,178,748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38,125,042</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603,170</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77,520,951</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(931,075)</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148,567,990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940" w:type="dxa"/>
            <w:vAlign w:val="bottom"/>
          </w:tcPr>
          <w:p>
            <w:pPr>
              <w:spacing w:after="0" w:line="193" w:lineRule="exact"/>
              <w:rPr>
                <w:sz w:val="20"/>
                <w:szCs w:val="20"/>
                <w:color w:val="auto"/>
              </w:rPr>
            </w:pPr>
            <w:r>
              <w:rPr>
                <w:rFonts w:ascii="Arial" w:cs="Arial" w:eastAsia="Arial" w:hAnsi="Arial"/>
                <w:sz w:val="17"/>
                <w:szCs w:val="17"/>
                <w:color w:val="auto"/>
              </w:rPr>
              <w:t>Cumulative effect</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960" w:type="dxa"/>
            <w:vAlign w:val="bottom"/>
            <w:gridSpan w:val="2"/>
          </w:tcPr>
          <w:p>
            <w:pPr>
              <w:spacing w:after="0"/>
              <w:rPr>
                <w:sz w:val="20"/>
                <w:szCs w:val="20"/>
                <w:color w:val="auto"/>
              </w:rPr>
            </w:pPr>
            <w:r>
              <w:rPr>
                <w:rFonts w:ascii="Arial" w:cs="Arial" w:eastAsia="Arial" w:hAnsi="Arial"/>
                <w:sz w:val="17"/>
                <w:szCs w:val="17"/>
                <w:color w:val="auto"/>
                <w:w w:val="99"/>
              </w:rPr>
              <w:t>adjustment upon adoption</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60" w:type="dxa"/>
            <w:vAlign w:val="bottom"/>
            <w:gridSpan w:val="2"/>
          </w:tcPr>
          <w:p>
            <w:pPr>
              <w:spacing w:after="0"/>
              <w:rPr>
                <w:sz w:val="20"/>
                <w:szCs w:val="20"/>
                <w:color w:val="auto"/>
              </w:rPr>
            </w:pPr>
            <w:r>
              <w:rPr>
                <w:rFonts w:ascii="Arial" w:cs="Arial" w:eastAsia="Arial" w:hAnsi="Arial"/>
                <w:sz w:val="17"/>
                <w:szCs w:val="17"/>
                <w:color w:val="auto"/>
              </w:rPr>
              <w:t>of new accounting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7"/>
                <w:szCs w:val="17"/>
                <w:color w:val="auto"/>
              </w:rPr>
              <w:t>standard (ASU 2016-01)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(603,170)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603,170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16,925,923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16,925,923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Grant of stock options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58,087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58,087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Exercise of stock options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63,968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(22,115)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41,853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Sale of treasury stock</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88,964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222,410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311,374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Stock dividends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940" w:type="dxa"/>
            <w:vAlign w:val="bottom"/>
            <w:tcBorders>
              <w:top w:val="single" w:sz="8" w:color="CCEEFF"/>
            </w:tcBorders>
          </w:tcPr>
          <w:p>
            <w:pPr>
              <w:spacing w:after="0" w:line="187" w:lineRule="exact"/>
              <w:rPr>
                <w:sz w:val="20"/>
                <w:szCs w:val="20"/>
                <w:color w:val="auto"/>
              </w:rPr>
            </w:pPr>
            <w:r>
              <w:rPr>
                <w:rFonts w:ascii="Arial" w:cs="Arial" w:eastAsia="Arial" w:hAnsi="Arial"/>
                <w:sz w:val="17"/>
                <w:szCs w:val="17"/>
                <w:b w:val="1"/>
                <w:bCs w:val="1"/>
                <w:color w:val="auto"/>
              </w:rPr>
              <w:t>Balance at March 31,</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60" w:type="dxa"/>
            <w:vAlign w:val="bottom"/>
            <w:gridSpan w:val="2"/>
          </w:tcPr>
          <w:p>
            <w:pPr>
              <w:spacing w:after="0"/>
              <w:rPr>
                <w:sz w:val="20"/>
                <w:szCs w:val="20"/>
                <w:color w:val="auto"/>
              </w:rPr>
            </w:pPr>
            <w:r>
              <w:rPr>
                <w:rFonts w:ascii="Arial" w:cs="Arial" w:eastAsia="Arial" w:hAnsi="Arial"/>
                <w:sz w:val="17"/>
                <w:szCs w:val="17"/>
                <w:b w:val="1"/>
                <w:bCs w:val="1"/>
                <w:color w:val="auto"/>
              </w:rPr>
              <w:t>2018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29,138,642</w:t>
            </w:r>
          </w:p>
        </w:tc>
        <w:tc>
          <w:tcPr>
            <w:tcW w:w="44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4,178,744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38,255,340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95,041,166</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(708,665)</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165,905,227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7"/>
                <w:szCs w:val="17"/>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March 31</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60" w:type="dxa"/>
            <w:vAlign w:val="bottom"/>
            <w:gridSpan w:val="2"/>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cash provided by operating activities</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8,712,560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30,431,376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Purchases of fixed maturity securities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(7,155,114)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(2,575,997)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Calls and maturities of fixed maturity securities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3,604,516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830,595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Purchases of equity securities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(1,084,398)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(4,190,458)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Sales of equity securities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922,402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4,092,734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Purchases of short-term investments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(3,053,797)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Sales of short-term investments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2,266,915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Net changes in restricted assets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(48,832)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(77,151)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Net changes in perpetual care trusts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2,376,461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(23,039)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Mortgage loans, other investmensts and policy loans made</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(132,321,562)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(108,649,435)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Payments received for mortgage loans, other investments and policy loans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131,816,474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5"/>
              </w:rPr>
              <w:t>127,506,014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Purchase of property and equipment</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(169,564)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(312,640)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Sale of property and equipment</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48,314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Purchase of real estate</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(768,942)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(3,103,471)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Sale of real estate</w:t>
            </w:r>
          </w:p>
        </w:tc>
        <w:tc>
          <w:tcPr>
            <w:tcW w:w="1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58,476,379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2,891,887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Net cash provided by investing activities</w:t>
            </w:r>
          </w:p>
        </w:tc>
        <w:tc>
          <w:tcPr>
            <w:tcW w:w="1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55,696,134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15,602,157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Investment contract receipts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2,867,412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3,051,883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Investment contract withdrawals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(4,410,074)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(4,468,624)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Proceeds from stock options exercised</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41,853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Purchase of treasury stock</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(185,470)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Repayment of bank loans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(27,369,431)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(673,454)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borrowing on bank loans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421,042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7,255,187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Net change in warehouse line borrowings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(309,286)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(6,376,739)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change in line of credit borrowings</w:t>
            </w:r>
          </w:p>
        </w:tc>
        <w:tc>
          <w:tcPr>
            <w:tcW w:w="1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21,250,000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7"/>
                <w:szCs w:val="17"/>
                <w:color w:val="auto"/>
              </w:rPr>
              <w:t>Net cash used in financing activities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(7,508,484)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(147,217)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b w:val="1"/>
                <w:bCs w:val="1"/>
                <w:color w:val="auto"/>
              </w:rPr>
              <w:t>Net change in cash, cash equivalents, restricted cash and restricted cash equivalents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56,900,210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45,886,316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Cash, cash equivalents, restricted cash and restricted cash equivalents at beginning of period</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54,501,923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46,942,293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b w:val="1"/>
                <w:bCs w:val="1"/>
                <w:color w:val="auto"/>
              </w:rPr>
              <w:t>Cash, cash equivalents, restricted cash and restricted cash equivalents at end of period</w:t>
            </w: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111,402,133</w:t>
            </w:r>
          </w:p>
        </w:tc>
        <w:tc>
          <w:tcPr>
            <w:tcW w:w="14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92,828,609</w:t>
            </w:r>
          </w:p>
        </w:tc>
        <w:tc>
          <w:tcPr>
            <w:tcW w:w="0" w:type="dxa"/>
            <w:vAlign w:val="bottom"/>
          </w:tcPr>
          <w:p>
            <w:pPr>
              <w:spacing w:after="0"/>
              <w:rPr>
                <w:sz w:val="1"/>
                <w:szCs w:val="1"/>
                <w:color w:val="auto"/>
              </w:rPr>
            </w:pPr>
          </w:p>
        </w:tc>
      </w:tr>
      <w:tr>
        <w:trPr>
          <w:trHeight w:val="20"/>
        </w:trPr>
        <w:tc>
          <w:tcPr>
            <w:tcW w:w="7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Cash paid (received) during the year for:</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Interest (net of amount capitalized)</w:t>
            </w: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1,617,074</w:t>
            </w:r>
          </w:p>
        </w:tc>
        <w:tc>
          <w:tcPr>
            <w:tcW w:w="14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1,234,420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Income taxes (net of refunds)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(3,215)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 Cash Operating, Investing and Financing Activities: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Accrued real estate construction costs and retainage</w:t>
            </w: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26,769</w:t>
            </w:r>
          </w:p>
        </w:tc>
        <w:tc>
          <w:tcPr>
            <w:tcW w:w="14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6,794,065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Transfer of loans held for sale to mortgage loans held for investment</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5,032,147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Benefit plans funded with treasury stock</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311,374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324,067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Mortgage loans foreclosed into real estate</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225,166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204,839</w:t>
            </w:r>
          </w:p>
        </w:tc>
        <w:tc>
          <w:tcPr>
            <w:tcW w:w="0" w:type="dxa"/>
            <w:vAlign w:val="bottom"/>
          </w:tcPr>
          <w:p>
            <w:pPr>
              <w:spacing w:after="0"/>
              <w:rPr>
                <w:sz w:val="1"/>
                <w:szCs w:val="1"/>
                <w:color w:val="auto"/>
              </w:rPr>
            </w:pPr>
          </w:p>
        </w:tc>
      </w:tr>
      <w:tr>
        <w:trPr>
          <w:trHeight w:val="836"/>
        </w:trPr>
        <w:tc>
          <w:tcPr>
            <w:tcW w:w="7560" w:type="dxa"/>
            <w:vAlign w:val="bottom"/>
            <w:gridSpan w:val="2"/>
          </w:tcPr>
          <w:p>
            <w:pPr>
              <w:jc w:val="right"/>
              <w:ind w:right="1734"/>
              <w:spacing w:after="0"/>
              <w:rPr>
                <w:sz w:val="20"/>
                <w:szCs w:val="20"/>
                <w:color w:val="auto"/>
              </w:rPr>
            </w:pPr>
            <w:r>
              <w:rPr>
                <w:rFonts w:ascii="Arial" w:cs="Arial" w:eastAsia="Arial" w:hAnsi="Arial"/>
                <w:sz w:val="14"/>
                <w:szCs w:val="14"/>
                <w:color w:val="auto"/>
              </w:rPr>
              <w:t>8</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5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CASH FLOWS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Reconciliation of cash, cash equivalents, restricted cash and restricted cash equivalents as shown in the condensed consolidated statements of cash flows is presented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7"/>
                <w:szCs w:val="17"/>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7"/>
                <w:szCs w:val="17"/>
                <w:color w:val="auto"/>
              </w:rPr>
              <w:t>March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101,728,202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85,069,717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Arial" w:cs="Arial" w:eastAsia="Arial" w:hAnsi="Arial"/>
                <w:sz w:val="17"/>
                <w:szCs w:val="17"/>
                <w:color w:val="auto"/>
              </w:rPr>
              <w:t>Restricted assets</w:t>
            </w: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7,468,609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6,837,786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Cemetery perpetual care trust investments</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2,205,322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921,106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94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Total cash, cash equivalents, restricted cash and restricted cash equivalents</w:t>
            </w: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111,402,133</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92,828,609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9" w:name="page10"/>
    <w:bookmarkEnd w:id="9"/>
    <w:p>
      <w:pPr>
        <w:ind w:left="2940"/>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March 31, 2018 (Unaudited)</w:t>
      </w:r>
    </w:p>
    <w:p>
      <w:pPr>
        <w:spacing w:after="0" w:line="10" w:lineRule="exact"/>
        <w:rPr>
          <w:sz w:val="20"/>
          <w:szCs w:val="20"/>
          <w:color w:val="auto"/>
        </w:rPr>
      </w:pPr>
    </w:p>
    <w:p>
      <w:pPr>
        <w:ind w:left="240" w:hanging="237"/>
        <w:spacing w:after="0"/>
        <w:tabs>
          <w:tab w:leader="none" w:pos="24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Basis of Presentation</w:t>
      </w:r>
    </w:p>
    <w:p>
      <w:pPr>
        <w:spacing w:after="0" w:line="255" w:lineRule="exact"/>
        <w:rPr>
          <w:sz w:val="20"/>
          <w:szCs w:val="20"/>
          <w:color w:val="auto"/>
        </w:rPr>
      </w:pPr>
    </w:p>
    <w:p>
      <w:pPr>
        <w:jc w:val="both"/>
        <w:spacing w:after="0" w:line="207" w:lineRule="exact"/>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Articles 8 and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2017, included in the Company's Annual Report on Form 10-K (file number 000-09341). In the opinion of management, all adjustments (consisting of normal recurring accruals) considered necessary for a fair presentation have been included. Operating results for the three months ended March 31, 2018 are not necessarily indicative of the results that may be expected for the year ending December 31, 2018. The presentation of certain amounts in the prior year have been reclassified to conform to the 2018 presentation.</w:t>
      </w:r>
    </w:p>
    <w:p>
      <w:pPr>
        <w:spacing w:after="0" w:line="251" w:lineRule="exact"/>
        <w:rPr>
          <w:sz w:val="20"/>
          <w:szCs w:val="20"/>
          <w:color w:val="auto"/>
        </w:rPr>
      </w:pPr>
    </w:p>
    <w:p>
      <w:pPr>
        <w:jc w:val="both"/>
        <w:spacing w:after="0" w:line="346"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requires management to make estimates and assumptions that affect the amounts reported in the financial statements and accompanying notes. Actual results could differ from those estimates.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and unearned revenue; those used in determining the estimated future costs for pre-need sales;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219" w:lineRule="exact"/>
        <w:rPr>
          <w:sz w:val="20"/>
          <w:szCs w:val="20"/>
          <w:color w:val="auto"/>
        </w:rPr>
      </w:pPr>
    </w:p>
    <w:p>
      <w:pPr>
        <w:ind w:left="240" w:hanging="237"/>
        <w:spacing w:after="0"/>
        <w:tabs>
          <w:tab w:leader="none" w:pos="24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Recent Accounting Pronouncements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Standards Adopted in 2018</w:t>
      </w:r>
    </w:p>
    <w:p>
      <w:pPr>
        <w:spacing w:after="0" w:line="273" w:lineRule="exact"/>
        <w:rPr>
          <w:sz w:val="20"/>
          <w:szCs w:val="20"/>
          <w:color w:val="auto"/>
        </w:rPr>
      </w:pPr>
    </w:p>
    <w:p>
      <w:pPr>
        <w:jc w:val="both"/>
        <w:spacing w:after="0" w:line="291" w:lineRule="auto"/>
        <w:rPr>
          <w:sz w:val="20"/>
          <w:szCs w:val="20"/>
          <w:color w:val="auto"/>
        </w:rPr>
      </w:pPr>
      <w:r>
        <w:rPr>
          <w:rFonts w:ascii="Arial" w:cs="Arial" w:eastAsia="Arial" w:hAnsi="Arial"/>
          <w:sz w:val="15"/>
          <w:szCs w:val="15"/>
          <w:u w:val="single" w:color="auto"/>
          <w:color w:val="auto"/>
        </w:rPr>
        <w:t>Accounting Standards Update ("ASU") No. 2017-01: "Business Combinations (Topic 805): Clarifying the Definition of a Business"</w:t>
      </w:r>
      <w:r>
        <w:rPr>
          <w:rFonts w:ascii="Arial" w:cs="Arial" w:eastAsia="Arial" w:hAnsi="Arial"/>
          <w:sz w:val="15"/>
          <w:szCs w:val="15"/>
          <w:color w:val="auto"/>
        </w:rPr>
        <w:t xml:space="preserve"> – Issued in January 2017, ASU 2017-01 intends to clarify the definition of a business with the objective of adding guidance to assist entities with evaluating whether transactions should be accounted for as acquisitions (or disposals) of assets or businesses. Under the current implementation guidance in Topic 805, there are three elements of a business: inputs, processes, and outputs. While an integrated set of assets and activities, collectively referred to as a "set," that is a business usually has outputs, outputs are not required to be present. ASU 2017-01 provides a screen to determine when a set is not a business. The screen requires that when substantially all of the fair value of the gross assets acquired (or disposed of) is concentrated in a single identifiable asset or a group of similar identifiable assets, the set is not a business. While the Company's acquisitions have historically been classified as either business combinations or asset acquisitions, certain acquisitions that were classified as business combinations by the Company would have been considered asset acquisitions under the new standard. As a result, transaction costs may be capitalized more often since the Company expects some of its future acquisitions to be classified as asset acquisitions under this new standard. In addition, goodwill that was previously allocated to businesses that were sold or held for sale will no longer be allocated and written off upon sale if future sales were deemed to be sales of assets and not businesses. ASU 2017-01 was adopted by the Company on January 1, 2018 and it will be applied prospectively to transactions occurring after the adoption date, as applicable.</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u w:val="single" w:color="auto"/>
          <w:color w:val="auto"/>
        </w:rPr>
        <w:t>ASU No. 2016-18: "Statement of Cash Flows (Topic 230): Restricted Cash"</w:t>
      </w:r>
      <w:r>
        <w:rPr>
          <w:rFonts w:ascii="Arial" w:cs="Arial" w:eastAsia="Arial" w:hAnsi="Arial"/>
          <w:sz w:val="16"/>
          <w:szCs w:val="16"/>
          <w:color w:val="auto"/>
        </w:rPr>
        <w:t xml:space="preserve"> – Issued in November 2016, ASU 2016-18 requires restricted cash and cash equivalents to be included with cash and cash equivalents in the consolidated statement of cash flows and disclose the nature of the restrictions on cash and cash equivalents. The Company currently discloses the restrictions on cash and cash equivalents in Note 8 of the Notes to Consolidated Financial Statements in the Company's Annual Report on Form 10-K and will continue these disclosures. Note 8 also discloses the components of the Company's restricted assets and cemetery perpetual care trust investments which include restricted cash and cash equivalents. ASU 2016-18 was adopted by the Company on January 1, 2018. The Company previously presented changes in restricted cash and cash equivalents under investing activities on the consolidated statements of cash flows. Upon adoption of ASU 2016-18, the Company amended the presentation in the consolidated statements of cash flows to include the restricted cash and cash equivalents with cash and cash equivalents and retrospectively reclassified all periods presented. The adoption of this standard does not impact the Company's total cash and cash equivalents but is a change in presentation within the consolidated statements of cash flows.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0" w:name="page11"/>
    <w:bookmarkEnd w:id="10"/>
    <w:p>
      <w:pPr>
        <w:ind w:left="2940"/>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40" w:hanging="237"/>
        <w:spacing w:after="0"/>
        <w:tabs>
          <w:tab w:leader="none" w:pos="24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Recent Accounting Pronouncements</w:t>
      </w:r>
      <w:r>
        <w:rPr>
          <w:rFonts w:ascii="Arial" w:cs="Arial" w:eastAsia="Arial" w:hAnsi="Arial"/>
          <w:sz w:val="17"/>
          <w:szCs w:val="17"/>
          <w:color w:val="auto"/>
        </w:rPr>
        <w:t xml:space="preserve"> (Continued)</w:t>
      </w:r>
    </w:p>
    <w:p>
      <w:pPr>
        <w:spacing w:after="0" w:line="2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ASU No. 2016-01: "Financial Instruments – Overall (Topic 825-10)"</w:t>
      </w:r>
      <w:r>
        <w:rPr>
          <w:rFonts w:ascii="Arial" w:cs="Arial" w:eastAsia="Arial" w:hAnsi="Arial"/>
          <w:sz w:val="17"/>
          <w:szCs w:val="17"/>
          <w:color w:val="auto"/>
        </w:rPr>
        <w:t xml:space="preserve"> </w:t>
      </w:r>
      <w:r>
        <w:rPr>
          <w:rFonts w:ascii="Arial" w:cs="Arial" w:eastAsia="Arial" w:hAnsi="Arial"/>
          <w:sz w:val="20"/>
          <w:szCs w:val="20"/>
          <w:color w:val="auto"/>
        </w:rPr>
        <w:t>– Issued in January 2016, ASU 2016-01 changes the accounting for non-consolidated equity investments that are not accounted for under the equity method of accounting by requiring changes in fair value to be recognized in income. The Company adopted this standard on January 1, 2018 using the modified retrospective approach with the cumulative effect of the adoption made to the balance sheet as of the date of adoption. Thus, the adoption resulted in a reclassification of the related accumulated net unrealized gains of $603,170 included in accumulated other comprehensive income as of December 31, 2017 to retained earnings. Under previous guidance, changes in fair value for investments of this nature were recognized in accumulated other comprehensive income as a component of stockholders' equity. Additionally, ASU 2016-01 simplifies the impairment assessment of equity investments without readily determinable fair values; requires entities to use the exit price when estimating the fair value of financial instruments; and modifies various presentation disclosure requirements for financial instruments. The Company holds equity securities that were previously measured at fair value with changes in fair value recognized through other comprehensive income. Upon adoption of ASU 2016-01 the Company now recognizes the changes in the fair value of these equity securities through earnings as part of gains on investments and other assets on the condensed consolidated statements of earnings, thus increasing the volatility of the Company's earnings. The adoption of this standard does not significantly affect the Company's comprehensive income or stockholders' equity.</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u w:val="single" w:color="auto"/>
          <w:color w:val="auto"/>
        </w:rPr>
        <w:t>ASU No. 2014-09: "Revenue from Contracts with Customers (Topic 606)"</w:t>
      </w:r>
      <w:r>
        <w:rPr>
          <w:rFonts w:ascii="Arial" w:cs="Arial" w:eastAsia="Arial" w:hAnsi="Arial"/>
          <w:sz w:val="17"/>
          <w:szCs w:val="17"/>
          <w:color w:val="auto"/>
        </w:rPr>
        <w:t xml:space="preserve"> - Issued in May 2014, ASU 2014-09 supersedes the revenue recognition requirements in ASC Topic 605, "Revenue Recognition". ASU 2014-09 clarifies the principles for recognizing revenue in order to improve comparability of revenue recognition practices across entities and industries. ASU 2014-09 provides guidance to assist in the identification of contracts with customers and separate performance obligations within those contracts, the determination and allocation of the transaction price to those identified performance obligations and the recognition of revenue when a performance obligation has been satisfied. ASU 2014-09 also requires disclosures regarding the nature, amount, timing, and uncertainty of revenues and cash flows from contracts with customers. Premiums and related fees from insurance contracts and mortgage banking revenues are excluded from the scope of this new guidance.</w:t>
      </w:r>
    </w:p>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Company adopted this standard on January 1, 2018 using a modified retrospective approach. No cumulative effect adjustment was made to beginning retained earnings. The Company's revenues from contracts with customers that are subject to ASU 2014-09 include revenues on mortuary and cemetery contracts, which is less than 5% of the Company's total revenues. The recognition and measurement of these items did not change as a result of the Company's adoption of ASU 2014-09 and thus the adoption of ASU 2014-09 does not significantly impact the Company's condensed consolidated statements of earnings or condensed consolidated statements of cash flows. The Company reclassified $856,479 of amounts due from customers for unfulfilled performance obligations on cancelable pre-need contracts from Receivables, net to Deferred pre-need cemetery and mortuary contract revenues on the Company's condensed consolidated balance sheets.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standard primarily impacts the manner in which the Company recognizes a) certain nonrefundable up-front fees and b) incremental costs to acquire new pre-need funeral trust contracts and pre-need and at-need cemetery contracts (i.e., selling costs). The nonrefundable fees will continue to be deferred and recognized as revenue when the underlying goods and services are delivered to the customer. The incremental selling costs will continue to be deferred and amortized by specific identification to the delivery of the underlying goods and services. Additionally, the amounts due from customers for undelivered performance obligations on cancelable pre-need contracts represent contract assets, which are required to be netted with deferred pre-need cemetery and mortuary contract revenues, instead of receivables on the Company's consolidated balance sheets.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Accounting Standards Issued But Not Yet Adopted</w:t>
      </w:r>
    </w:p>
    <w:p>
      <w:pPr>
        <w:spacing w:after="0" w:line="273" w:lineRule="exact"/>
        <w:rPr>
          <w:sz w:val="20"/>
          <w:szCs w:val="20"/>
          <w:color w:val="auto"/>
        </w:rPr>
      </w:pPr>
    </w:p>
    <w:p>
      <w:pPr>
        <w:jc w:val="both"/>
        <w:spacing w:after="0" w:line="295" w:lineRule="auto"/>
        <w:rPr>
          <w:sz w:val="20"/>
          <w:szCs w:val="20"/>
          <w:color w:val="auto"/>
        </w:rPr>
      </w:pPr>
      <w:r>
        <w:rPr>
          <w:rFonts w:ascii="Arial" w:cs="Arial" w:eastAsia="Arial" w:hAnsi="Arial"/>
          <w:sz w:val="15"/>
          <w:szCs w:val="15"/>
          <w:u w:val="single" w:color="auto"/>
          <w:color w:val="auto"/>
        </w:rPr>
        <w:t>ASU No. 2016-13: "Financial Instruments – Credit Losses (Topic 326)"</w:t>
      </w:r>
      <w:r>
        <w:rPr>
          <w:rFonts w:ascii="Arial" w:cs="Arial" w:eastAsia="Arial" w:hAnsi="Arial"/>
          <w:sz w:val="15"/>
          <w:szCs w:val="15"/>
          <w:color w:val="auto"/>
        </w:rPr>
        <w:t xml:space="preserve"> – Issued in June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general accepted accounting principles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The new authoritative guidance will be effective for the Company on January 1, 2020. The Company is in the process of evaluating the potential impact of this standard.</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u w:val="single" w:color="auto"/>
          <w:color w:val="auto"/>
        </w:rPr>
        <w:t>ASU No. 2016-02: "Leases (Topic 842)"</w:t>
      </w:r>
      <w:r>
        <w:rPr>
          <w:rFonts w:ascii="Arial" w:cs="Arial" w:eastAsia="Arial" w:hAnsi="Arial"/>
          <w:sz w:val="17"/>
          <w:szCs w:val="17"/>
          <w:color w:val="auto"/>
        </w:rPr>
        <w:t xml:space="preserve"> - Issued in February 2016, ASU 2016-02 supersedes the requirements in Accounting Standards Codification ("ASC") Topic 840, "Leases", and was issued to increase transparency and comparability among organizations by recognizing lease assets and lease liabilities on the balance sheet and disclosing key information about leasing arrangements. The new authoritative guidance will be effective for the Company on January 1, 2019. The Company is in the process of evaluating the potential impact of this standard, which is not expected to be material to the Company's results of operations but will have an effect on the balance sheet presentation for leased assets and obligations.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has reviewed other recent accounting pronouncements and has determined that they will not significantly impact the Company's results of operations or financial position.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12" w:name="page13"/>
    <w:bookmarkEnd w:id="12"/>
    <w:p>
      <w:pPr>
        <w:ind w:left="2940"/>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March 31, 2018 (Unaudited)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40" w:type="dxa"/>
            <w:vAlign w:val="bottom"/>
            <w:gridSpan w:val="5"/>
          </w:tcPr>
          <w:p>
            <w:pPr>
              <w:spacing w:after="0"/>
              <w:rPr>
                <w:sz w:val="20"/>
                <w:szCs w:val="20"/>
                <w:color w:val="auto"/>
              </w:rPr>
            </w:pPr>
            <w:r>
              <w:rPr>
                <w:rFonts w:ascii="Arial" w:cs="Arial" w:eastAsia="Arial" w:hAnsi="Arial"/>
                <w:sz w:val="17"/>
                <w:szCs w:val="17"/>
                <w:color w:val="auto"/>
              </w:rPr>
              <w:t>3) Investments</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940" w:type="dxa"/>
            <w:vAlign w:val="bottom"/>
            <w:gridSpan w:val="5"/>
          </w:tcPr>
          <w:p>
            <w:pPr>
              <w:spacing w:after="0"/>
              <w:rPr>
                <w:sz w:val="20"/>
                <w:szCs w:val="20"/>
                <w:color w:val="auto"/>
              </w:rPr>
            </w:pPr>
            <w:r>
              <w:rPr>
                <w:rFonts w:ascii="Arial" w:cs="Arial" w:eastAsia="Arial" w:hAnsi="Arial"/>
                <w:sz w:val="17"/>
                <w:szCs w:val="17"/>
                <w:color w:val="auto"/>
              </w:rPr>
              <w:t>The Company's investments as of March 31, 2018 are summarized as follows: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Gross</w:t>
            </w:r>
          </w:p>
        </w:tc>
        <w:tc>
          <w:tcPr>
            <w:tcW w:w="12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Gross</w:t>
            </w:r>
          </w:p>
        </w:tc>
        <w:tc>
          <w:tcPr>
            <w:tcW w:w="10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Estimated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Unrealized</w:t>
            </w:r>
          </w:p>
        </w:tc>
        <w:tc>
          <w:tcPr>
            <w:tcW w:w="1080" w:type="dxa"/>
            <w:vAlign w:val="bottom"/>
            <w:gridSpan w:val="3"/>
          </w:tcPr>
          <w:p>
            <w:pPr>
              <w:jc w:val="center"/>
              <w:ind w:right="180"/>
              <w:spacing w:after="0"/>
              <w:rPr>
                <w:sz w:val="20"/>
                <w:szCs w:val="20"/>
                <w:color w:val="auto"/>
              </w:rPr>
            </w:pPr>
            <w:r>
              <w:rPr>
                <w:rFonts w:ascii="Arial" w:cs="Arial" w:eastAsia="Arial" w:hAnsi="Arial"/>
                <w:sz w:val="17"/>
                <w:szCs w:val="17"/>
                <w:color w:val="auto"/>
                <w:w w:val="91"/>
              </w:rPr>
              <w:t>Unrealized</w:t>
            </w: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Fair</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Cost</w:t>
            </w:r>
          </w:p>
        </w:tc>
        <w:tc>
          <w:tcPr>
            <w:tcW w:w="12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Gains</w:t>
            </w:r>
          </w:p>
        </w:tc>
        <w:tc>
          <w:tcPr>
            <w:tcW w:w="120" w:type="dxa"/>
            <w:vAlign w:val="bottom"/>
          </w:tcPr>
          <w:p>
            <w:pPr>
              <w:spacing w:after="0"/>
              <w:rPr>
                <w:sz w:val="19"/>
                <w:szCs w:val="19"/>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7"/>
                <w:szCs w:val="17"/>
                <w:color w:val="auto"/>
                <w:w w:val="85"/>
              </w:rPr>
              <w:t>Losses</w:t>
            </w:r>
          </w:p>
        </w:tc>
        <w:tc>
          <w:tcPr>
            <w:tcW w:w="10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Value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color w:val="auto"/>
                <w:w w:val="91"/>
              </w:rPr>
              <w:t>March 31, 2018</w:t>
            </w:r>
          </w:p>
        </w:tc>
        <w:tc>
          <w:tcPr>
            <w:tcW w:w="37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w w:val="95"/>
              </w:rPr>
              <w:t>Fixed maturity securities held to maturity carried at amortized cost:</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0" w:type="dxa"/>
            <w:vAlign w:val="bottom"/>
            <w:gridSpan w:val="2"/>
          </w:tcPr>
          <w:p>
            <w:pPr>
              <w:ind w:left="180"/>
              <w:spacing w:after="0"/>
              <w:rPr>
                <w:sz w:val="20"/>
                <w:szCs w:val="20"/>
                <w:color w:val="auto"/>
              </w:rPr>
            </w:pPr>
            <w:r>
              <w:rPr>
                <w:rFonts w:ascii="Arial" w:cs="Arial" w:eastAsia="Arial" w:hAnsi="Arial"/>
                <w:sz w:val="17"/>
                <w:szCs w:val="17"/>
                <w:color w:val="auto"/>
              </w:rPr>
              <w:t>Bonds: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gridSpan w:val="2"/>
            <w:shd w:val="clear" w:color="auto" w:fill="CCEEFF"/>
          </w:tcPr>
          <w:p>
            <w:pPr>
              <w:ind w:left="180"/>
              <w:spacing w:after="0" w:line="194" w:lineRule="exact"/>
              <w:rPr>
                <w:sz w:val="20"/>
                <w:szCs w:val="20"/>
                <w:color w:val="auto"/>
              </w:rPr>
            </w:pPr>
            <w:r>
              <w:rPr>
                <w:rFonts w:ascii="Arial" w:cs="Arial" w:eastAsia="Arial" w:hAnsi="Arial"/>
                <w:sz w:val="17"/>
                <w:szCs w:val="17"/>
                <w:color w:val="auto"/>
              </w:rPr>
              <w:t>U.S. Treasury securities and obligations of U.S. Government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54,286,773</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178,830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(960,777)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53,504,826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ind w:left="180"/>
              <w:spacing w:after="0"/>
              <w:rPr>
                <w:sz w:val="20"/>
                <w:szCs w:val="20"/>
                <w:color w:val="auto"/>
              </w:rPr>
            </w:pPr>
            <w:r>
              <w:rPr>
                <w:rFonts w:ascii="Arial" w:cs="Arial" w:eastAsia="Arial" w:hAnsi="Arial"/>
                <w:sz w:val="17"/>
                <w:szCs w:val="17"/>
                <w:color w:val="auto"/>
              </w:rPr>
              <w:t>Obligations of states and political subdivisions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6,742,875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71,014</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(145,551)</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6,668,338</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Corporate securities including public utilities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157,715,073</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10,498,181</w:t>
            </w: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(1,305,125)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166,908,129</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ind w:left="180"/>
              <w:spacing w:after="0"/>
              <w:rPr>
                <w:sz w:val="20"/>
                <w:szCs w:val="20"/>
                <w:color w:val="auto"/>
              </w:rPr>
            </w:pPr>
            <w:r>
              <w:rPr>
                <w:rFonts w:ascii="Arial" w:cs="Arial" w:eastAsia="Arial" w:hAnsi="Arial"/>
                <w:sz w:val="17"/>
                <w:szCs w:val="17"/>
                <w:color w:val="auto"/>
              </w:rPr>
              <w:t>Mortgage-backed securities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12,105,727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268,842</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(249,019)</w:t>
            </w: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12,125,550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Redeemable preferred stock</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623,635</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28,808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652,099</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Total fixed maturity securities held to maturity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231,474,083</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11,045,675</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(2,660,816)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239,858,942</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Equity securities at estimated fair value:</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Common stock:</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Industrial, miscellaneous and all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6,230,113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498,655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(839,617)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5,889,151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Total equity securities at estimated fair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6,230,113</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498,655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(839,617)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5,889,151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Mortgage loans held for investment at amortized cost: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Residential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101,665,364</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ind w:left="340"/>
              <w:spacing w:after="0"/>
              <w:rPr>
                <w:sz w:val="20"/>
                <w:szCs w:val="20"/>
                <w:color w:val="auto"/>
              </w:rPr>
            </w:pPr>
            <w:r>
              <w:rPr>
                <w:rFonts w:ascii="Arial" w:cs="Arial" w:eastAsia="Arial" w:hAnsi="Arial"/>
                <w:sz w:val="17"/>
                <w:szCs w:val="17"/>
                <w:color w:val="auto"/>
              </w:rPr>
              <w:t>Residential construction</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54,254,054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Commercial</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52,384,376</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ind w:left="340"/>
              <w:spacing w:after="0"/>
              <w:rPr>
                <w:sz w:val="20"/>
                <w:szCs w:val="20"/>
                <w:color w:val="auto"/>
              </w:rPr>
            </w:pPr>
            <w:r>
              <w:rPr>
                <w:rFonts w:ascii="Arial" w:cs="Arial" w:eastAsia="Arial" w:hAnsi="Arial"/>
                <w:sz w:val="17"/>
                <w:szCs w:val="17"/>
                <w:color w:val="auto"/>
              </w:rPr>
              <w:t>Less: Unamortized deferred loan fees, net</w:t>
            </w: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(1,617,517)</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Less: Allowance for loan losses</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(1,696,371)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Total mortgage loans held for investment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204,989,906</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w w:val="98"/>
              </w:rPr>
              <w:t>Real estate held for investment net of accumulated depreciation:</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Residential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31,874,263</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7"/>
                <w:szCs w:val="17"/>
                <w:color w:val="auto"/>
              </w:rPr>
              <w:t>Commercial</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73,189,068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real estate held for investment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105,063,331</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Policy loans and other investments at amortized cost: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ind w:left="340"/>
              <w:spacing w:after="0"/>
              <w:rPr>
                <w:sz w:val="20"/>
                <w:szCs w:val="20"/>
                <w:color w:val="auto"/>
              </w:rPr>
            </w:pPr>
            <w:r>
              <w:rPr>
                <w:rFonts w:ascii="Arial" w:cs="Arial" w:eastAsia="Arial" w:hAnsi="Arial"/>
                <w:sz w:val="17"/>
                <w:szCs w:val="17"/>
                <w:color w:val="auto"/>
              </w:rPr>
              <w:t>Policy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6,403,888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Insurance assignments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35,088,585</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ind w:left="340"/>
              <w:spacing w:after="0"/>
              <w:rPr>
                <w:sz w:val="20"/>
                <w:szCs w:val="20"/>
                <w:color w:val="auto"/>
              </w:rPr>
            </w:pPr>
            <w:r>
              <w:rPr>
                <w:rFonts w:ascii="Arial" w:cs="Arial" w:eastAsia="Arial" w:hAnsi="Arial"/>
                <w:sz w:val="17"/>
                <w:szCs w:val="17"/>
                <w:color w:val="auto"/>
              </w:rPr>
              <w:t>Federal Home Loan Bank stock</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708,700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Other investments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4,280,651</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7"/>
                <w:szCs w:val="17"/>
                <w:color w:val="auto"/>
              </w:rPr>
              <w:t>Less: Allowance for doubtful accounts</w:t>
            </w: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(931,029)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Total policy loans and other investments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45,550,795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Accrued investment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3,886,170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Total investments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596,853,436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gridSpan w:val="5"/>
            <w:vMerge w:val="restart"/>
          </w:tcPr>
          <w:p>
            <w:pPr>
              <w:jc w:val="right"/>
              <w:ind w:right="160"/>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594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2" w:right="239" w:bottom="1440" w:gutter="0" w:footer="0" w:header="0"/>
        </w:sectPr>
      </w:pPr>
    </w:p>
    <w:bookmarkStart w:id="13" w:name="page14"/>
    <w:bookmarkEnd w:id="13"/>
    <w:p>
      <w:pPr>
        <w:jc w:val="center"/>
        <w:ind w:left="1400" w:right="1780"/>
        <w:spacing w:after="0" w:line="264"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2018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40" w:type="dxa"/>
            <w:vAlign w:val="bottom"/>
            <w:gridSpan w:val="5"/>
          </w:tcPr>
          <w:p>
            <w:pPr>
              <w:spacing w:after="0"/>
              <w:rPr>
                <w:sz w:val="20"/>
                <w:szCs w:val="20"/>
                <w:color w:val="auto"/>
              </w:rPr>
            </w:pPr>
            <w:r>
              <w:rPr>
                <w:rFonts w:ascii="Arial" w:cs="Arial" w:eastAsia="Arial" w:hAnsi="Arial"/>
                <w:sz w:val="17"/>
                <w:szCs w:val="17"/>
                <w:color w:val="auto"/>
              </w:rPr>
              <w:t>3) Investments (Continued)</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5940" w:type="dxa"/>
            <w:vAlign w:val="bottom"/>
            <w:gridSpan w:val="5"/>
          </w:tcPr>
          <w:p>
            <w:pPr>
              <w:spacing w:after="0"/>
              <w:rPr>
                <w:sz w:val="20"/>
                <w:szCs w:val="20"/>
                <w:color w:val="auto"/>
              </w:rPr>
            </w:pPr>
            <w:r>
              <w:rPr>
                <w:rFonts w:ascii="Arial" w:cs="Arial" w:eastAsia="Arial" w:hAnsi="Arial"/>
                <w:sz w:val="17"/>
                <w:szCs w:val="17"/>
                <w:color w:val="auto"/>
                <w:w w:val="95"/>
              </w:rPr>
              <w:t>The Company's investments as of December 31, 2017 are summarized as follows: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1"/>
        </w:trPr>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Gross</w:t>
            </w:r>
          </w:p>
        </w:tc>
        <w:tc>
          <w:tcPr>
            <w:tcW w:w="12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Gross</w:t>
            </w:r>
          </w:p>
        </w:tc>
        <w:tc>
          <w:tcPr>
            <w:tcW w:w="10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Estimated</w:t>
            </w: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Unrealized</w:t>
            </w:r>
          </w:p>
        </w:tc>
        <w:tc>
          <w:tcPr>
            <w:tcW w:w="1080" w:type="dxa"/>
            <w:vAlign w:val="bottom"/>
            <w:gridSpan w:val="3"/>
          </w:tcPr>
          <w:p>
            <w:pPr>
              <w:jc w:val="center"/>
              <w:ind w:right="180"/>
              <w:spacing w:after="0"/>
              <w:rPr>
                <w:sz w:val="20"/>
                <w:szCs w:val="20"/>
                <w:color w:val="auto"/>
              </w:rPr>
            </w:pPr>
            <w:r>
              <w:rPr>
                <w:rFonts w:ascii="Arial" w:cs="Arial" w:eastAsia="Arial" w:hAnsi="Arial"/>
                <w:sz w:val="17"/>
                <w:szCs w:val="17"/>
                <w:color w:val="auto"/>
                <w:w w:val="91"/>
              </w:rPr>
              <w:t>Unrealized</w:t>
            </w:r>
          </w:p>
        </w:tc>
        <w:tc>
          <w:tcPr>
            <w:tcW w:w="100" w:type="dxa"/>
            <w:vAlign w:val="bottom"/>
          </w:tcPr>
          <w:p>
            <w:pPr>
              <w:spacing w:after="0"/>
              <w:rPr>
                <w:sz w:val="17"/>
                <w:szCs w:val="17"/>
                <w:color w:val="auto"/>
              </w:rPr>
            </w:pPr>
          </w:p>
        </w:tc>
        <w:tc>
          <w:tcPr>
            <w:tcW w:w="940" w:type="dxa"/>
            <w:vAlign w:val="bottom"/>
            <w:gridSpan w:val="2"/>
          </w:tcPr>
          <w:p>
            <w:pPr>
              <w:ind w:left="260"/>
              <w:spacing w:after="0"/>
              <w:rPr>
                <w:sz w:val="20"/>
                <w:szCs w:val="20"/>
                <w:color w:val="auto"/>
              </w:rPr>
            </w:pPr>
            <w:r>
              <w:rPr>
                <w:rFonts w:ascii="Arial" w:cs="Arial" w:eastAsia="Arial" w:hAnsi="Arial"/>
                <w:sz w:val="17"/>
                <w:szCs w:val="17"/>
                <w:color w:val="auto"/>
              </w:rPr>
              <w:t>Fair</w:t>
            </w:r>
          </w:p>
        </w:tc>
      </w:tr>
      <w:tr>
        <w:trPr>
          <w:trHeight w:val="223"/>
        </w:trPr>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Cost</w:t>
            </w:r>
          </w:p>
        </w:tc>
        <w:tc>
          <w:tcPr>
            <w:tcW w:w="12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Arial" w:cs="Arial" w:eastAsia="Arial" w:hAnsi="Arial"/>
                <w:sz w:val="17"/>
                <w:szCs w:val="17"/>
                <w:color w:val="auto"/>
              </w:rPr>
              <w:t>Gains</w:t>
            </w:r>
          </w:p>
        </w:tc>
        <w:tc>
          <w:tcPr>
            <w:tcW w:w="120" w:type="dxa"/>
            <w:vAlign w:val="bottom"/>
          </w:tcPr>
          <w:p>
            <w:pPr>
              <w:spacing w:after="0"/>
              <w:rPr>
                <w:sz w:val="19"/>
                <w:szCs w:val="19"/>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7"/>
                <w:szCs w:val="17"/>
                <w:color w:val="auto"/>
                <w:w w:val="85"/>
              </w:rPr>
              <w:t>Losses</w:t>
            </w:r>
          </w:p>
        </w:tc>
        <w:tc>
          <w:tcPr>
            <w:tcW w:w="10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Value</w:t>
            </w:r>
          </w:p>
        </w:tc>
      </w:tr>
      <w:tr>
        <w:trPr>
          <w:trHeight w:val="167"/>
        </w:trPr>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color w:val="auto"/>
                <w:w w:val="89"/>
              </w:rPr>
              <w:t>December 31, 2017:</w:t>
            </w:r>
          </w:p>
        </w:tc>
        <w:tc>
          <w:tcPr>
            <w:tcW w:w="3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417"/>
        </w:trPr>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w w:val="95"/>
              </w:rPr>
              <w:t>Fixed maturity securities held to maturity carried at amortized cost:</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0" w:type="dxa"/>
            <w:vAlign w:val="bottom"/>
            <w:gridSpan w:val="2"/>
          </w:tcPr>
          <w:p>
            <w:pPr>
              <w:ind w:left="180"/>
              <w:spacing w:after="0"/>
              <w:rPr>
                <w:sz w:val="20"/>
                <w:szCs w:val="20"/>
                <w:color w:val="auto"/>
              </w:rPr>
            </w:pPr>
            <w:r>
              <w:rPr>
                <w:rFonts w:ascii="Arial" w:cs="Arial" w:eastAsia="Arial" w:hAnsi="Arial"/>
                <w:sz w:val="17"/>
                <w:szCs w:val="17"/>
                <w:color w:val="auto"/>
              </w:rPr>
              <w:t>Bonds: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gridSpan w:val="2"/>
            <w:shd w:val="clear" w:color="auto" w:fill="CCEEFF"/>
          </w:tcPr>
          <w:p>
            <w:pPr>
              <w:ind w:left="180"/>
              <w:spacing w:after="0" w:line="194" w:lineRule="exact"/>
              <w:rPr>
                <w:sz w:val="20"/>
                <w:szCs w:val="20"/>
                <w:color w:val="auto"/>
              </w:rPr>
            </w:pPr>
            <w:r>
              <w:rPr>
                <w:rFonts w:ascii="Arial" w:cs="Arial" w:eastAsia="Arial" w:hAnsi="Arial"/>
                <w:sz w:val="17"/>
                <w:szCs w:val="17"/>
                <w:color w:val="auto"/>
              </w:rPr>
              <w:t>U.S. Treasury securities and obligations of U.S. Government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54,077,069</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211,824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(579,423)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53,709,470</w:t>
            </w: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ind w:left="180"/>
              <w:spacing w:after="0"/>
              <w:rPr>
                <w:sz w:val="20"/>
                <w:szCs w:val="20"/>
                <w:color w:val="auto"/>
              </w:rPr>
            </w:pPr>
            <w:r>
              <w:rPr>
                <w:rFonts w:ascii="Arial" w:cs="Arial" w:eastAsia="Arial" w:hAnsi="Arial"/>
                <w:sz w:val="17"/>
                <w:szCs w:val="17"/>
                <w:color w:val="auto"/>
              </w:rPr>
              <w:t>Obligations of states and political subdivisions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5,843,176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112,372</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(71,013)</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5,884,535</w:t>
            </w: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Corporate securities including public utilities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158,350,727</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14,336,452</w:t>
            </w: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(1,007,504)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171,679,675</w:t>
            </w: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ind w:left="180"/>
              <w:spacing w:after="0"/>
              <w:rPr>
                <w:sz w:val="20"/>
                <w:szCs w:val="20"/>
                <w:color w:val="auto"/>
              </w:rPr>
            </w:pPr>
            <w:r>
              <w:rPr>
                <w:rFonts w:ascii="Arial" w:cs="Arial" w:eastAsia="Arial" w:hAnsi="Arial"/>
                <w:sz w:val="17"/>
                <w:szCs w:val="17"/>
                <w:color w:val="auto"/>
              </w:rPr>
              <w:t>Mortgage-backed securities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9,503,016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210,652</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(162,131)</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9,551,537</w:t>
            </w: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Redeemable preferred stock</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623,635</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673,192</w:t>
            </w:r>
          </w:p>
        </w:tc>
        <w:tc>
          <w:tcPr>
            <w:tcW w:w="80" w:type="dxa"/>
            <w:vAlign w:val="bottom"/>
            <w:shd w:val="clear" w:color="auto" w:fill="CCEEFF"/>
          </w:tcPr>
          <w:p>
            <w:pPr>
              <w:spacing w:after="0"/>
              <w:rPr>
                <w:sz w:val="17"/>
                <w:szCs w:val="17"/>
                <w:color w:val="auto"/>
              </w:rPr>
            </w:pPr>
          </w:p>
        </w:tc>
      </w:tr>
      <w:tr>
        <w:trPr>
          <w:trHeight w:val="26"/>
        </w:trPr>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Total fixed maturity securities held to maturity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228,397,623</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14,921,048</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(1,820,262)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241,498,409</w:t>
            </w:r>
          </w:p>
        </w:tc>
        <w:tc>
          <w:tcPr>
            <w:tcW w:w="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Equity securities at estimated fair value:</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Common stock:</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1"/>
        </w:trPr>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Industrial, miscellaneous and all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6,002,931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667,593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(632,669)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6,037,855</w:t>
            </w:r>
          </w:p>
        </w:tc>
        <w:tc>
          <w:tcPr>
            <w:tcW w:w="80" w:type="dxa"/>
            <w:vAlign w:val="bottom"/>
          </w:tcPr>
          <w:p>
            <w:pPr>
              <w:spacing w:after="0"/>
              <w:rPr>
                <w:sz w:val="18"/>
                <w:szCs w:val="18"/>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Total equity securities at estimated fair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6,002,931</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667,593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(632,669)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6,037,855</w:t>
            </w:r>
          </w:p>
        </w:tc>
        <w:tc>
          <w:tcPr>
            <w:tcW w:w="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Mortgage loans held for investment at amortized cost: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Residential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102,527,111</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ind w:left="340"/>
              <w:spacing w:after="0"/>
              <w:rPr>
                <w:sz w:val="20"/>
                <w:szCs w:val="20"/>
                <w:color w:val="auto"/>
              </w:rPr>
            </w:pPr>
            <w:r>
              <w:rPr>
                <w:rFonts w:ascii="Arial" w:cs="Arial" w:eastAsia="Arial" w:hAnsi="Arial"/>
                <w:sz w:val="17"/>
                <w:szCs w:val="17"/>
                <w:color w:val="auto"/>
              </w:rPr>
              <w:t>Residential construction</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50,157,533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Commercial</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54,954,865</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ind w:left="340"/>
              <w:spacing w:after="0"/>
              <w:rPr>
                <w:sz w:val="20"/>
                <w:szCs w:val="20"/>
                <w:color w:val="auto"/>
              </w:rPr>
            </w:pPr>
            <w:r>
              <w:rPr>
                <w:rFonts w:ascii="Arial" w:cs="Arial" w:eastAsia="Arial" w:hAnsi="Arial"/>
                <w:sz w:val="17"/>
                <w:szCs w:val="17"/>
                <w:color w:val="auto"/>
              </w:rPr>
              <w:t>Less: Unamortized deferred loan fees, net</w:t>
            </w: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(1,659,828)</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Less: Allowance for loan losses</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(1,768,796)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34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5"/>
        </w:trPr>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mortgage loans held for investment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204,210,885</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Real estate held for investment net of accumlated depreciation:</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ind w:left="340"/>
              <w:spacing w:after="0"/>
              <w:rPr>
                <w:sz w:val="20"/>
                <w:szCs w:val="20"/>
                <w:color w:val="auto"/>
              </w:rPr>
            </w:pPr>
            <w:r>
              <w:rPr>
                <w:rFonts w:ascii="Arial" w:cs="Arial" w:eastAsia="Arial" w:hAnsi="Arial"/>
                <w:sz w:val="17"/>
                <w:szCs w:val="17"/>
                <w:color w:val="auto"/>
              </w:rPr>
              <w:t>Residential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98"/>
              </w:rPr>
              <w:t>68,329,917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Commercial</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72,968,789</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Total real estate held for investment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141,298,706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Policy loans and other investments at amortized cost: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Policy loans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6,531,352</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ind w:left="340"/>
              <w:spacing w:after="0"/>
              <w:rPr>
                <w:sz w:val="20"/>
                <w:szCs w:val="20"/>
                <w:color w:val="auto"/>
              </w:rPr>
            </w:pPr>
            <w:r>
              <w:rPr>
                <w:rFonts w:ascii="Arial" w:cs="Arial" w:eastAsia="Arial" w:hAnsi="Arial"/>
                <w:sz w:val="17"/>
                <w:szCs w:val="17"/>
                <w:color w:val="auto"/>
              </w:rPr>
              <w:t>Insurance assignments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36,301,739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Federal Home Loan Bank stock</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689,400</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ind w:left="340"/>
              <w:spacing w:after="0"/>
              <w:rPr>
                <w:sz w:val="20"/>
                <w:szCs w:val="20"/>
                <w:color w:val="auto"/>
              </w:rPr>
            </w:pPr>
            <w:r>
              <w:rPr>
                <w:rFonts w:ascii="Arial" w:cs="Arial" w:eastAsia="Arial" w:hAnsi="Arial"/>
                <w:sz w:val="17"/>
                <w:szCs w:val="17"/>
                <w:color w:val="auto"/>
              </w:rPr>
              <w:t>Other investments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3,219,622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Less: Allowance for doubtful accounts</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(846,641)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34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5"/>
        </w:trPr>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policy loans and other investments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45,895,472</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Accrued investment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3,644,077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Total investments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629,484,618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27" w:right="137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725360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0280"/>
          </w:cols>
          <w:pgMar w:left="240" w:top="127" w:right="137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04" w:lineRule="exact"/>
        <w:rPr>
          <w:sz w:val="20"/>
          <w:szCs w:val="20"/>
          <w:color w:val="auto"/>
        </w:rPr>
      </w:pPr>
    </w:p>
    <w:p>
      <w:pPr>
        <w:ind w:left="240" w:hanging="237"/>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Fixed Maturity Securities</w:t>
      </w: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following tables summarize unrealized losses on fixed maturity securities held to maturity, which are carried at amortized cost, at March 31, 2018 and December 31, 2017. The unrealized losses were primarily related to interest rate fluctuations. The tables set forth unrealized losses by duration with the fair value of the related fixed maturity securities: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Unrealized</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7"/>
                <w:szCs w:val="17"/>
                <w:color w:val="auto"/>
                <w:w w:val="91"/>
              </w:rPr>
              <w:t>Unrealized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Losses for</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Losses for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Less than</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More than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Total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Twelve</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Twelve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7"/>
                <w:szCs w:val="17"/>
                <w:color w:val="auto"/>
                <w:w w:val="91"/>
              </w:rPr>
              <w:t>Unrealized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Months</w:t>
            </w:r>
          </w:p>
        </w:tc>
        <w:tc>
          <w:tcPr>
            <w:tcW w:w="1000" w:type="dxa"/>
            <w:vAlign w:val="bottom"/>
            <w:gridSpan w:val="2"/>
          </w:tcPr>
          <w:p>
            <w:pPr>
              <w:ind w:left="100"/>
              <w:spacing w:after="0"/>
              <w:rPr>
                <w:sz w:val="20"/>
                <w:szCs w:val="20"/>
                <w:color w:val="auto"/>
              </w:rPr>
            </w:pPr>
            <w:r>
              <w:rPr>
                <w:rFonts w:ascii="Arial" w:cs="Arial" w:eastAsia="Arial" w:hAnsi="Arial"/>
                <w:sz w:val="17"/>
                <w:szCs w:val="17"/>
                <w:color w:val="auto"/>
              </w:rPr>
              <w:t>Fair Value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7"/>
                <w:szCs w:val="17"/>
                <w:color w:val="auto"/>
              </w:rPr>
              <w:t>Fair Value</w:t>
            </w:r>
          </w:p>
        </w:tc>
        <w:tc>
          <w:tcPr>
            <w:tcW w:w="14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Loss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7"/>
                <w:szCs w:val="17"/>
                <w:color w:val="auto"/>
              </w:rPr>
              <w:t>Fair Value</w:t>
            </w:r>
          </w:p>
        </w:tc>
      </w:tr>
      <w:tr>
        <w:trPr>
          <w:trHeight w:val="167"/>
        </w:trPr>
        <w:tc>
          <w:tcPr>
            <w:tcW w:w="2640" w:type="dxa"/>
            <w:vAlign w:val="bottom"/>
            <w:gridSpan w:val="3"/>
          </w:tcPr>
          <w:p>
            <w:pPr>
              <w:spacing w:after="0" w:line="167" w:lineRule="exact"/>
              <w:rPr>
                <w:sz w:val="20"/>
                <w:szCs w:val="20"/>
                <w:color w:val="auto"/>
              </w:rPr>
            </w:pPr>
            <w:r>
              <w:rPr>
                <w:rFonts w:ascii="Arial" w:cs="Arial" w:eastAsia="Arial" w:hAnsi="Arial"/>
                <w:sz w:val="17"/>
                <w:szCs w:val="17"/>
                <w:color w:val="auto"/>
              </w:rPr>
              <w:t>At March 31, 2018</w:t>
            </w: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9"/>
        </w:trPr>
        <w:tc>
          <w:tcPr>
            <w:tcW w:w="1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Treasury Securities and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Obligations of U.S. Government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8"/>
        </w:trPr>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897,420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0"/>
              </w:rPr>
              <w:t>$ 51,456,932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63,356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623,360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960,776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52,080,292</w:t>
            </w:r>
          </w:p>
        </w:tc>
      </w:tr>
      <w:tr>
        <w:trPr>
          <w:trHeight w:val="193"/>
        </w:trPr>
        <w:tc>
          <w:tcPr>
            <w:tcW w:w="2640" w:type="dxa"/>
            <w:vAlign w:val="bottom"/>
            <w:gridSpan w:val="3"/>
          </w:tcPr>
          <w:p>
            <w:pPr>
              <w:spacing w:after="0" w:line="193" w:lineRule="exact"/>
              <w:rPr>
                <w:sz w:val="20"/>
                <w:szCs w:val="20"/>
                <w:color w:val="auto"/>
              </w:rPr>
            </w:pPr>
            <w:r>
              <w:rPr>
                <w:rFonts w:ascii="Arial" w:cs="Arial" w:eastAsia="Arial" w:hAnsi="Arial"/>
                <w:sz w:val="17"/>
                <w:szCs w:val="17"/>
                <w:color w:val="auto"/>
              </w:rPr>
              <w:t>Obligations of states and political</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2640" w:type="dxa"/>
            <w:vAlign w:val="bottom"/>
            <w:gridSpan w:val="3"/>
          </w:tcPr>
          <w:p>
            <w:pPr>
              <w:spacing w:after="0"/>
              <w:rPr>
                <w:sz w:val="20"/>
                <w:szCs w:val="20"/>
                <w:color w:val="auto"/>
              </w:rPr>
            </w:pPr>
            <w:r>
              <w:rPr>
                <w:rFonts w:ascii="Arial" w:cs="Arial" w:eastAsia="Arial" w:hAnsi="Arial"/>
                <w:sz w:val="17"/>
                <w:szCs w:val="17"/>
                <w:color w:val="auto"/>
              </w:rPr>
              <w:t>subdivisions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17,903</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1,419,010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127,648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2,690,329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145,551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4,109,339</w:t>
            </w:r>
          </w:p>
        </w:tc>
        <w:tc>
          <w:tcPr>
            <w:tcW w:w="80" w:type="dxa"/>
            <w:vAlign w:val="bottom"/>
          </w:tcPr>
          <w:p>
            <w:pPr>
              <w:spacing w:after="0"/>
              <w:rPr>
                <w:sz w:val="18"/>
                <w:szCs w:val="18"/>
                <w:color w:val="auto"/>
              </w:rPr>
            </w:pPr>
          </w:p>
        </w:tc>
      </w:tr>
      <w:tr>
        <w:trPr>
          <w:trHeight w:val="206"/>
        </w:trPr>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Corporate securities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620,598</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33,678,083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684,528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3"/>
              </w:rPr>
              <w:t>11,365,056</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1,305,126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45,043,139</w:t>
            </w:r>
          </w:p>
        </w:tc>
      </w:tr>
      <w:tr>
        <w:trPr>
          <w:trHeight w:val="193"/>
        </w:trPr>
        <w:tc>
          <w:tcPr>
            <w:tcW w:w="2640" w:type="dxa"/>
            <w:vAlign w:val="bottom"/>
            <w:gridSpan w:val="3"/>
          </w:tcPr>
          <w:p>
            <w:pPr>
              <w:spacing w:after="0" w:line="193" w:lineRule="exact"/>
              <w:rPr>
                <w:sz w:val="20"/>
                <w:szCs w:val="20"/>
                <w:color w:val="auto"/>
              </w:rPr>
            </w:pPr>
            <w:r>
              <w:rPr>
                <w:rFonts w:ascii="Arial" w:cs="Arial" w:eastAsia="Arial" w:hAnsi="Arial"/>
                <w:sz w:val="17"/>
                <w:szCs w:val="17"/>
                <w:color w:val="auto"/>
              </w:rPr>
              <w:t>Mortgage and other asset-backed</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2640" w:type="dxa"/>
            <w:vAlign w:val="bottom"/>
            <w:gridSpan w:val="3"/>
          </w:tcPr>
          <w:p>
            <w:pPr>
              <w:spacing w:after="0"/>
              <w:rPr>
                <w:sz w:val="20"/>
                <w:szCs w:val="20"/>
                <w:color w:val="auto"/>
              </w:rPr>
            </w:pPr>
            <w:r>
              <w:rPr>
                <w:rFonts w:ascii="Arial" w:cs="Arial" w:eastAsia="Arial" w:hAnsi="Arial"/>
                <w:sz w:val="17"/>
                <w:szCs w:val="17"/>
                <w:color w:val="auto"/>
              </w:rPr>
              <w:t>securities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107,265</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2,102,664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141,754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1,658,340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249,019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3,761,004</w:t>
            </w:r>
          </w:p>
        </w:tc>
        <w:tc>
          <w:tcPr>
            <w:tcW w:w="80" w:type="dxa"/>
            <w:vAlign w:val="bottom"/>
          </w:tcPr>
          <w:p>
            <w:pPr>
              <w:spacing w:after="0"/>
              <w:rPr>
                <w:sz w:val="18"/>
                <w:szCs w:val="18"/>
                <w:color w:val="auto"/>
              </w:rPr>
            </w:pPr>
          </w:p>
        </w:tc>
      </w:tr>
      <w:tr>
        <w:trPr>
          <w:trHeight w:val="206"/>
        </w:trPr>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Redeemable preferred stock</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11,268</w:t>
            </w:r>
          </w:p>
        </w:tc>
        <w:tc>
          <w:tcPr>
            <w:tcW w:w="80" w:type="dxa"/>
            <w:vAlign w:val="bottom"/>
            <w:shd w:val="clear" w:color="auto" w:fill="CCEEFF"/>
          </w:tcPr>
          <w:p>
            <w:pPr>
              <w:spacing w:after="0"/>
              <w:rPr>
                <w:sz w:val="17"/>
                <w:szCs w:val="17"/>
                <w:color w:val="auto"/>
              </w:rPr>
            </w:pPr>
          </w:p>
        </w:tc>
      </w:tr>
      <w:tr>
        <w:trPr>
          <w:trHeight w:val="26"/>
        </w:trPr>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2640" w:type="dxa"/>
            <w:vAlign w:val="bottom"/>
            <w:gridSpan w:val="3"/>
          </w:tcPr>
          <w:p>
            <w:pPr>
              <w:spacing w:after="0"/>
              <w:rPr>
                <w:sz w:val="20"/>
                <w:szCs w:val="20"/>
                <w:color w:val="auto"/>
              </w:rPr>
            </w:pPr>
            <w:r>
              <w:rPr>
                <w:rFonts w:ascii="Arial" w:cs="Arial" w:eastAsia="Arial" w:hAnsi="Arial"/>
                <w:sz w:val="17"/>
                <w:szCs w:val="17"/>
                <w:color w:val="auto"/>
              </w:rPr>
              <w:t>Total unrealized losses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1,643,530</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0"/>
              </w:rPr>
              <w:t>$ 88,667,957</w:t>
            </w:r>
          </w:p>
        </w:tc>
        <w:tc>
          <w:tcPr>
            <w:tcW w:w="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1,017,286</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w w:val="93"/>
              </w:rPr>
              <w:t>16,337,085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2,660,816</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105,005,042</w:t>
            </w:r>
          </w:p>
        </w:tc>
        <w:tc>
          <w:tcPr>
            <w:tcW w:w="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67"/>
        </w:trPr>
        <w:tc>
          <w:tcPr>
            <w:tcW w:w="2640" w:type="dxa"/>
            <w:vAlign w:val="bottom"/>
            <w:gridSpan w:val="3"/>
          </w:tcPr>
          <w:p>
            <w:pPr>
              <w:spacing w:after="0" w:line="167" w:lineRule="exact"/>
              <w:rPr>
                <w:sz w:val="20"/>
                <w:szCs w:val="20"/>
                <w:color w:val="auto"/>
              </w:rPr>
            </w:pPr>
            <w:r>
              <w:rPr>
                <w:rFonts w:ascii="Arial" w:cs="Arial" w:eastAsia="Arial" w:hAnsi="Arial"/>
                <w:sz w:val="17"/>
                <w:szCs w:val="17"/>
                <w:color w:val="auto"/>
              </w:rPr>
              <w:t>At December 31, 2017</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9"/>
        </w:trPr>
        <w:tc>
          <w:tcPr>
            <w:tcW w:w="1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Treasury Securities and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Obligations of U.S. Government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8"/>
        </w:trPr>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532,010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0"/>
              </w:rPr>
              <w:t>$ 51,606,699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47,413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643,380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579,423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52,250,079</w:t>
            </w:r>
          </w:p>
        </w:tc>
      </w:tr>
      <w:tr>
        <w:trPr>
          <w:trHeight w:val="193"/>
        </w:trPr>
        <w:tc>
          <w:tcPr>
            <w:tcW w:w="2640" w:type="dxa"/>
            <w:vAlign w:val="bottom"/>
            <w:gridSpan w:val="3"/>
          </w:tcPr>
          <w:p>
            <w:pPr>
              <w:spacing w:after="0" w:line="193" w:lineRule="exact"/>
              <w:rPr>
                <w:sz w:val="20"/>
                <w:szCs w:val="20"/>
                <w:color w:val="auto"/>
              </w:rPr>
            </w:pPr>
            <w:r>
              <w:rPr>
                <w:rFonts w:ascii="Arial" w:cs="Arial" w:eastAsia="Arial" w:hAnsi="Arial"/>
                <w:sz w:val="17"/>
                <w:szCs w:val="17"/>
                <w:color w:val="auto"/>
              </w:rPr>
              <w:t>Obligations of states and political</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2640" w:type="dxa"/>
            <w:vAlign w:val="bottom"/>
            <w:gridSpan w:val="3"/>
          </w:tcPr>
          <w:p>
            <w:pPr>
              <w:spacing w:after="0"/>
              <w:rPr>
                <w:sz w:val="20"/>
                <w:szCs w:val="20"/>
                <w:color w:val="auto"/>
              </w:rPr>
            </w:pPr>
            <w:r>
              <w:rPr>
                <w:rFonts w:ascii="Arial" w:cs="Arial" w:eastAsia="Arial" w:hAnsi="Arial"/>
                <w:sz w:val="17"/>
                <w:szCs w:val="17"/>
                <w:color w:val="auto"/>
              </w:rPr>
              <w:t>subdivisions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296</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214,882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70,717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2,225,021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71,013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2,439,903</w:t>
            </w:r>
          </w:p>
        </w:tc>
        <w:tc>
          <w:tcPr>
            <w:tcW w:w="80" w:type="dxa"/>
            <w:vAlign w:val="bottom"/>
          </w:tcPr>
          <w:p>
            <w:pPr>
              <w:spacing w:after="0"/>
              <w:rPr>
                <w:sz w:val="18"/>
                <w:szCs w:val="18"/>
                <w:color w:val="auto"/>
              </w:rPr>
            </w:pPr>
          </w:p>
        </w:tc>
      </w:tr>
      <w:tr>
        <w:trPr>
          <w:trHeight w:val="206"/>
        </w:trPr>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Corporate securities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167,786</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11,551,865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839,718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3"/>
              </w:rPr>
              <w:t>13,193,258</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1,007,504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24,745,123</w:t>
            </w:r>
          </w:p>
        </w:tc>
      </w:tr>
      <w:tr>
        <w:trPr>
          <w:trHeight w:val="193"/>
        </w:trPr>
        <w:tc>
          <w:tcPr>
            <w:tcW w:w="2640" w:type="dxa"/>
            <w:vAlign w:val="bottom"/>
            <w:gridSpan w:val="3"/>
          </w:tcPr>
          <w:p>
            <w:pPr>
              <w:spacing w:after="0" w:line="193" w:lineRule="exact"/>
              <w:rPr>
                <w:sz w:val="20"/>
                <w:szCs w:val="20"/>
                <w:color w:val="auto"/>
              </w:rPr>
            </w:pPr>
            <w:r>
              <w:rPr>
                <w:rFonts w:ascii="Arial" w:cs="Arial" w:eastAsia="Arial" w:hAnsi="Arial"/>
                <w:sz w:val="17"/>
                <w:szCs w:val="17"/>
                <w:color w:val="auto"/>
              </w:rPr>
              <w:t>Mortgage and other asset-backed</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2640" w:type="dxa"/>
            <w:vAlign w:val="bottom"/>
            <w:gridSpan w:val="3"/>
          </w:tcPr>
          <w:p>
            <w:pPr>
              <w:spacing w:after="0"/>
              <w:rPr>
                <w:sz w:val="20"/>
                <w:szCs w:val="20"/>
                <w:color w:val="auto"/>
              </w:rPr>
            </w:pPr>
            <w:r>
              <w:rPr>
                <w:rFonts w:ascii="Arial" w:cs="Arial" w:eastAsia="Arial" w:hAnsi="Arial"/>
                <w:sz w:val="17"/>
                <w:szCs w:val="17"/>
                <w:color w:val="auto"/>
              </w:rPr>
              <w:t>securities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56,756</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2,516,660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105,375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1,676,494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162,131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4,193,154</w:t>
            </w:r>
          </w:p>
        </w:tc>
        <w:tc>
          <w:tcPr>
            <w:tcW w:w="80" w:type="dxa"/>
            <w:vAlign w:val="bottom"/>
          </w:tcPr>
          <w:p>
            <w:pPr>
              <w:spacing w:after="0"/>
              <w:rPr>
                <w:sz w:val="18"/>
                <w:szCs w:val="18"/>
                <w:color w:val="auto"/>
              </w:rPr>
            </w:pPr>
          </w:p>
        </w:tc>
      </w:tr>
      <w:tr>
        <w:trPr>
          <w:trHeight w:val="206"/>
        </w:trPr>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Redeemable preferred stock</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11,421</w:t>
            </w:r>
          </w:p>
        </w:tc>
        <w:tc>
          <w:tcPr>
            <w:tcW w:w="80" w:type="dxa"/>
            <w:vAlign w:val="bottom"/>
            <w:shd w:val="clear" w:color="auto" w:fill="CCEEFF"/>
          </w:tcPr>
          <w:p>
            <w:pPr>
              <w:spacing w:after="0"/>
              <w:rPr>
                <w:sz w:val="17"/>
                <w:szCs w:val="17"/>
                <w:color w:val="auto"/>
              </w:rPr>
            </w:pPr>
          </w:p>
        </w:tc>
      </w:tr>
      <w:tr>
        <w:trPr>
          <w:trHeight w:val="26"/>
        </w:trPr>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2640" w:type="dxa"/>
            <w:vAlign w:val="bottom"/>
            <w:gridSpan w:val="3"/>
          </w:tcPr>
          <w:p>
            <w:pPr>
              <w:spacing w:after="0"/>
              <w:rPr>
                <w:sz w:val="20"/>
                <w:szCs w:val="20"/>
                <w:color w:val="auto"/>
              </w:rPr>
            </w:pPr>
            <w:r>
              <w:rPr>
                <w:rFonts w:ascii="Arial" w:cs="Arial" w:eastAsia="Arial" w:hAnsi="Arial"/>
                <w:sz w:val="17"/>
                <w:szCs w:val="17"/>
                <w:color w:val="auto"/>
              </w:rPr>
              <w:t>Total unrealized losses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757,039</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0"/>
              </w:rPr>
              <w:t>$ 65,901,527</w:t>
            </w:r>
          </w:p>
        </w:tc>
        <w:tc>
          <w:tcPr>
            <w:tcW w:w="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1,063,223</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w w:val="93"/>
              </w:rPr>
              <w:t>17,738,153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1,820,262</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83,639,680</w:t>
            </w:r>
          </w:p>
        </w:tc>
      </w:tr>
      <w:tr>
        <w:trPr>
          <w:trHeight w:val="20"/>
        </w:trPr>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There were 238 securities with fair value of 97.5% of amortized cost at March 31, 2018. There were 141 securities with fair value of 97.9% of amortized cost at December 31, 2017. During the three months ended March 31, 2018 and 2017 an other than temporary decline in fair value resulted in the recognition of credit losses on fixed maturity securities of $-0- and $52,139, respectively.</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a quarterly basis, the Company evaluates its fixed maturity securities held to maturity. This evaluation includes a review of current ratings by the National Association of Insurance Commissions ("NAIC"). Securities with a rating of 1 or 2 are considered investment grade and are not reviewed for impairment.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 Impairment losses are treated as credit losses as the Company holds fixed maturity securities to maturity unless the underlying conditions have changed in the financial instrument to require an impairment.</w:t>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40" w:hanging="237"/>
        <w:spacing w:after="0"/>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71" w:lineRule="exact"/>
        <w:rPr>
          <w:sz w:val="20"/>
          <w:szCs w:val="20"/>
          <w:color w:val="auto"/>
        </w:rPr>
      </w:pPr>
    </w:p>
    <w:p>
      <w:pPr>
        <w:jc w:val="both"/>
        <w:ind w:right="240"/>
        <w:spacing w:after="0" w:line="265" w:lineRule="auto"/>
        <w:rPr>
          <w:sz w:val="20"/>
          <w:szCs w:val="20"/>
          <w:color w:val="auto"/>
        </w:rPr>
      </w:pPr>
      <w:r>
        <w:rPr>
          <w:rFonts w:ascii="Arial" w:cs="Arial" w:eastAsia="Arial" w:hAnsi="Arial"/>
          <w:sz w:val="21"/>
          <w:szCs w:val="21"/>
          <w:color w:val="auto"/>
        </w:rPr>
        <w:t>The amortized cost and estimated fair value of fixed maturity securities held to maturity, at March 31, 2018, by contractual maturity, are shown below. Expected maturities may differ from contractual maturities because certain borrowers may have the right to call or prepay obligations with or without call or prepayment penalties.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5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Estimated</w:t>
            </w:r>
          </w:p>
        </w:tc>
      </w:tr>
      <w:tr>
        <w:trPr>
          <w:trHeight w:val="205"/>
        </w:trPr>
        <w:tc>
          <w:tcPr>
            <w:tcW w:w="45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w w:val="96"/>
              </w:rPr>
              <w:t>Amortized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Fair</w:t>
            </w:r>
          </w:p>
        </w:tc>
      </w:tr>
      <w:tr>
        <w:trPr>
          <w:trHeight w:val="223"/>
        </w:trPr>
        <w:tc>
          <w:tcPr>
            <w:tcW w:w="45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234"/>
              <w:spacing w:after="0"/>
              <w:rPr>
                <w:sz w:val="20"/>
                <w:szCs w:val="20"/>
                <w:color w:val="auto"/>
              </w:rPr>
            </w:pPr>
            <w:r>
              <w:rPr>
                <w:rFonts w:ascii="Arial" w:cs="Arial" w:eastAsia="Arial" w:hAnsi="Arial"/>
                <w:sz w:val="17"/>
                <w:szCs w:val="17"/>
                <w:color w:val="auto"/>
              </w:rPr>
              <w:t>Cost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Value</w:t>
            </w:r>
          </w:p>
        </w:tc>
      </w:tr>
      <w:tr>
        <w:trPr>
          <w:trHeight w:val="205"/>
        </w:trPr>
        <w:tc>
          <w:tcPr>
            <w:tcW w:w="4540" w:type="dxa"/>
            <w:vAlign w:val="bottom"/>
          </w:tcPr>
          <w:p>
            <w:pPr>
              <w:spacing w:after="0"/>
              <w:rPr>
                <w:sz w:val="20"/>
                <w:szCs w:val="20"/>
                <w:color w:val="auto"/>
              </w:rPr>
            </w:pPr>
            <w:r>
              <w:rPr>
                <w:rFonts w:ascii="Arial" w:cs="Arial" w:eastAsia="Arial" w:hAnsi="Arial"/>
                <w:sz w:val="17"/>
                <w:szCs w:val="17"/>
                <w:color w:val="auto"/>
              </w:rPr>
              <w:t>Held to Maturity:</w:t>
            </w:r>
          </w:p>
        </w:tc>
        <w:tc>
          <w:tcPr>
            <w:tcW w:w="24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4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Due in 1 year</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17,978,827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18,098,867</w:t>
            </w:r>
          </w:p>
        </w:tc>
      </w:tr>
      <w:tr>
        <w:trPr>
          <w:trHeight w:val="205"/>
        </w:trPr>
        <w:tc>
          <w:tcPr>
            <w:tcW w:w="4540" w:type="dxa"/>
            <w:vAlign w:val="bottom"/>
          </w:tcPr>
          <w:p>
            <w:pPr>
              <w:ind w:left="180"/>
              <w:spacing w:after="0"/>
              <w:rPr>
                <w:sz w:val="20"/>
                <w:szCs w:val="20"/>
                <w:color w:val="auto"/>
              </w:rPr>
            </w:pPr>
            <w:r>
              <w:rPr>
                <w:rFonts w:ascii="Arial" w:cs="Arial" w:eastAsia="Arial" w:hAnsi="Arial"/>
                <w:sz w:val="17"/>
                <w:szCs w:val="17"/>
                <w:color w:val="auto"/>
              </w:rPr>
              <w:t>Due in 2-5 years</w:t>
            </w: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67,126,658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67,514,026</w:t>
            </w:r>
          </w:p>
        </w:tc>
      </w:tr>
      <w:tr>
        <w:trPr>
          <w:trHeight w:val="205"/>
        </w:trPr>
        <w:tc>
          <w:tcPr>
            <w:tcW w:w="4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Due in 5-10 years</w:t>
            </w: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53,791,068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55,097,433</w:t>
            </w:r>
          </w:p>
        </w:tc>
      </w:tr>
      <w:tr>
        <w:trPr>
          <w:trHeight w:val="205"/>
        </w:trPr>
        <w:tc>
          <w:tcPr>
            <w:tcW w:w="4540" w:type="dxa"/>
            <w:vAlign w:val="bottom"/>
          </w:tcPr>
          <w:p>
            <w:pPr>
              <w:ind w:left="180"/>
              <w:spacing w:after="0"/>
              <w:rPr>
                <w:sz w:val="20"/>
                <w:szCs w:val="20"/>
                <w:color w:val="auto"/>
              </w:rPr>
            </w:pPr>
            <w:r>
              <w:rPr>
                <w:rFonts w:ascii="Arial" w:cs="Arial" w:eastAsia="Arial" w:hAnsi="Arial"/>
                <w:sz w:val="17"/>
                <w:szCs w:val="17"/>
                <w:color w:val="auto"/>
              </w:rPr>
              <w:t>Due in more than 10 years</w:t>
            </w: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79,848,168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86,370,967</w:t>
            </w:r>
          </w:p>
        </w:tc>
      </w:tr>
      <w:tr>
        <w:trPr>
          <w:trHeight w:val="205"/>
        </w:trPr>
        <w:tc>
          <w:tcPr>
            <w:tcW w:w="4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Mortgage-backed securities</w:t>
            </w: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12,105,727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12,125,550</w:t>
            </w:r>
          </w:p>
        </w:tc>
      </w:tr>
      <w:tr>
        <w:trPr>
          <w:trHeight w:val="211"/>
        </w:trPr>
        <w:tc>
          <w:tcPr>
            <w:tcW w:w="4540" w:type="dxa"/>
            <w:vAlign w:val="bottom"/>
          </w:tcPr>
          <w:p>
            <w:pPr>
              <w:ind w:left="180"/>
              <w:spacing w:after="0"/>
              <w:rPr>
                <w:sz w:val="20"/>
                <w:szCs w:val="20"/>
                <w:color w:val="auto"/>
              </w:rPr>
            </w:pPr>
            <w:r>
              <w:rPr>
                <w:rFonts w:ascii="Arial" w:cs="Arial" w:eastAsia="Arial" w:hAnsi="Arial"/>
                <w:sz w:val="17"/>
                <w:szCs w:val="17"/>
                <w:color w:val="auto"/>
              </w:rPr>
              <w:t>Redeemable preferred stock</w:t>
            </w:r>
          </w:p>
        </w:tc>
        <w:tc>
          <w:tcPr>
            <w:tcW w:w="2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623,635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652,099</w:t>
            </w:r>
          </w:p>
        </w:tc>
        <w:tc>
          <w:tcPr>
            <w:tcW w:w="80" w:type="dxa"/>
            <w:vAlign w:val="bottom"/>
          </w:tcPr>
          <w:p>
            <w:pPr>
              <w:spacing w:after="0"/>
              <w:rPr>
                <w:sz w:val="18"/>
                <w:szCs w:val="18"/>
                <w:color w:val="auto"/>
              </w:rPr>
            </w:pPr>
          </w:p>
        </w:tc>
      </w:tr>
      <w:tr>
        <w:trPr>
          <w:trHeight w:val="245"/>
        </w:trPr>
        <w:tc>
          <w:tcPr>
            <w:tcW w:w="4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held to maturity</w:t>
            </w:r>
          </w:p>
        </w:tc>
        <w:tc>
          <w:tcPr>
            <w:tcW w:w="2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231,474,083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239,858,942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48"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The Company is a member of the Federal Home Loan Bank of Des Moines ("FHLB"). In June through August of 2017, the Company purchased a total of $50,000,000, par value, of United States Treasury fixed maturity securities that it deposited with the FHLB. These securities will generate interest income for the Company and will be available to use as collateral on any cash borrowings from the FHLB. As of March 31, 2018, the Company owed $20,000,000 to FHLB. This amount owed was paid on April 2, 2018.</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Securities</w:t>
      </w: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following tables summarize unrealized losses on equity securities, that were carried at estimated fair value based on quoted trading prices at December 31, 2017. The unrealized losses were primarily the result of decreases in fair value in the retail, industrial and energy sectors. The tables set forth unrealized losses by duration and number of investment positions, together with the fair value of the related equity securities in a loss position:</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15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7"/>
                <w:szCs w:val="17"/>
                <w:color w:val="auto"/>
                <w:w w:val="93"/>
              </w:rPr>
              <w:t>Unrealized</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7"/>
                <w:szCs w:val="17"/>
                <w:color w:val="auto"/>
                <w:w w:val="91"/>
              </w:rPr>
              <w:t>Unrealized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15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7"/>
                <w:szCs w:val="17"/>
                <w:color w:val="auto"/>
                <w:w w:val="91"/>
              </w:rPr>
              <w:t>Losses for</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7"/>
                <w:szCs w:val="17"/>
                <w:color w:val="auto"/>
                <w:w w:val="89"/>
              </w:rPr>
              <w:t>Losses for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15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Less than</w:t>
            </w: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No.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7"/>
                <w:szCs w:val="17"/>
                <w:color w:val="auto"/>
                <w:w w:val="91"/>
              </w:rPr>
              <w:t>More than</w:t>
            </w: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color w:val="auto"/>
                <w:w w:val="96"/>
              </w:rPr>
              <w:t>No.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154"/>
              <w:spacing w:after="0"/>
              <w:rPr>
                <w:sz w:val="20"/>
                <w:szCs w:val="20"/>
                <w:color w:val="auto"/>
              </w:rPr>
            </w:pPr>
            <w:r>
              <w:rPr>
                <w:rFonts w:ascii="Arial" w:cs="Arial" w:eastAsia="Arial" w:hAnsi="Arial"/>
                <w:sz w:val="17"/>
                <w:szCs w:val="17"/>
                <w:color w:val="auto"/>
                <w:w w:val="89"/>
              </w:rPr>
              <w:t>Total</w:t>
            </w:r>
          </w:p>
        </w:tc>
        <w:tc>
          <w:tcPr>
            <w:tcW w:w="80" w:type="dxa"/>
            <w:vAlign w:val="bottom"/>
          </w:tcPr>
          <w:p>
            <w:pPr>
              <w:spacing w:after="0"/>
              <w:rPr>
                <w:sz w:val="17"/>
                <w:szCs w:val="17"/>
                <w:color w:val="auto"/>
              </w:rPr>
            </w:pPr>
          </w:p>
        </w:tc>
      </w:tr>
      <w:tr>
        <w:trPr>
          <w:trHeight w:val="205"/>
        </w:trPr>
        <w:tc>
          <w:tcPr>
            <w:tcW w:w="15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Twelve</w:t>
            </w: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Investment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Twelve</w:t>
            </w: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Investment</w:t>
            </w:r>
          </w:p>
        </w:tc>
        <w:tc>
          <w:tcPr>
            <w:tcW w:w="80" w:type="dxa"/>
            <w:vAlign w:val="bottom"/>
          </w:tcPr>
          <w:p>
            <w:pPr>
              <w:spacing w:after="0"/>
              <w:rPr>
                <w:sz w:val="17"/>
                <w:szCs w:val="17"/>
                <w:color w:val="auto"/>
              </w:rPr>
            </w:pPr>
          </w:p>
        </w:tc>
        <w:tc>
          <w:tcPr>
            <w:tcW w:w="920" w:type="dxa"/>
            <w:vAlign w:val="bottom"/>
            <w:gridSpan w:val="2"/>
          </w:tcPr>
          <w:p>
            <w:pPr>
              <w:jc w:val="center"/>
              <w:ind w:right="14"/>
              <w:spacing w:after="0"/>
              <w:rPr>
                <w:sz w:val="20"/>
                <w:szCs w:val="20"/>
                <w:color w:val="auto"/>
              </w:rPr>
            </w:pPr>
            <w:r>
              <w:rPr>
                <w:rFonts w:ascii="Arial" w:cs="Arial" w:eastAsia="Arial" w:hAnsi="Arial"/>
                <w:sz w:val="17"/>
                <w:szCs w:val="17"/>
                <w:color w:val="auto"/>
                <w:w w:val="91"/>
              </w:rPr>
              <w:t>Unrealized</w:t>
            </w:r>
          </w:p>
        </w:tc>
        <w:tc>
          <w:tcPr>
            <w:tcW w:w="80" w:type="dxa"/>
            <w:vAlign w:val="bottom"/>
          </w:tcPr>
          <w:p>
            <w:pPr>
              <w:spacing w:after="0"/>
              <w:rPr>
                <w:sz w:val="17"/>
                <w:szCs w:val="17"/>
                <w:color w:val="auto"/>
              </w:rPr>
            </w:pPr>
          </w:p>
        </w:tc>
      </w:tr>
      <w:tr>
        <w:trPr>
          <w:trHeight w:val="223"/>
        </w:trPr>
        <w:tc>
          <w:tcPr>
            <w:tcW w:w="15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Months</w:t>
            </w: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Positions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Months</w:t>
            </w:r>
          </w:p>
        </w:tc>
        <w:tc>
          <w:tcPr>
            <w:tcW w:w="100" w:type="dxa"/>
            <w:vAlign w:val="bottom"/>
          </w:tcPr>
          <w:p>
            <w:pPr>
              <w:spacing w:after="0"/>
              <w:rPr>
                <w:sz w:val="19"/>
                <w:szCs w:val="19"/>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color w:val="auto"/>
                <w:w w:val="92"/>
              </w:rPr>
              <w:t>Positions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right="154"/>
              <w:spacing w:after="0"/>
              <w:rPr>
                <w:sz w:val="20"/>
                <w:szCs w:val="20"/>
                <w:color w:val="auto"/>
              </w:rPr>
            </w:pPr>
            <w:r>
              <w:rPr>
                <w:rFonts w:ascii="Arial" w:cs="Arial" w:eastAsia="Arial" w:hAnsi="Arial"/>
                <w:sz w:val="17"/>
                <w:szCs w:val="17"/>
                <w:color w:val="auto"/>
                <w:w w:val="85"/>
              </w:rPr>
              <w:t>Losses</w:t>
            </w:r>
          </w:p>
        </w:tc>
        <w:tc>
          <w:tcPr>
            <w:tcW w:w="80" w:type="dxa"/>
            <w:vAlign w:val="bottom"/>
          </w:tcPr>
          <w:p>
            <w:pPr>
              <w:spacing w:after="0"/>
              <w:rPr>
                <w:sz w:val="19"/>
                <w:szCs w:val="19"/>
                <w:color w:val="auto"/>
              </w:rPr>
            </w:pPr>
          </w:p>
        </w:tc>
      </w:tr>
      <w:tr>
        <w:trPr>
          <w:trHeight w:val="167"/>
        </w:trPr>
        <w:tc>
          <w:tcPr>
            <w:tcW w:w="3660" w:type="dxa"/>
            <w:vAlign w:val="bottom"/>
            <w:gridSpan w:val="2"/>
          </w:tcPr>
          <w:p>
            <w:pPr>
              <w:spacing w:after="0" w:line="167" w:lineRule="exact"/>
              <w:rPr>
                <w:sz w:val="20"/>
                <w:szCs w:val="20"/>
                <w:color w:val="auto"/>
              </w:rPr>
            </w:pPr>
            <w:r>
              <w:rPr>
                <w:rFonts w:ascii="Arial" w:cs="Arial" w:eastAsia="Arial" w:hAnsi="Arial"/>
                <w:sz w:val="17"/>
                <w:szCs w:val="17"/>
                <w:color w:val="auto"/>
              </w:rPr>
              <w:t>At December 31, 2017</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9"/>
        </w:trPr>
        <w:tc>
          <w:tcPr>
            <w:tcW w:w="156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Industrial, miscellaneous and all other</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419,572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632,669</w:t>
            </w:r>
          </w:p>
        </w:tc>
        <w:tc>
          <w:tcPr>
            <w:tcW w:w="80" w:type="dxa"/>
            <w:vAlign w:val="bottom"/>
            <w:shd w:val="clear" w:color="auto" w:fill="CCEEFF"/>
          </w:tcPr>
          <w:p>
            <w:pPr>
              <w:spacing w:after="0"/>
              <w:rPr>
                <w:sz w:val="18"/>
                <w:szCs w:val="18"/>
                <w:color w:val="auto"/>
              </w:rPr>
            </w:pPr>
          </w:p>
        </w:tc>
      </w:tr>
      <w:tr>
        <w:trPr>
          <w:trHeight w:val="26"/>
        </w:trPr>
        <w:tc>
          <w:tcPr>
            <w:tcW w:w="15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3660" w:type="dxa"/>
            <w:vAlign w:val="bottom"/>
            <w:gridSpan w:val="2"/>
          </w:tcPr>
          <w:p>
            <w:pPr>
              <w:spacing w:after="0"/>
              <w:rPr>
                <w:sz w:val="20"/>
                <w:szCs w:val="20"/>
                <w:color w:val="auto"/>
              </w:rPr>
            </w:pPr>
            <w:r>
              <w:rPr>
                <w:rFonts w:ascii="Arial" w:cs="Arial" w:eastAsia="Arial" w:hAnsi="Arial"/>
                <w:sz w:val="17"/>
                <w:szCs w:val="17"/>
                <w:color w:val="auto"/>
              </w:rPr>
              <w:t>Total unrealized losses</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213,097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98</w:t>
            </w:r>
          </w:p>
        </w:tc>
        <w:tc>
          <w:tcPr>
            <w:tcW w:w="180" w:type="dxa"/>
            <w:vAlign w:val="bottom"/>
            <w:gridSpan w:val="2"/>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419,572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632,669</w:t>
            </w:r>
          </w:p>
        </w:tc>
        <w:tc>
          <w:tcPr>
            <w:tcW w:w="8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Fair Value</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847,718</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1,329,213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2,176,931</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30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average fair value of the equity securities was 77.5% of the original investment as of December 31, 2017. The intent of the Company is to retain equity securities for a period of time sufficient to allow for the recovery in fair value. However, the Company may sell equity securities during a period in which the fair value has declined below the amount of the original investment. In certain situations, new factors, including changes in the business environment, can change the Company's previous intent to continue holding a security.</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for equity securities are based on quoted market prices.</w:t>
      </w: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See Note 2 regarding the adoption of ASU 2016-01 on January 1, 2018. The Company now recognizes the changes (unrealized gains and losses) in the fair value of these equity securities through earnings as part of realized gains on investments and other assets on the condensed consolidated statements of earnings instead of other comprehensive income on the condensed consolidated balance sheets.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40" w:hanging="237"/>
        <w:spacing w:after="0"/>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71" w:lineRule="exact"/>
        <w:rPr>
          <w:sz w:val="20"/>
          <w:szCs w:val="20"/>
          <w:color w:val="auto"/>
        </w:rPr>
      </w:pPr>
    </w:p>
    <w:p>
      <w:pPr>
        <w:ind w:right="860"/>
        <w:spacing w:after="0" w:line="362" w:lineRule="auto"/>
        <w:rPr>
          <w:sz w:val="20"/>
          <w:szCs w:val="20"/>
          <w:color w:val="auto"/>
        </w:rPr>
      </w:pPr>
      <w:r>
        <w:rPr>
          <w:rFonts w:ascii="Arial" w:cs="Arial" w:eastAsia="Arial" w:hAnsi="Arial"/>
          <w:sz w:val="18"/>
          <w:szCs w:val="18"/>
          <w:color w:val="auto"/>
        </w:rPr>
        <w:t>The Company's net gains from investments and other assets, including realized gains and losses from sales, calls, and maturities, unrealized gains and losses on equity securities, and other than temporary impairments are summarized as follows:</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5"/>
          </w:tcPr>
          <w:p>
            <w:pPr>
              <w:jc w:val="right"/>
              <w:ind w:right="360"/>
              <w:spacing w:after="0"/>
              <w:rPr>
                <w:sz w:val="20"/>
                <w:szCs w:val="20"/>
                <w:color w:val="auto"/>
              </w:rPr>
            </w:pPr>
            <w:r>
              <w:rPr>
                <w:rFonts w:ascii="Arial" w:cs="Arial" w:eastAsia="Arial" w:hAnsi="Arial"/>
                <w:sz w:val="17"/>
                <w:szCs w:val="17"/>
                <w:color w:val="auto"/>
              </w:rPr>
              <w:t>Three Months Ended</w:t>
            </w:r>
          </w:p>
        </w:tc>
      </w:tr>
      <w:tr>
        <w:trPr>
          <w:trHeight w:val="223"/>
        </w:trPr>
        <w:tc>
          <w:tcPr>
            <w:tcW w:w="7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March 31</w:t>
            </w: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1"/>
        </w:trPr>
        <w:tc>
          <w:tcPr>
            <w:tcW w:w="7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9"/>
              </w:rPr>
              <w:t>2017</w:t>
            </w:r>
          </w:p>
        </w:tc>
        <w:tc>
          <w:tcPr>
            <w:tcW w:w="80" w:type="dxa"/>
            <w:vAlign w:val="bottom"/>
          </w:tcPr>
          <w:p>
            <w:pPr>
              <w:spacing w:after="0"/>
              <w:rPr>
                <w:sz w:val="18"/>
                <w:szCs w:val="18"/>
                <w:color w:val="auto"/>
              </w:rPr>
            </w:pPr>
          </w:p>
        </w:tc>
      </w:tr>
      <w:tr>
        <w:trPr>
          <w:trHeight w:val="205"/>
        </w:trPr>
        <w:tc>
          <w:tcPr>
            <w:tcW w:w="7060" w:type="dxa"/>
            <w:vAlign w:val="bottom"/>
          </w:tcPr>
          <w:p>
            <w:pPr>
              <w:spacing w:after="0"/>
              <w:rPr>
                <w:sz w:val="20"/>
                <w:szCs w:val="20"/>
                <w:color w:val="auto"/>
              </w:rPr>
            </w:pPr>
            <w:r>
              <w:rPr>
                <w:rFonts w:ascii="Arial" w:cs="Arial" w:eastAsia="Arial" w:hAnsi="Arial"/>
                <w:sz w:val="17"/>
                <w:szCs w:val="17"/>
                <w:color w:val="auto"/>
              </w:rPr>
              <w:t>Fixed maturity securities held to maturity: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Gross realized gains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28,133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w:t>
            </w:r>
          </w:p>
        </w:tc>
        <w:tc>
          <w:tcPr>
            <w:tcW w:w="80" w:type="dxa"/>
            <w:vAlign w:val="bottom"/>
            <w:shd w:val="clear" w:color="auto" w:fill="CCEEFF"/>
          </w:tcPr>
          <w:p>
            <w:pPr>
              <w:spacing w:after="0"/>
              <w:rPr>
                <w:sz w:val="17"/>
                <w:szCs w:val="17"/>
                <w:color w:val="auto"/>
              </w:rPr>
            </w:pPr>
          </w:p>
        </w:tc>
      </w:tr>
      <w:tr>
        <w:trPr>
          <w:trHeight w:val="205"/>
        </w:trPr>
        <w:tc>
          <w:tcPr>
            <w:tcW w:w="7060" w:type="dxa"/>
            <w:vAlign w:val="bottom"/>
          </w:tcPr>
          <w:p>
            <w:pPr>
              <w:spacing w:after="0"/>
              <w:rPr>
                <w:sz w:val="20"/>
                <w:szCs w:val="20"/>
                <w:color w:val="auto"/>
              </w:rPr>
            </w:pPr>
            <w:r>
              <w:rPr>
                <w:rFonts w:ascii="Arial" w:cs="Arial" w:eastAsia="Arial" w:hAnsi="Arial"/>
                <w:sz w:val="17"/>
                <w:szCs w:val="17"/>
                <w:color w:val="auto"/>
              </w:rPr>
              <w:t>Gross realized losses</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(308,931)</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Other than temporary impairments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(52,139)</w:t>
            </w:r>
          </w:p>
        </w:tc>
      </w:tr>
      <w:tr>
        <w:trPr>
          <w:trHeight w:val="205"/>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7060" w:type="dxa"/>
            <w:vAlign w:val="bottom"/>
          </w:tcPr>
          <w:p>
            <w:pPr>
              <w:spacing w:after="0"/>
              <w:rPr>
                <w:sz w:val="20"/>
                <w:szCs w:val="20"/>
                <w:color w:val="auto"/>
              </w:rPr>
            </w:pPr>
            <w:r>
              <w:rPr>
                <w:rFonts w:ascii="Arial" w:cs="Arial" w:eastAsia="Arial" w:hAnsi="Arial"/>
                <w:sz w:val="17"/>
                <w:szCs w:val="17"/>
                <w:color w:val="auto"/>
              </w:rPr>
              <w:t>Gross realized gains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60,978</w:t>
            </w: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Gross realized losses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(4,556)</w:t>
            </w:r>
          </w:p>
        </w:tc>
      </w:tr>
      <w:tr>
        <w:trPr>
          <w:trHeight w:val="205"/>
        </w:trPr>
        <w:tc>
          <w:tcPr>
            <w:tcW w:w="7060" w:type="dxa"/>
            <w:vAlign w:val="bottom"/>
          </w:tcPr>
          <w:p>
            <w:pPr>
              <w:spacing w:after="0"/>
              <w:rPr>
                <w:sz w:val="20"/>
                <w:szCs w:val="20"/>
                <w:color w:val="auto"/>
              </w:rPr>
            </w:pPr>
            <w:r>
              <w:rPr>
                <w:rFonts w:ascii="Arial" w:cs="Arial" w:eastAsia="Arial" w:hAnsi="Arial"/>
                <w:sz w:val="17"/>
                <w:szCs w:val="17"/>
                <w:color w:val="auto"/>
              </w:rPr>
              <w:t>Gains and losses during 2018 on securities sold in 2018</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14,650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gains and losses on securities held at the end of the period</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(372,042)</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7060" w:type="dxa"/>
            <w:vAlign w:val="bottom"/>
          </w:tcPr>
          <w:p>
            <w:pPr>
              <w:spacing w:after="0"/>
              <w:rPr>
                <w:sz w:val="20"/>
                <w:szCs w:val="20"/>
                <w:color w:val="auto"/>
              </w:rPr>
            </w:pPr>
            <w:r>
              <w:rPr>
                <w:rFonts w:ascii="Arial" w:cs="Arial" w:eastAsia="Arial" w:hAnsi="Arial"/>
                <w:sz w:val="17"/>
                <w:szCs w:val="17"/>
                <w:color w:val="auto"/>
              </w:rPr>
              <w:t>Gross realized gains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22,951,723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456,275</w:t>
            </w:r>
          </w:p>
        </w:tc>
        <w:tc>
          <w:tcPr>
            <w:tcW w:w="80" w:type="dxa"/>
            <w:vAlign w:val="bottom"/>
          </w:tcPr>
          <w:p>
            <w:pPr>
              <w:spacing w:after="0"/>
              <w:rPr>
                <w:sz w:val="17"/>
                <w:szCs w:val="17"/>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Gross realized losses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(292,594)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6"/>
              </w:rPr>
              <w:t>(369,801)</w:t>
            </w:r>
          </w:p>
        </w:tc>
      </w:tr>
      <w:tr>
        <w:trPr>
          <w:trHeight w:val="205"/>
        </w:trPr>
        <w:tc>
          <w:tcPr>
            <w:tcW w:w="70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22,020,939</w:t>
            </w: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93,191</w:t>
            </w:r>
          </w:p>
        </w:tc>
        <w:tc>
          <w:tcPr>
            <w:tcW w:w="80" w:type="dxa"/>
            <w:vAlign w:val="bottom"/>
            <w:tcBorders>
              <w:top w:val="single" w:sz="8" w:color="CCEEFF"/>
            </w:tcBorders>
          </w:tcPr>
          <w:p>
            <w:pPr>
              <w:spacing w:after="0"/>
              <w:rPr>
                <w:sz w:val="17"/>
                <w:szCs w:val="17"/>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Includes a one-time gain of $22,252,000 from the sale of Dry Creek at East Village apartments.</w:t>
      </w:r>
    </w:p>
    <w:p>
      <w:pPr>
        <w:spacing w:after="0" w:line="271" w:lineRule="exact"/>
        <w:rPr>
          <w:sz w:val="20"/>
          <w:szCs w:val="20"/>
          <w:color w:val="auto"/>
        </w:rPr>
      </w:pPr>
    </w:p>
    <w:p>
      <w:pPr>
        <w:ind w:right="260"/>
        <w:spacing w:after="0" w:line="276" w:lineRule="auto"/>
        <w:rPr>
          <w:sz w:val="20"/>
          <w:szCs w:val="20"/>
          <w:color w:val="auto"/>
        </w:rPr>
      </w:pPr>
      <w:r>
        <w:rPr>
          <w:rFonts w:ascii="Arial" w:cs="Arial" w:eastAsia="Arial" w:hAnsi="Arial"/>
          <w:sz w:val="21"/>
          <w:szCs w:val="21"/>
          <w:color w:val="auto"/>
        </w:rPr>
        <w:t>The net realized gains and losses on the sale of securities are recorded on the trade date, and the cost of the securities sold is determined using the specific identification method.</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carrying amount of held to maturity securities sold was $472,883 and $28,073 for the three months March 31, 2018 and 2017, respectively. The net realized loss related to these sales was $306,851 for the three months ended March 31, 2018 and the net realized gain related to these sales was $2,434 for the three months ended March 31, 2017. Although the intent is to buy and hold a fixed maturity security to maturity, the Company will sell a security prior to maturity if conditions have changed within the entity that issued the security to increase the risk of default to an unacceptable level.</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40" w:hanging="237"/>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Major categories of net investment income are as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5"/>
          </w:tcPr>
          <w:p>
            <w:pPr>
              <w:jc w:val="right"/>
              <w:ind w:right="360"/>
              <w:spacing w:after="0"/>
              <w:rPr>
                <w:sz w:val="20"/>
                <w:szCs w:val="20"/>
                <w:color w:val="auto"/>
              </w:rPr>
            </w:pPr>
            <w:r>
              <w:rPr>
                <w:rFonts w:ascii="Arial" w:cs="Arial" w:eastAsia="Arial" w:hAnsi="Arial"/>
                <w:sz w:val="17"/>
                <w:szCs w:val="17"/>
                <w:color w:val="auto"/>
              </w:rPr>
              <w:t>Three Months Ended</w:t>
            </w:r>
          </w:p>
        </w:tc>
      </w:tr>
      <w:tr>
        <w:trPr>
          <w:trHeight w:val="223"/>
        </w:trPr>
        <w:tc>
          <w:tcPr>
            <w:tcW w:w="7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5"/>
          </w:tcPr>
          <w:p>
            <w:pPr>
              <w:jc w:val="right"/>
              <w:ind w:right="760"/>
              <w:spacing w:after="0"/>
              <w:rPr>
                <w:sz w:val="20"/>
                <w:szCs w:val="20"/>
                <w:color w:val="auto"/>
              </w:rPr>
            </w:pPr>
            <w:r>
              <w:rPr>
                <w:rFonts w:ascii="Arial" w:cs="Arial" w:eastAsia="Arial" w:hAnsi="Arial"/>
                <w:sz w:val="17"/>
                <w:szCs w:val="17"/>
                <w:color w:val="auto"/>
              </w:rPr>
              <w:t>March 31</w:t>
            </w:r>
          </w:p>
        </w:tc>
      </w:tr>
      <w:tr>
        <w:trPr>
          <w:trHeight w:val="211"/>
        </w:trPr>
        <w:tc>
          <w:tcPr>
            <w:tcW w:w="70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Fixed maturity securities held to maturity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2,529,841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2,424,805</w:t>
            </w:r>
          </w:p>
        </w:tc>
        <w:tc>
          <w:tcPr>
            <w:tcW w:w="80" w:type="dxa"/>
            <w:vAlign w:val="bottom"/>
            <w:shd w:val="clear" w:color="auto" w:fill="CCEEFF"/>
          </w:tcPr>
          <w:p>
            <w:pPr>
              <w:spacing w:after="0"/>
              <w:rPr>
                <w:sz w:val="17"/>
                <w:szCs w:val="17"/>
                <w:color w:val="auto"/>
              </w:rPr>
            </w:pPr>
          </w:p>
        </w:tc>
      </w:tr>
      <w:tr>
        <w:trPr>
          <w:trHeight w:val="205"/>
        </w:trPr>
        <w:tc>
          <w:tcPr>
            <w:tcW w:w="7060" w:type="dxa"/>
            <w:vAlign w:val="bottom"/>
          </w:tcPr>
          <w:p>
            <w:pPr>
              <w:spacing w:after="0"/>
              <w:rPr>
                <w:sz w:val="20"/>
                <w:szCs w:val="20"/>
                <w:color w:val="auto"/>
              </w:rPr>
            </w:pPr>
            <w:r>
              <w:rPr>
                <w:rFonts w:ascii="Arial" w:cs="Arial" w:eastAsia="Arial" w:hAnsi="Arial"/>
                <w:sz w:val="17"/>
                <w:szCs w:val="17"/>
                <w:color w:val="auto"/>
              </w:rPr>
              <w:t>Equity securities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58,292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54,786</w:t>
            </w: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Mortgage loans held for investment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4,531,927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3,410,761</w:t>
            </w:r>
          </w:p>
        </w:tc>
        <w:tc>
          <w:tcPr>
            <w:tcW w:w="80" w:type="dxa"/>
            <w:vAlign w:val="bottom"/>
            <w:shd w:val="clear" w:color="auto" w:fill="CCEEFF"/>
          </w:tcPr>
          <w:p>
            <w:pPr>
              <w:spacing w:after="0"/>
              <w:rPr>
                <w:sz w:val="17"/>
                <w:szCs w:val="17"/>
                <w:color w:val="auto"/>
              </w:rPr>
            </w:pPr>
          </w:p>
        </w:tc>
      </w:tr>
      <w:tr>
        <w:trPr>
          <w:trHeight w:val="205"/>
        </w:trPr>
        <w:tc>
          <w:tcPr>
            <w:tcW w:w="7060" w:type="dxa"/>
            <w:vAlign w:val="bottom"/>
          </w:tcPr>
          <w:p>
            <w:pPr>
              <w:spacing w:after="0"/>
              <w:rPr>
                <w:sz w:val="20"/>
                <w:szCs w:val="20"/>
                <w:color w:val="auto"/>
              </w:rPr>
            </w:pPr>
            <w:r>
              <w:rPr>
                <w:rFonts w:ascii="Arial" w:cs="Arial" w:eastAsia="Arial" w:hAnsi="Arial"/>
                <w:sz w:val="17"/>
                <w:szCs w:val="17"/>
                <w:color w:val="auto"/>
              </w:rPr>
              <w:t>Real estate held for investment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2,670,440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2,894,331</w:t>
            </w:r>
          </w:p>
        </w:tc>
        <w:tc>
          <w:tcPr>
            <w:tcW w:w="80" w:type="dxa"/>
            <w:vAlign w:val="bottom"/>
          </w:tcPr>
          <w:p>
            <w:pPr>
              <w:spacing w:after="0"/>
              <w:rPr>
                <w:sz w:val="17"/>
                <w:szCs w:val="17"/>
                <w:color w:val="auto"/>
              </w:rPr>
            </w:pP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Policy loans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102,866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116,845</w:t>
            </w:r>
          </w:p>
        </w:tc>
      </w:tr>
      <w:tr>
        <w:trPr>
          <w:trHeight w:val="205"/>
        </w:trPr>
        <w:tc>
          <w:tcPr>
            <w:tcW w:w="7060" w:type="dxa"/>
            <w:vAlign w:val="bottom"/>
          </w:tcPr>
          <w:p>
            <w:pPr>
              <w:spacing w:after="0"/>
              <w:rPr>
                <w:sz w:val="20"/>
                <w:szCs w:val="20"/>
                <w:color w:val="auto"/>
              </w:rPr>
            </w:pPr>
            <w:r>
              <w:rPr>
                <w:rFonts w:ascii="Arial" w:cs="Arial" w:eastAsia="Arial" w:hAnsi="Arial"/>
                <w:sz w:val="17"/>
                <w:szCs w:val="17"/>
                <w:color w:val="auto"/>
              </w:rPr>
              <w:t>Insurance assignments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3,860,937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3,364,642</w:t>
            </w:r>
          </w:p>
        </w:tc>
        <w:tc>
          <w:tcPr>
            <w:tcW w:w="80" w:type="dxa"/>
            <w:vAlign w:val="bottom"/>
          </w:tcPr>
          <w:p>
            <w:pPr>
              <w:spacing w:after="0"/>
              <w:rPr>
                <w:sz w:val="17"/>
                <w:szCs w:val="17"/>
                <w:color w:val="auto"/>
              </w:rPr>
            </w:pP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Other investments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53,673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7,543</w:t>
            </w:r>
          </w:p>
        </w:tc>
        <w:tc>
          <w:tcPr>
            <w:tcW w:w="80" w:type="dxa"/>
            <w:vAlign w:val="bottom"/>
            <w:shd w:val="clear" w:color="auto" w:fill="CCEEFF"/>
          </w:tcPr>
          <w:p>
            <w:pPr>
              <w:spacing w:after="0"/>
              <w:rPr>
                <w:sz w:val="17"/>
                <w:szCs w:val="17"/>
                <w:color w:val="auto"/>
              </w:rPr>
            </w:pPr>
          </w:p>
        </w:tc>
      </w:tr>
      <w:tr>
        <w:trPr>
          <w:trHeight w:val="211"/>
        </w:trPr>
        <w:tc>
          <w:tcPr>
            <w:tcW w:w="70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137,368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91,012</w:t>
            </w: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Gross investment income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13,945,344</w:t>
            </w: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12,364,725</w:t>
            </w:r>
          </w:p>
        </w:tc>
        <w:tc>
          <w:tcPr>
            <w:tcW w:w="80" w:type="dxa"/>
            <w:vAlign w:val="bottom"/>
            <w:shd w:val="clear" w:color="auto" w:fill="CCEEFF"/>
          </w:tcPr>
          <w:p>
            <w:pPr>
              <w:spacing w:after="0"/>
              <w:rPr>
                <w:sz w:val="17"/>
                <w:szCs w:val="17"/>
                <w:color w:val="auto"/>
              </w:rPr>
            </w:pPr>
          </w:p>
        </w:tc>
      </w:tr>
      <w:tr>
        <w:trPr>
          <w:trHeight w:val="211"/>
        </w:trPr>
        <w:tc>
          <w:tcPr>
            <w:tcW w:w="7060" w:type="dxa"/>
            <w:vAlign w:val="bottom"/>
          </w:tcPr>
          <w:p>
            <w:pPr>
              <w:spacing w:after="0"/>
              <w:rPr>
                <w:sz w:val="20"/>
                <w:szCs w:val="20"/>
                <w:color w:val="auto"/>
              </w:rPr>
            </w:pPr>
            <w:r>
              <w:rPr>
                <w:rFonts w:ascii="Arial" w:cs="Arial" w:eastAsia="Arial" w:hAnsi="Arial"/>
                <w:sz w:val="17"/>
                <w:szCs w:val="17"/>
                <w:color w:val="auto"/>
              </w:rPr>
              <w:t>Investment expenses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(3,870,913)</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6"/>
              </w:rPr>
              <w:t>(3,348,349)</w:t>
            </w:r>
          </w:p>
        </w:tc>
      </w:tr>
      <w:tr>
        <w:trPr>
          <w:trHeight w:val="245"/>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10,074,431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9,016,376</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Net investment income includes income earned by the restricted assets of the cemeteries and mortuaries of $110,802 and $115,501 for the three months ended March 31, 2018 and 2017,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Net investment income on real estate consists primarily of rental revenue.</w:t>
      </w:r>
    </w:p>
    <w:p>
      <w:pPr>
        <w:spacing w:after="0" w:line="221"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Investment expenses consist primarily of depreciation, property taxes, operating expenses of real estate and an estimated portion of administrative expenses relating to investment activities.</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Securities on deposit with regulatory authorities as required by law amounted to $9,247,333 at March 31, 2018 and $9,264,977 at December 31, 2017. These restricted securities are included in various assets under investments on the accompanying condensed consolidated balance sheets.</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There were no investments, aggregated by issuer, in excess of 10% of shareholders' equity (before net unrealized gains and losses on equity securities) at March 31, 2018, other than investments issued or guaranteed by the United States Government.</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Held for Investment</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Company continues to strategically deploy resources into real estate to match the income and yield durations of its primary obligations. The sources for these real estate assets come through its various business units in the form of acquisition, development and mortgage foreclosures.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Commercial Real Estate Held for Investment</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The Company employs full-time employees to attend to the day-to-day operations of those assets within the greater Salt Lake area and close surrounding markets. The Company utilizes third 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The Company currently owns and operates 12 commercial properties in 8 states. These properties include industrial warehouses, office buildings, retail centers, and undeveloped land, and the redevelopment and expansion of its corporate campus ("Center53") in Salt Lake City, Utah. The Company does use debt in strategic cases to leverage established yields or to acquire a higher quality or different class of asset.</w:t>
      </w:r>
    </w:p>
    <w:p>
      <w:pPr>
        <w:sectPr>
          <w:pgSz w:w="11900" w:h="16838" w:orient="portrait"/>
          <w:cols w:equalWidth="0" w:num="1">
            <w:col w:w="11420"/>
          </w:cols>
          <w:pgMar w:left="240" w:top="127" w:right="23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725360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40" w:hanging="237"/>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aggregated net ending balance of commercial real estate that serves as collateral for bank borrowings was approximately $64,864,000 and $64,704,000 as of March 31, 2018 and December 31, 2017, respectively. The associated bank loan carrying values totaled approximately $41,309,000 and $40,994,000 as of March 31, 2018 and December 31, 2017,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the Company's commercial real estate held for investment for the periods presented:</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gridSpan w:val="6"/>
          </w:tcPr>
          <w:p>
            <w:pPr>
              <w:ind w:left="520"/>
              <w:spacing w:after="0"/>
              <w:rPr>
                <w:sz w:val="20"/>
                <w:szCs w:val="20"/>
                <w:color w:val="auto"/>
              </w:rPr>
            </w:pPr>
            <w:r>
              <w:rPr>
                <w:rFonts w:ascii="Arial" w:cs="Arial" w:eastAsia="Arial" w:hAnsi="Arial"/>
                <w:sz w:val="17"/>
                <w:szCs w:val="17"/>
                <w:color w:val="auto"/>
              </w:rPr>
              <w:t>Net Ending Balance</w:t>
            </w:r>
          </w:p>
        </w:tc>
        <w:tc>
          <w:tcPr>
            <w:tcW w:w="460" w:type="dxa"/>
            <w:vAlign w:val="bottom"/>
          </w:tcPr>
          <w:p>
            <w:pPr>
              <w:spacing w:after="0"/>
              <w:rPr>
                <w:sz w:val="19"/>
                <w:szCs w:val="19"/>
                <w:color w:val="auto"/>
              </w:rPr>
            </w:pPr>
          </w:p>
        </w:tc>
        <w:tc>
          <w:tcPr>
            <w:tcW w:w="2400" w:type="dxa"/>
            <w:vAlign w:val="bottom"/>
            <w:gridSpan w:val="4"/>
          </w:tcPr>
          <w:p>
            <w:pPr>
              <w:jc w:val="right"/>
              <w:ind w:right="500"/>
              <w:spacing w:after="0"/>
              <w:rPr>
                <w:sz w:val="20"/>
                <w:szCs w:val="20"/>
                <w:color w:val="auto"/>
              </w:rPr>
            </w:pPr>
            <w:r>
              <w:rPr>
                <w:rFonts w:ascii="Arial" w:cs="Arial" w:eastAsia="Arial" w:hAnsi="Arial"/>
                <w:sz w:val="17"/>
                <w:szCs w:val="17"/>
                <w:color w:val="auto"/>
              </w:rPr>
              <w:t>Total Square Footage</w:t>
            </w:r>
          </w:p>
        </w:tc>
      </w:tr>
      <w:tr>
        <w:trPr>
          <w:trHeight w:val="193"/>
        </w:trPr>
        <w:tc>
          <w:tcPr>
            <w:tcW w:w="35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14"/>
              <w:spacing w:after="0" w:line="193" w:lineRule="exact"/>
              <w:rPr>
                <w:sz w:val="20"/>
                <w:szCs w:val="20"/>
                <w:color w:val="auto"/>
              </w:rPr>
            </w:pPr>
            <w:r>
              <w:rPr>
                <w:rFonts w:ascii="Arial" w:cs="Arial" w:eastAsia="Arial" w:hAnsi="Arial"/>
                <w:sz w:val="17"/>
                <w:szCs w:val="17"/>
                <w:color w:val="auto"/>
              </w:rPr>
              <w:t>March 31</w:t>
            </w:r>
          </w:p>
        </w:tc>
        <w:tc>
          <w:tcPr>
            <w:tcW w:w="4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4"/>
              <w:spacing w:after="0" w:line="193" w:lineRule="exact"/>
              <w:rPr>
                <w:sz w:val="20"/>
                <w:szCs w:val="20"/>
                <w:color w:val="auto"/>
              </w:rPr>
            </w:pPr>
            <w:r>
              <w:rPr>
                <w:rFonts w:ascii="Arial" w:cs="Arial" w:eastAsia="Arial" w:hAnsi="Arial"/>
                <w:sz w:val="17"/>
                <w:szCs w:val="17"/>
                <w:color w:val="auto"/>
                <w:w w:val="86"/>
              </w:rPr>
              <w:t>December 31</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380"/>
              <w:spacing w:after="0" w:line="193" w:lineRule="exact"/>
              <w:rPr>
                <w:sz w:val="20"/>
                <w:szCs w:val="20"/>
                <w:color w:val="auto"/>
              </w:rPr>
            </w:pPr>
            <w:r>
              <w:rPr>
                <w:rFonts w:ascii="Arial" w:cs="Arial" w:eastAsia="Arial" w:hAnsi="Arial"/>
                <w:sz w:val="17"/>
                <w:szCs w:val="17"/>
                <w:color w:val="auto"/>
              </w:rPr>
              <w:t>March 31</w:t>
            </w:r>
          </w:p>
        </w:tc>
        <w:tc>
          <w:tcPr>
            <w:tcW w:w="10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w w:val="95"/>
              </w:rPr>
              <w:t>December 31</w:t>
            </w:r>
          </w:p>
        </w:tc>
        <w:tc>
          <w:tcPr>
            <w:tcW w:w="80" w:type="dxa"/>
            <w:vAlign w:val="bottom"/>
          </w:tcPr>
          <w:p>
            <w:pPr>
              <w:spacing w:after="0"/>
              <w:rPr>
                <w:sz w:val="16"/>
                <w:szCs w:val="16"/>
                <w:color w:val="auto"/>
              </w:rPr>
            </w:pPr>
          </w:p>
        </w:tc>
      </w:tr>
      <w:tr>
        <w:trPr>
          <w:trHeight w:val="223"/>
        </w:trPr>
        <w:tc>
          <w:tcPr>
            <w:tcW w:w="3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2018</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2017</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9"/>
                <w:szCs w:val="19"/>
                <w:color w:val="auto"/>
              </w:rPr>
            </w:pPr>
          </w:p>
        </w:tc>
      </w:tr>
      <w:tr>
        <w:trPr>
          <w:trHeight w:val="20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Arizona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Arkansas</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95,118</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96,169</w:t>
            </w:r>
          </w:p>
        </w:tc>
        <w:tc>
          <w:tcPr>
            <w:tcW w:w="4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3,200</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3,200</w:t>
            </w:r>
          </w:p>
        </w:tc>
      </w:tr>
      <w:tr>
        <w:trPr>
          <w:trHeight w:val="20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Kansas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7,264,086</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7,200,000</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222,679</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222,679</w:t>
            </w: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Louisiana</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486,821</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493,197</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7,063</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7,063</w:t>
            </w:r>
          </w:p>
        </w:tc>
      </w:tr>
      <w:tr>
        <w:trPr>
          <w:trHeight w:val="20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Mississippi</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3,701,754</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3,725,039</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33,821</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33,821</w:t>
            </w: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New Mexico</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7,000</w:t>
            </w:r>
          </w:p>
        </w:tc>
        <w:tc>
          <w:tcPr>
            <w:tcW w:w="48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7,000</w:t>
            </w:r>
          </w:p>
        </w:tc>
        <w:tc>
          <w:tcPr>
            <w:tcW w:w="60" w:type="dxa"/>
            <w:vAlign w:val="bottom"/>
          </w:tcPr>
          <w:p>
            <w:pPr>
              <w:spacing w:after="0"/>
              <w:rPr>
                <w:sz w:val="17"/>
                <w:szCs w:val="17"/>
                <w:color w:val="auto"/>
              </w:rPr>
            </w:pPr>
          </w:p>
        </w:tc>
        <w:tc>
          <w:tcPr>
            <w:tcW w:w="460" w:type="dxa"/>
            <w:vAlign w:val="bottom"/>
          </w:tcPr>
          <w:p>
            <w:pPr>
              <w:jc w:val="right"/>
              <w:ind w:right="114"/>
              <w:spacing w:after="0"/>
              <w:rPr>
                <w:sz w:val="20"/>
                <w:szCs w:val="20"/>
                <w:color w:val="auto"/>
              </w:rPr>
            </w:pPr>
            <w:r>
              <w:rPr>
                <w:rFonts w:ascii="Arial" w:cs="Arial" w:eastAsia="Arial" w:hAnsi="Arial"/>
                <w:sz w:val="17"/>
                <w:szCs w:val="17"/>
                <w:color w:val="auto"/>
              </w:rPr>
              <w:t>(1)</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Texas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335,000</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335,000</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23,470</w:t>
            </w:r>
          </w:p>
        </w:tc>
      </w:tr>
      <w:tr>
        <w:trPr>
          <w:trHeight w:val="211"/>
        </w:trPr>
        <w:tc>
          <w:tcPr>
            <w:tcW w:w="3520" w:type="dxa"/>
            <w:vAlign w:val="bottom"/>
          </w:tcPr>
          <w:p>
            <w:pPr>
              <w:spacing w:after="0"/>
              <w:rPr>
                <w:sz w:val="20"/>
                <w:szCs w:val="20"/>
                <w:color w:val="auto"/>
              </w:rPr>
            </w:pPr>
            <w:r>
              <w:rPr>
                <w:rFonts w:ascii="Arial" w:cs="Arial" w:eastAsia="Arial" w:hAnsi="Arial"/>
                <w:sz w:val="17"/>
                <w:szCs w:val="17"/>
                <w:color w:val="auto"/>
              </w:rPr>
              <w:t>Utah</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61,295,289</w:t>
            </w:r>
          </w:p>
        </w:tc>
        <w:tc>
          <w:tcPr>
            <w:tcW w:w="48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61,108,384</w:t>
            </w:r>
          </w:p>
        </w:tc>
        <w:tc>
          <w:tcPr>
            <w:tcW w:w="60" w:type="dxa"/>
            <w:vAlign w:val="bottom"/>
          </w:tcPr>
          <w:p>
            <w:pPr>
              <w:spacing w:after="0"/>
              <w:rPr>
                <w:sz w:val="18"/>
                <w:szCs w:val="18"/>
                <w:color w:val="auto"/>
              </w:rPr>
            </w:pPr>
          </w:p>
        </w:tc>
        <w:tc>
          <w:tcPr>
            <w:tcW w:w="460" w:type="dxa"/>
            <w:vAlign w:val="bottom"/>
          </w:tcPr>
          <w:p>
            <w:pPr>
              <w:jc w:val="right"/>
              <w:ind w:right="114"/>
              <w:spacing w:after="0"/>
              <w:rPr>
                <w:sz w:val="20"/>
                <w:szCs w:val="20"/>
                <w:color w:val="auto"/>
              </w:rPr>
            </w:pPr>
            <w:r>
              <w:rPr>
                <w:rFonts w:ascii="Arial" w:cs="Arial" w:eastAsia="Arial" w:hAnsi="Arial"/>
                <w:sz w:val="17"/>
                <w:szCs w:val="17"/>
                <w:color w:val="auto"/>
              </w:rPr>
              <w:t>(2)</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433,244</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433,244</w:t>
            </w:r>
          </w:p>
        </w:tc>
      </w:tr>
      <w:tr>
        <w:trPr>
          <w:trHeight w:val="205"/>
        </w:trPr>
        <w:tc>
          <w:tcPr>
            <w:tcW w:w="35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73,189,068</w:t>
            </w:r>
          </w:p>
        </w:tc>
        <w:tc>
          <w:tcPr>
            <w:tcW w:w="4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72,968,789</w:t>
            </w:r>
          </w:p>
        </w:tc>
        <w:tc>
          <w:tcPr>
            <w:tcW w:w="4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700,007</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723,477</w:t>
            </w:r>
          </w:p>
        </w:tc>
      </w:tr>
      <w:tr>
        <w:trPr>
          <w:trHeight w:val="20"/>
        </w:trPr>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left="1380" w:hanging="235"/>
        <w:spacing w:after="0"/>
        <w:tabs>
          <w:tab w:leader="none" w:pos="1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undeveloped land</w:t>
      </w:r>
    </w:p>
    <w:p>
      <w:pPr>
        <w:spacing w:after="0" w:line="215" w:lineRule="exact"/>
        <w:rPr>
          <w:rFonts w:ascii="Arial" w:cs="Arial" w:eastAsia="Arial" w:hAnsi="Arial"/>
          <w:sz w:val="17"/>
          <w:szCs w:val="17"/>
          <w:color w:val="auto"/>
        </w:rPr>
      </w:pPr>
    </w:p>
    <w:p>
      <w:pPr>
        <w:ind w:right="2660" w:firstLine="1145"/>
        <w:spacing w:after="0" w:line="593" w:lineRule="auto"/>
        <w:tabs>
          <w:tab w:leader="none" w:pos="1385"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Includes Center53 completed in July 2017. The Company is currently in the process of leasing the building. </w:t>
      </w:r>
      <w:r>
        <w:rPr>
          <w:rFonts w:ascii="Arial" w:cs="Arial" w:eastAsia="Arial" w:hAnsi="Arial"/>
          <w:sz w:val="17"/>
          <w:szCs w:val="17"/>
          <w:u w:val="single" w:color="auto"/>
          <w:color w:val="auto"/>
        </w:rPr>
        <w:t>Residential Real Estate Held for Investment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owns a portfolio of residential homes primarily as a result of loan foreclosures. The strategy has been to lease these homes to produce cash flow, and allow time for the economic fundamentals to return to the various markets. As an orderly and active market for these homes returns, the Company has the option to dispose or to continue and hold them for cash flow and acceptable returns.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As of March 31, 2018, SNRE manages 101 residential properties in 7 states across the United States.</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The net ending balance of residential real estate that serves as collateral for a bank borrowing was approximately $-0- and $34,431,000, as of March 31, 2018 and December 31, 2017, respectively. The associated bank loan carrying value was approximately $-0- and $26,773,000 as of March 31, 2018 and December 31, 2017, respectively. This real estate relates to the Company's Dry Creek at East Village apartment complex sold in March 2018.</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The net ending balance of foreclosed residential real estate included in residential real estate held for investment is $31,349,678 and $33,372,228 as of March 31, 2018 and December 31, 2017, respectively.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40" w:hanging="237"/>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the Company's residential real estate held for investment for the periods presented:</w:t>
      </w:r>
    </w:p>
    <w:p>
      <w:pPr>
        <w:spacing w:after="0" w:line="200" w:lineRule="exact"/>
        <w:rPr>
          <w:sz w:val="20"/>
          <w:szCs w:val="20"/>
          <w:color w:val="auto"/>
        </w:rPr>
      </w:pP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5"/>
          </w:tcPr>
          <w:p>
            <w:pPr>
              <w:ind w:left="200"/>
              <w:spacing w:after="0"/>
              <w:rPr>
                <w:sz w:val="20"/>
                <w:szCs w:val="20"/>
                <w:color w:val="auto"/>
              </w:rPr>
            </w:pPr>
            <w:r>
              <w:rPr>
                <w:rFonts w:ascii="Arial" w:cs="Arial" w:eastAsia="Arial" w:hAnsi="Arial"/>
                <w:sz w:val="17"/>
                <w:szCs w:val="17"/>
                <w:color w:val="auto"/>
              </w:rPr>
              <w:t>Net Ending Balance</w:t>
            </w:r>
          </w:p>
        </w:tc>
      </w:tr>
      <w:tr>
        <w:trPr>
          <w:trHeight w:val="205"/>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rPr>
              <w:t>December</w:t>
            </w:r>
          </w:p>
        </w:tc>
      </w:tr>
      <w:tr>
        <w:trPr>
          <w:trHeight w:val="205"/>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7"/>
                <w:szCs w:val="17"/>
                <w:color w:val="auto"/>
              </w:rPr>
              <w:t>March 31</w:t>
            </w:r>
          </w:p>
        </w:tc>
        <w:tc>
          <w:tcPr>
            <w:tcW w:w="10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r>
      <w:tr>
        <w:trPr>
          <w:trHeight w:val="223"/>
        </w:trPr>
        <w:tc>
          <w:tcPr>
            <w:tcW w:w="7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9"/>
                <w:szCs w:val="19"/>
                <w:color w:val="auto"/>
              </w:rPr>
            </w:pP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Arizona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217,105</w:t>
            </w:r>
          </w:p>
        </w:tc>
        <w:tc>
          <w:tcPr>
            <w:tcW w:w="80" w:type="dxa"/>
            <w:vAlign w:val="bottom"/>
            <w:shd w:val="clear" w:color="auto" w:fill="CCEEFF"/>
          </w:tcPr>
          <w:p>
            <w:pPr>
              <w:spacing w:after="0"/>
              <w:rPr>
                <w:sz w:val="17"/>
                <w:szCs w:val="17"/>
                <w:color w:val="auto"/>
              </w:rPr>
            </w:pPr>
          </w:p>
        </w:tc>
      </w:tr>
      <w:tr>
        <w:trPr>
          <w:trHeight w:val="205"/>
        </w:trPr>
        <w:tc>
          <w:tcPr>
            <w:tcW w:w="7060" w:type="dxa"/>
            <w:vAlign w:val="bottom"/>
          </w:tcPr>
          <w:p>
            <w:pPr>
              <w:spacing w:after="0"/>
              <w:rPr>
                <w:sz w:val="20"/>
                <w:szCs w:val="20"/>
                <w:color w:val="auto"/>
              </w:rPr>
            </w:pPr>
            <w:r>
              <w:rPr>
                <w:rFonts w:ascii="Arial" w:cs="Arial" w:eastAsia="Arial" w:hAnsi="Arial"/>
                <w:sz w:val="17"/>
                <w:szCs w:val="17"/>
                <w:color w:val="auto"/>
              </w:rPr>
              <w:t>California</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5,407,203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5,463,878</w:t>
            </w:r>
          </w:p>
        </w:tc>
        <w:tc>
          <w:tcPr>
            <w:tcW w:w="80" w:type="dxa"/>
            <w:vAlign w:val="bottom"/>
          </w:tcPr>
          <w:p>
            <w:pPr>
              <w:spacing w:after="0"/>
              <w:rPr>
                <w:sz w:val="17"/>
                <w:szCs w:val="17"/>
                <w:color w:val="auto"/>
              </w:rPr>
            </w:pP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Florida</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6,839,021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7,000,684</w:t>
            </w:r>
          </w:p>
        </w:tc>
        <w:tc>
          <w:tcPr>
            <w:tcW w:w="80" w:type="dxa"/>
            <w:vAlign w:val="bottom"/>
            <w:shd w:val="clear" w:color="auto" w:fill="CCEEFF"/>
          </w:tcPr>
          <w:p>
            <w:pPr>
              <w:spacing w:after="0"/>
              <w:rPr>
                <w:sz w:val="17"/>
                <w:szCs w:val="17"/>
                <w:color w:val="auto"/>
              </w:rPr>
            </w:pPr>
          </w:p>
        </w:tc>
      </w:tr>
      <w:tr>
        <w:trPr>
          <w:trHeight w:val="205"/>
        </w:trPr>
        <w:tc>
          <w:tcPr>
            <w:tcW w:w="7060" w:type="dxa"/>
            <w:vAlign w:val="bottom"/>
          </w:tcPr>
          <w:p>
            <w:pPr>
              <w:spacing w:after="0"/>
              <w:rPr>
                <w:sz w:val="20"/>
                <w:szCs w:val="20"/>
                <w:color w:val="auto"/>
              </w:rPr>
            </w:pPr>
            <w:r>
              <w:rPr>
                <w:rFonts w:ascii="Arial" w:cs="Arial" w:eastAsia="Arial" w:hAnsi="Arial"/>
                <w:sz w:val="17"/>
                <w:szCs w:val="17"/>
                <w:color w:val="auto"/>
              </w:rPr>
              <w:t>Hawaii</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712,286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712,286</w:t>
            </w:r>
          </w:p>
        </w:tc>
        <w:tc>
          <w:tcPr>
            <w:tcW w:w="80" w:type="dxa"/>
            <w:vAlign w:val="bottom"/>
          </w:tcPr>
          <w:p>
            <w:pPr>
              <w:spacing w:after="0"/>
              <w:rPr>
                <w:sz w:val="17"/>
                <w:szCs w:val="17"/>
                <w:color w:val="auto"/>
              </w:rPr>
            </w:pP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Ohio</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10,000</w:t>
            </w:r>
          </w:p>
        </w:tc>
      </w:tr>
      <w:tr>
        <w:trPr>
          <w:trHeight w:val="205"/>
        </w:trPr>
        <w:tc>
          <w:tcPr>
            <w:tcW w:w="7060" w:type="dxa"/>
            <w:vAlign w:val="bottom"/>
          </w:tcPr>
          <w:p>
            <w:pPr>
              <w:spacing w:after="0"/>
              <w:rPr>
                <w:sz w:val="20"/>
                <w:szCs w:val="20"/>
                <w:color w:val="auto"/>
              </w:rPr>
            </w:pPr>
            <w:r>
              <w:rPr>
                <w:rFonts w:ascii="Arial" w:cs="Arial" w:eastAsia="Arial" w:hAnsi="Arial"/>
                <w:sz w:val="17"/>
                <w:szCs w:val="17"/>
                <w:color w:val="auto"/>
              </w:rPr>
              <w:t>Oklahoma</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17,500</w:t>
            </w: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Texas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554,486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509,011</w:t>
            </w:r>
          </w:p>
        </w:tc>
      </w:tr>
      <w:tr>
        <w:trPr>
          <w:trHeight w:val="205"/>
        </w:trPr>
        <w:tc>
          <w:tcPr>
            <w:tcW w:w="7060" w:type="dxa"/>
            <w:vAlign w:val="bottom"/>
          </w:tcPr>
          <w:p>
            <w:pPr>
              <w:spacing w:after="0"/>
              <w:rPr>
                <w:sz w:val="20"/>
                <w:szCs w:val="20"/>
                <w:color w:val="auto"/>
              </w:rPr>
            </w:pPr>
            <w:r>
              <w:rPr>
                <w:rFonts w:ascii="Arial" w:cs="Arial" w:eastAsia="Arial" w:hAnsi="Arial"/>
                <w:sz w:val="17"/>
                <w:szCs w:val="17"/>
                <w:color w:val="auto"/>
              </w:rPr>
              <w:t>Utah</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18,065,086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54,113,272</w:t>
            </w:r>
          </w:p>
        </w:tc>
      </w:tr>
      <w:tr>
        <w:trPr>
          <w:trHeight w:val="211"/>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Washington</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286,181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286,181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5"/>
        </w:trPr>
        <w:tc>
          <w:tcPr>
            <w:tcW w:w="70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31,874,263</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68,329,917</w:t>
            </w: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Real Estate Owned and Occupied by the Company</w:t>
      </w:r>
    </w:p>
    <w:p>
      <w:pPr>
        <w:spacing w:after="0" w:line="26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primary business units of the Company occupy a portion of the real estate owned by the Company. Currently, the Company occupies nearly 70,000 square feet, or approximately 10% of the overall commercial real estate holdings.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2018, real estate owned and occupied by the Company is summarized as follows:</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7"/>
                <w:szCs w:val="17"/>
                <w:color w:val="auto"/>
                <w:w w:val="87"/>
              </w:rPr>
              <w:t>Square</w:t>
            </w:r>
          </w:p>
        </w:tc>
      </w:tr>
      <w:tr>
        <w:trPr>
          <w:trHeight w:val="205"/>
        </w:trPr>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7"/>
                <w:szCs w:val="17"/>
                <w:color w:val="auto"/>
                <w:w w:val="86"/>
              </w:rPr>
              <w:t>Footage</w:t>
            </w:r>
          </w:p>
        </w:tc>
      </w:tr>
      <w:tr>
        <w:trPr>
          <w:trHeight w:val="205"/>
        </w:trPr>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w w:val="94"/>
              </w:rPr>
              <w:t>Approximate</w:t>
            </w:r>
          </w:p>
        </w:tc>
        <w:tc>
          <w:tcPr>
            <w:tcW w:w="1060" w:type="dxa"/>
            <w:vAlign w:val="bottom"/>
            <w:gridSpan w:val="2"/>
          </w:tcPr>
          <w:p>
            <w:pPr>
              <w:jc w:val="center"/>
              <w:ind w:right="160"/>
              <w:spacing w:after="0"/>
              <w:rPr>
                <w:sz w:val="20"/>
                <w:szCs w:val="20"/>
                <w:color w:val="auto"/>
              </w:rPr>
            </w:pPr>
            <w:r>
              <w:rPr>
                <w:rFonts w:ascii="Arial" w:cs="Arial" w:eastAsia="Arial" w:hAnsi="Arial"/>
                <w:sz w:val="17"/>
                <w:szCs w:val="17"/>
                <w:color w:val="auto"/>
                <w:w w:val="90"/>
              </w:rPr>
              <w:t>Occupied by</w:t>
            </w:r>
          </w:p>
        </w:tc>
      </w:tr>
      <w:tr>
        <w:trPr>
          <w:trHeight w:val="205"/>
        </w:trPr>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7"/>
                <w:szCs w:val="17"/>
                <w:color w:val="auto"/>
              </w:rPr>
              <w:t>Square</w:t>
            </w:r>
          </w:p>
        </w:tc>
        <w:tc>
          <w:tcPr>
            <w:tcW w:w="1060" w:type="dxa"/>
            <w:vAlign w:val="bottom"/>
            <w:gridSpan w:val="2"/>
          </w:tcPr>
          <w:p>
            <w:pPr>
              <w:jc w:val="center"/>
              <w:ind w:right="160"/>
              <w:spacing w:after="0"/>
              <w:rPr>
                <w:sz w:val="20"/>
                <w:szCs w:val="20"/>
                <w:color w:val="auto"/>
              </w:rPr>
            </w:pPr>
            <w:r>
              <w:rPr>
                <w:rFonts w:ascii="Arial" w:cs="Arial" w:eastAsia="Arial" w:hAnsi="Arial"/>
                <w:sz w:val="17"/>
                <w:szCs w:val="17"/>
                <w:color w:val="auto"/>
                <w:w w:val="92"/>
              </w:rPr>
              <w:t>the</w:t>
            </w:r>
          </w:p>
        </w:tc>
      </w:tr>
      <w:tr>
        <w:trPr>
          <w:trHeight w:val="223"/>
        </w:trPr>
        <w:tc>
          <w:tcPr>
            <w:tcW w:w="3260" w:type="dxa"/>
            <w:vAlign w:val="bottom"/>
            <w:gridSpan w:val="2"/>
          </w:tcPr>
          <w:p>
            <w:pPr>
              <w:spacing w:after="0"/>
              <w:rPr>
                <w:sz w:val="20"/>
                <w:szCs w:val="20"/>
                <w:color w:val="auto"/>
              </w:rPr>
            </w:pPr>
            <w:r>
              <w:rPr>
                <w:rFonts w:ascii="Arial" w:cs="Arial" w:eastAsia="Arial" w:hAnsi="Arial"/>
                <w:sz w:val="17"/>
                <w:szCs w:val="17"/>
                <w:color w:val="auto"/>
              </w:rPr>
              <w:t>Location</w:t>
            </w:r>
          </w:p>
        </w:tc>
        <w:tc>
          <w:tcPr>
            <w:tcW w:w="3640" w:type="dxa"/>
            <w:vAlign w:val="bottom"/>
          </w:tcPr>
          <w:p>
            <w:pPr>
              <w:ind w:left="180"/>
              <w:spacing w:after="0"/>
              <w:rPr>
                <w:sz w:val="20"/>
                <w:szCs w:val="20"/>
                <w:color w:val="auto"/>
              </w:rPr>
            </w:pPr>
            <w:r>
              <w:rPr>
                <w:rFonts w:ascii="Arial" w:cs="Arial" w:eastAsia="Arial" w:hAnsi="Arial"/>
                <w:sz w:val="17"/>
                <w:szCs w:val="17"/>
                <w:color w:val="auto"/>
              </w:rPr>
              <w:t>Business Segment</w:t>
            </w:r>
          </w:p>
        </w:tc>
        <w:tc>
          <w:tcPr>
            <w:tcW w:w="8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7"/>
                <w:szCs w:val="17"/>
                <w:color w:val="auto"/>
              </w:rPr>
              <w:t>Footage</w:t>
            </w:r>
          </w:p>
        </w:tc>
        <w:tc>
          <w:tcPr>
            <w:tcW w:w="1060" w:type="dxa"/>
            <w:vAlign w:val="bottom"/>
            <w:gridSpan w:val="2"/>
          </w:tcPr>
          <w:p>
            <w:pPr>
              <w:jc w:val="center"/>
              <w:ind w:right="160"/>
              <w:spacing w:after="0"/>
              <w:rPr>
                <w:sz w:val="20"/>
                <w:szCs w:val="20"/>
                <w:color w:val="auto"/>
              </w:rPr>
            </w:pPr>
            <w:r>
              <w:rPr>
                <w:rFonts w:ascii="Arial" w:cs="Arial" w:eastAsia="Arial" w:hAnsi="Arial"/>
                <w:sz w:val="17"/>
                <w:szCs w:val="17"/>
                <w:color w:val="auto"/>
                <w:w w:val="90"/>
              </w:rPr>
              <w:t>Company</w:t>
            </w:r>
          </w:p>
        </w:tc>
      </w:tr>
      <w:tr>
        <w:trPr>
          <w:trHeight w:val="193"/>
        </w:trPr>
        <w:tc>
          <w:tcPr>
            <w:tcW w:w="36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7"/>
                <w:szCs w:val="17"/>
                <w:color w:val="auto"/>
                <w:w w:val="89"/>
              </w:rPr>
              <w:t>5300</w:t>
            </w:r>
          </w:p>
        </w:tc>
        <w:tc>
          <w:tcPr>
            <w:tcW w:w="2900" w:type="dxa"/>
            <w:vAlign w:val="bottom"/>
            <w:tcBorders>
              <w:top w:val="single" w:sz="8" w:color="auto"/>
            </w:tcBorders>
            <w:shd w:val="clear" w:color="auto" w:fill="CCEEFF"/>
          </w:tcPr>
          <w:p>
            <w:pPr>
              <w:ind w:left="20"/>
              <w:spacing w:after="0" w:line="193" w:lineRule="exact"/>
              <w:rPr>
                <w:sz w:val="20"/>
                <w:szCs w:val="20"/>
                <w:color w:val="auto"/>
              </w:rPr>
            </w:pPr>
            <w:r>
              <w:rPr>
                <w:rFonts w:ascii="Arial" w:cs="Arial" w:eastAsia="Arial" w:hAnsi="Arial"/>
                <w:sz w:val="17"/>
                <w:szCs w:val="17"/>
                <w:color w:val="auto"/>
                <w:w w:val="97"/>
              </w:rPr>
              <w:t>South 360 West, Salt Lake City, UT (1)</w:t>
            </w:r>
          </w:p>
        </w:tc>
        <w:tc>
          <w:tcPr>
            <w:tcW w:w="3640" w:type="dxa"/>
            <w:vAlign w:val="bottom"/>
            <w:tcBorders>
              <w:top w:val="single" w:sz="8" w:color="auto"/>
            </w:tcBorders>
            <w:shd w:val="clear" w:color="auto" w:fill="CCEEFF"/>
          </w:tcPr>
          <w:p>
            <w:pPr>
              <w:ind w:left="180"/>
              <w:spacing w:after="0" w:line="193" w:lineRule="exact"/>
              <w:rPr>
                <w:sz w:val="20"/>
                <w:szCs w:val="20"/>
                <w:color w:val="auto"/>
              </w:rPr>
            </w:pPr>
            <w:r>
              <w:rPr>
                <w:rFonts w:ascii="Arial" w:cs="Arial" w:eastAsia="Arial" w:hAnsi="Arial"/>
                <w:sz w:val="17"/>
                <w:szCs w:val="17"/>
                <w:color w:val="auto"/>
              </w:rPr>
              <w:t>Corporate Offices, Life Insurance</w:t>
            </w:r>
          </w:p>
        </w:tc>
        <w:tc>
          <w:tcPr>
            <w:tcW w:w="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8"/>
        </w:trPr>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and Cemetery/Mortuary Operations</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36,000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5"/>
        </w:trPr>
        <w:tc>
          <w:tcPr>
            <w:tcW w:w="360" w:type="dxa"/>
            <w:vAlign w:val="bottom"/>
          </w:tcPr>
          <w:p>
            <w:pPr>
              <w:spacing w:after="0"/>
              <w:rPr>
                <w:sz w:val="20"/>
                <w:szCs w:val="20"/>
                <w:color w:val="auto"/>
              </w:rPr>
            </w:pPr>
            <w:r>
              <w:rPr>
                <w:rFonts w:ascii="Arial" w:cs="Arial" w:eastAsia="Arial" w:hAnsi="Arial"/>
                <w:sz w:val="17"/>
                <w:szCs w:val="17"/>
                <w:color w:val="auto"/>
                <w:w w:val="89"/>
              </w:rPr>
              <w:t>5201</w:t>
            </w:r>
          </w:p>
        </w:tc>
        <w:tc>
          <w:tcPr>
            <w:tcW w:w="2900" w:type="dxa"/>
            <w:vAlign w:val="bottom"/>
          </w:tcPr>
          <w:p>
            <w:pPr>
              <w:ind w:left="20"/>
              <w:spacing w:after="0"/>
              <w:rPr>
                <w:sz w:val="20"/>
                <w:szCs w:val="20"/>
                <w:color w:val="auto"/>
              </w:rPr>
            </w:pPr>
            <w:r>
              <w:rPr>
                <w:rFonts w:ascii="Arial" w:cs="Arial" w:eastAsia="Arial" w:hAnsi="Arial"/>
                <w:sz w:val="17"/>
                <w:szCs w:val="17"/>
                <w:color w:val="auto"/>
              </w:rPr>
              <w:t>Green Street, Salt Lake City, UT</w:t>
            </w:r>
          </w:p>
        </w:tc>
        <w:tc>
          <w:tcPr>
            <w:tcW w:w="3640" w:type="dxa"/>
            <w:vAlign w:val="bottom"/>
          </w:tcPr>
          <w:p>
            <w:pPr>
              <w:ind w:left="180"/>
              <w:spacing w:after="0"/>
              <w:rPr>
                <w:sz w:val="20"/>
                <w:szCs w:val="20"/>
                <w:color w:val="auto"/>
              </w:rPr>
            </w:pPr>
            <w:r>
              <w:rPr>
                <w:rFonts w:ascii="Arial" w:cs="Arial" w:eastAsia="Arial" w:hAnsi="Arial"/>
                <w:sz w:val="17"/>
                <w:szCs w:val="17"/>
                <w:color w:val="auto"/>
              </w:rPr>
              <w:t>Mortgage Operations</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36,899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34%</w:t>
            </w:r>
          </w:p>
        </w:tc>
      </w:tr>
      <w:tr>
        <w:trPr>
          <w:trHeight w:val="205"/>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1044</w:t>
            </w:r>
          </w:p>
        </w:tc>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River Oaks Dr., Flowood, MS</w:t>
            </w:r>
          </w:p>
        </w:tc>
        <w:tc>
          <w:tcPr>
            <w:tcW w:w="3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Life Insurance Operations</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21,521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6"/>
        </w:trPr>
        <w:tc>
          <w:tcPr>
            <w:tcW w:w="3260" w:type="dxa"/>
            <w:vAlign w:val="bottom"/>
            <w:gridSpan w:val="2"/>
          </w:tcPr>
          <w:p>
            <w:pPr>
              <w:spacing w:after="0"/>
              <w:rPr>
                <w:sz w:val="20"/>
                <w:szCs w:val="20"/>
                <w:color w:val="auto"/>
              </w:rPr>
            </w:pPr>
            <w:r>
              <w:rPr>
                <w:rFonts w:ascii="Arial" w:cs="Arial" w:eastAsia="Arial" w:hAnsi="Arial"/>
                <w:sz w:val="17"/>
                <w:szCs w:val="17"/>
                <w:color w:val="auto"/>
              </w:rPr>
              <w:t>121 West Election Road, Draper, UT</w:t>
            </w:r>
          </w:p>
        </w:tc>
        <w:tc>
          <w:tcPr>
            <w:tcW w:w="3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78,978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19%</w:t>
            </w:r>
          </w:p>
        </w:tc>
      </w:tr>
    </w:tbl>
    <w:p>
      <w:pPr>
        <w:spacing w:after="0" w:line="18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This asset is included in property and equipment on the condensed consolidated balance sheets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80" w:hanging="277"/>
        <w:spacing w:after="0"/>
        <w:tabs>
          <w:tab w:leader="none" w:pos="28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Mortgage Loans Held for Investment</w:t>
      </w:r>
    </w:p>
    <w:p>
      <w:pPr>
        <w:spacing w:after="0" w:line="27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Mortgage loans held for investment consist of first and second mortgages. The mortgage loans bear interest at rates ranging from 2.0% to 10.5%, maturity dates range from three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March 31, 2018, the Company had 42%, 16%, 12%, 10%, 6%, 3% and 3% of its mortgage loans from borrowers located in the states of Utah, Florida, Texas, California, Nevada, Arizona, and Tennessee, respectively.</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Mortgage loans held for investment are carried at their unpaid principal balances adjusted for net deferred fees, charge-offs and the related allowance for loan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23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228"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22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u w:val="single" w:color="auto"/>
          <w:color w:val="auto"/>
        </w:rPr>
        <w:t>Commercial</w:t>
      </w:r>
      <w:r>
        <w:rPr>
          <w:rFonts w:ascii="Arial" w:cs="Arial" w:eastAsia="Arial" w:hAnsi="Arial"/>
          <w:sz w:val="17"/>
          <w:szCs w:val="17"/>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u w:val="single" w:color="auto"/>
          <w:color w:val="auto"/>
        </w:rPr>
        <w:t>Residential</w:t>
      </w:r>
      <w:r>
        <w:rPr>
          <w:rFonts w:ascii="Arial" w:cs="Arial" w:eastAsia="Arial" w:hAnsi="Arial"/>
          <w:sz w:val="17"/>
          <w:szCs w:val="17"/>
          <w:color w:val="auto"/>
        </w:rPr>
        <w:t xml:space="preserve"> – Secured by family dwelling units. These loans are secured by first mortgages on the unit, which are generally the primary residence of the borrower, generally at a loan-to-value ratio ("LTV") of 80% or less.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u w:val="single" w:color="auto"/>
          <w:color w:val="auto"/>
        </w:rPr>
        <w:t>Residential construction (including land acquisition and development)</w:t>
      </w:r>
      <w:r>
        <w:rPr>
          <w:rFonts w:ascii="Arial" w:cs="Arial" w:eastAsia="Arial" w:hAnsi="Arial"/>
          <w:sz w:val="17"/>
          <w:szCs w:val="17"/>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80" w:hanging="277"/>
        <w:spacing w:after="0"/>
        <w:tabs>
          <w:tab w:leader="none" w:pos="28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allowance for loan losses as a contra-asset account for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tcPr>
          <w:p>
            <w:pPr>
              <w:spacing w:after="0"/>
              <w:rPr>
                <w:sz w:val="19"/>
                <w:szCs w:val="19"/>
                <w:color w:val="auto"/>
              </w:rPr>
            </w:pPr>
          </w:p>
        </w:tc>
        <w:tc>
          <w:tcPr>
            <w:tcW w:w="8100" w:type="dxa"/>
            <w:vAlign w:val="bottom"/>
            <w:gridSpan w:val="11"/>
          </w:tcPr>
          <w:p>
            <w:pPr>
              <w:ind w:left="1820"/>
              <w:spacing w:after="0"/>
              <w:rPr>
                <w:sz w:val="20"/>
                <w:szCs w:val="20"/>
                <w:color w:val="auto"/>
              </w:rPr>
            </w:pPr>
            <w:r>
              <w:rPr>
                <w:rFonts w:ascii="Arial" w:cs="Arial" w:eastAsia="Arial" w:hAnsi="Arial"/>
                <w:sz w:val="17"/>
                <w:szCs w:val="17"/>
                <w:b w:val="1"/>
                <w:bCs w:val="1"/>
                <w:color w:val="auto"/>
              </w:rPr>
              <w:t>Allowance for Credit Losses and Recorded Investment in Mortgage Loans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94"/>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w w:val="94"/>
              </w:rPr>
              <w:t>Residential</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11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7"/>
                <w:szCs w:val="17"/>
                <w:b w:val="1"/>
                <w:bCs w:val="1"/>
                <w:color w:val="auto"/>
                <w:w w:val="88"/>
              </w:rPr>
              <w:t>Commercial</w:t>
            </w:r>
          </w:p>
        </w:tc>
        <w:tc>
          <w:tcPr>
            <w:tcW w:w="18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w w:val="94"/>
              </w:rPr>
              <w:t>Residential</w:t>
            </w:r>
          </w:p>
        </w:tc>
        <w:tc>
          <w:tcPr>
            <w:tcW w:w="1120" w:type="dxa"/>
            <w:vAlign w:val="bottom"/>
            <w:gridSpan w:val="3"/>
          </w:tcPr>
          <w:p>
            <w:pPr>
              <w:spacing w:after="0"/>
              <w:rPr>
                <w:sz w:val="20"/>
                <w:szCs w:val="20"/>
                <w:color w:val="auto"/>
              </w:rPr>
            </w:pPr>
            <w:r>
              <w:rPr>
                <w:rFonts w:ascii="Arial" w:cs="Arial" w:eastAsia="Arial" w:hAnsi="Arial"/>
                <w:sz w:val="17"/>
                <w:szCs w:val="17"/>
                <w:b w:val="1"/>
                <w:bCs w:val="1"/>
                <w:color w:val="auto"/>
              </w:rPr>
              <w:t>Construction</w:t>
            </w: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Total</w:t>
            </w:r>
          </w:p>
        </w:tc>
        <w:tc>
          <w:tcPr>
            <w:tcW w:w="1140" w:type="dxa"/>
            <w:vAlign w:val="bottom"/>
          </w:tcPr>
          <w:p>
            <w:pPr>
              <w:spacing w:after="0"/>
              <w:rPr>
                <w:sz w:val="19"/>
                <w:szCs w:val="19"/>
                <w:color w:val="auto"/>
              </w:rPr>
            </w:pPr>
          </w:p>
        </w:tc>
      </w:tr>
      <w:tr>
        <w:trPr>
          <w:trHeight w:val="193"/>
        </w:trPr>
        <w:tc>
          <w:tcPr>
            <w:tcW w:w="1140" w:type="dxa"/>
            <w:vAlign w:val="bottom"/>
          </w:tcPr>
          <w:p>
            <w:pPr>
              <w:spacing w:after="0"/>
              <w:rPr>
                <w:sz w:val="16"/>
                <w:szCs w:val="16"/>
                <w:color w:val="auto"/>
              </w:rPr>
            </w:pPr>
          </w:p>
        </w:tc>
        <w:tc>
          <w:tcPr>
            <w:tcW w:w="4120" w:type="dxa"/>
            <w:vAlign w:val="bottom"/>
          </w:tcPr>
          <w:p>
            <w:pPr>
              <w:spacing w:after="0" w:line="193" w:lineRule="exact"/>
              <w:rPr>
                <w:sz w:val="20"/>
                <w:szCs w:val="20"/>
                <w:color w:val="auto"/>
              </w:rPr>
            </w:pPr>
            <w:r>
              <w:rPr>
                <w:rFonts w:ascii="Arial" w:cs="Arial" w:eastAsia="Arial" w:hAnsi="Arial"/>
                <w:sz w:val="17"/>
                <w:szCs w:val="17"/>
                <w:b w:val="1"/>
                <w:bCs w:val="1"/>
                <w:color w:val="auto"/>
              </w:rPr>
              <w:t>March 31, 2018</w:t>
            </w:r>
          </w:p>
        </w:tc>
        <w:tc>
          <w:tcPr>
            <w:tcW w:w="6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11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Allowance for credit losses: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6"/>
        </w:trPr>
        <w:tc>
          <w:tcPr>
            <w:tcW w:w="114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 - January 1, 2018</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1,546,447</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1,768,796</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120" w:type="dxa"/>
            <w:vAlign w:val="bottom"/>
          </w:tcPr>
          <w:p>
            <w:pPr>
              <w:ind w:left="140"/>
              <w:spacing w:after="0"/>
              <w:rPr>
                <w:sz w:val="20"/>
                <w:szCs w:val="20"/>
                <w:color w:val="auto"/>
              </w:rPr>
            </w:pPr>
            <w:r>
              <w:rPr>
                <w:rFonts w:ascii="Arial" w:cs="Arial" w:eastAsia="Arial" w:hAnsi="Arial"/>
                <w:sz w:val="17"/>
                <w:szCs w:val="17"/>
                <w:color w:val="auto"/>
              </w:rPr>
              <w:t>Charge-offs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Provision</w:t>
            </w:r>
          </w:p>
        </w:tc>
        <w:tc>
          <w:tcPr>
            <w:tcW w:w="6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(72,425)</w:t>
            </w: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(72,425)</w:t>
            </w:r>
          </w:p>
        </w:tc>
        <w:tc>
          <w:tcPr>
            <w:tcW w:w="1140" w:type="dxa"/>
            <w:vAlign w:val="bottom"/>
          </w:tcPr>
          <w:p>
            <w:pPr>
              <w:spacing w:after="0"/>
              <w:rPr>
                <w:sz w:val="17"/>
                <w:szCs w:val="17"/>
                <w:color w:val="auto"/>
              </w:rPr>
            </w:pPr>
          </w:p>
        </w:tc>
      </w:tr>
      <w:tr>
        <w:trPr>
          <w:trHeight w:val="26"/>
        </w:trPr>
        <w:tc>
          <w:tcPr>
            <w:tcW w:w="1140" w:type="dxa"/>
            <w:vAlign w:val="bottom"/>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6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r>
      <w:tr>
        <w:trPr>
          <w:trHeight w:val="205"/>
        </w:trPr>
        <w:tc>
          <w:tcPr>
            <w:tcW w:w="114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Ending balance - March 31, 2018</w:t>
            </w:r>
          </w:p>
        </w:tc>
        <w:tc>
          <w:tcPr>
            <w:tcW w:w="740" w:type="dxa"/>
            <w:vAlign w:val="bottom"/>
            <w:gridSpan w:val="2"/>
          </w:tcPr>
          <w:p>
            <w:pPr>
              <w:ind w:left="64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1,474,022</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35,220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1,696,371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Ending balance: individually evaluated for impairment</w:t>
            </w:r>
          </w:p>
        </w:tc>
        <w:tc>
          <w:tcPr>
            <w:tcW w:w="740" w:type="dxa"/>
            <w:vAlign w:val="bottom"/>
            <w:gridSpan w:val="2"/>
          </w:tcPr>
          <w:p>
            <w:pPr>
              <w:ind w:left="64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292,220</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292,220</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Ending balance: collectively evaluated for impairment</w:t>
            </w:r>
          </w:p>
        </w:tc>
        <w:tc>
          <w:tcPr>
            <w:tcW w:w="740" w:type="dxa"/>
            <w:vAlign w:val="bottom"/>
            <w:gridSpan w:val="2"/>
          </w:tcPr>
          <w:p>
            <w:pPr>
              <w:ind w:left="64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1,181,802</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35,220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1,404,151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Mortgage loans: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1140" w:type="dxa"/>
            <w:vAlign w:val="bottom"/>
          </w:tcPr>
          <w:p>
            <w:pPr>
              <w:spacing w:after="0"/>
              <w:rPr>
                <w:sz w:val="21"/>
                <w:szCs w:val="21"/>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52,384,376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8"/>
              </w:rPr>
              <w:t>101,665,364</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3"/>
              </w:rPr>
              <w:t>54,254,054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208,303,794</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197"/>
        </w:trPr>
        <w:tc>
          <w:tcPr>
            <w:tcW w:w="1140" w:type="dxa"/>
            <w:vAlign w:val="bottom"/>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1140" w:type="dxa"/>
            <w:vAlign w:val="bottom"/>
          </w:tcPr>
          <w:p>
            <w:pPr>
              <w:spacing w:after="0"/>
              <w:rPr>
                <w:sz w:val="21"/>
                <w:szCs w:val="21"/>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Ending balance: individually evaluated for impairment</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5,362,963</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5,362,963</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197"/>
        </w:trPr>
        <w:tc>
          <w:tcPr>
            <w:tcW w:w="1140" w:type="dxa"/>
            <w:vAlign w:val="bottom"/>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1140" w:type="dxa"/>
            <w:vAlign w:val="bottom"/>
          </w:tcPr>
          <w:p>
            <w:pPr>
              <w:spacing w:after="0"/>
              <w:rPr>
                <w:sz w:val="21"/>
                <w:szCs w:val="21"/>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Ending balance: collectively evaluated for impairment</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52,384,376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96,302,401</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3"/>
              </w:rPr>
              <w:t>54,254,054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202,940,831</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197"/>
        </w:trPr>
        <w:tc>
          <w:tcPr>
            <w:tcW w:w="1140" w:type="dxa"/>
            <w:vAlign w:val="bottom"/>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2017</w:t>
            </w:r>
          </w:p>
        </w:tc>
        <w:tc>
          <w:tcPr>
            <w:tcW w:w="6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Allowance for credit losses: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 - January 1, 2017</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1,461,540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100,114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1,748,783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120" w:type="dxa"/>
            <w:vAlign w:val="bottom"/>
          </w:tcPr>
          <w:p>
            <w:pPr>
              <w:ind w:left="140"/>
              <w:spacing w:after="0"/>
              <w:rPr>
                <w:sz w:val="20"/>
                <w:szCs w:val="20"/>
                <w:color w:val="auto"/>
              </w:rPr>
            </w:pPr>
            <w:r>
              <w:rPr>
                <w:rFonts w:ascii="Arial" w:cs="Arial" w:eastAsia="Arial" w:hAnsi="Arial"/>
                <w:sz w:val="17"/>
                <w:szCs w:val="17"/>
                <w:color w:val="auto"/>
              </w:rPr>
              <w:t>Charge-offs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(351,357)</w:t>
            </w: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(64,894)</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(416,251)</w:t>
            </w: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Provision</w:t>
            </w:r>
          </w:p>
        </w:tc>
        <w:tc>
          <w:tcPr>
            <w:tcW w:w="6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436,264</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436,264</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6"/>
        </w:trPr>
        <w:tc>
          <w:tcPr>
            <w:tcW w:w="1140" w:type="dxa"/>
            <w:vAlign w:val="bottom"/>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6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r>
      <w:tr>
        <w:trPr>
          <w:trHeight w:val="205"/>
        </w:trPr>
        <w:tc>
          <w:tcPr>
            <w:tcW w:w="114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Ending balance - December 31, 2017</w:t>
            </w:r>
          </w:p>
        </w:tc>
        <w:tc>
          <w:tcPr>
            <w:tcW w:w="740" w:type="dxa"/>
            <w:vAlign w:val="bottom"/>
            <w:gridSpan w:val="2"/>
          </w:tcPr>
          <w:p>
            <w:pPr>
              <w:ind w:left="64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1,546,447</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35,220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1,768,796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Ending balance: individually evaluated for impairment</w:t>
            </w:r>
          </w:p>
        </w:tc>
        <w:tc>
          <w:tcPr>
            <w:tcW w:w="740" w:type="dxa"/>
            <w:vAlign w:val="bottom"/>
            <w:gridSpan w:val="2"/>
          </w:tcPr>
          <w:p>
            <w:pPr>
              <w:ind w:left="64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237,560</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237,560</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Ending balance: collectively evaluated for impairment</w:t>
            </w:r>
          </w:p>
        </w:tc>
        <w:tc>
          <w:tcPr>
            <w:tcW w:w="740" w:type="dxa"/>
            <w:vAlign w:val="bottom"/>
            <w:gridSpan w:val="2"/>
          </w:tcPr>
          <w:p>
            <w:pPr>
              <w:ind w:left="64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1,308,887</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35,220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1,531,236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Mortgage loans: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1140" w:type="dxa"/>
            <w:vAlign w:val="bottom"/>
          </w:tcPr>
          <w:p>
            <w:pPr>
              <w:spacing w:after="0"/>
              <w:rPr>
                <w:sz w:val="21"/>
                <w:szCs w:val="21"/>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54,954,865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8"/>
              </w:rPr>
              <w:t>102,527,111</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3"/>
              </w:rPr>
              <w:t>50,157,533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207,639,509</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197"/>
        </w:trPr>
        <w:tc>
          <w:tcPr>
            <w:tcW w:w="1140" w:type="dxa"/>
            <w:vAlign w:val="bottom"/>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1140" w:type="dxa"/>
            <w:vAlign w:val="bottom"/>
          </w:tcPr>
          <w:p>
            <w:pPr>
              <w:spacing w:after="0"/>
              <w:rPr>
                <w:sz w:val="21"/>
                <w:szCs w:val="21"/>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Ending balance: individually evaluated for impairment</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4,923,552</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461,834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5,385,386</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197"/>
        </w:trPr>
        <w:tc>
          <w:tcPr>
            <w:tcW w:w="1140" w:type="dxa"/>
            <w:vAlign w:val="bottom"/>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1140" w:type="dxa"/>
            <w:vAlign w:val="bottom"/>
          </w:tcPr>
          <w:p>
            <w:pPr>
              <w:spacing w:after="0"/>
              <w:rPr>
                <w:sz w:val="21"/>
                <w:szCs w:val="21"/>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Ending balance: collectively evaluated for impairment</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54,954,865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97,603,559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3"/>
              </w:rPr>
              <w:t>49,695,699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202,254,123</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570"/>
        </w:trPr>
        <w:tc>
          <w:tcPr>
            <w:tcW w:w="1140" w:type="dxa"/>
            <w:vAlign w:val="bottom"/>
          </w:tcPr>
          <w:p>
            <w:pPr>
              <w:spacing w:after="0"/>
              <w:rPr>
                <w:sz w:val="24"/>
                <w:szCs w:val="24"/>
                <w:color w:val="auto"/>
              </w:rPr>
            </w:pPr>
          </w:p>
        </w:tc>
        <w:tc>
          <w:tcPr>
            <w:tcW w:w="41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ind w:left="380"/>
              <w:spacing w:after="0"/>
              <w:rPr>
                <w:sz w:val="20"/>
                <w:szCs w:val="20"/>
                <w:color w:val="auto"/>
              </w:rPr>
            </w:pPr>
            <w:r>
              <w:rPr>
                <w:rFonts w:ascii="Arial" w:cs="Arial" w:eastAsia="Arial" w:hAnsi="Arial"/>
                <w:sz w:val="14"/>
                <w:szCs w:val="14"/>
                <w:color w:val="auto"/>
              </w:rPr>
              <w:t>22</w:t>
            </w: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43"/>
        </w:trPr>
        <w:tc>
          <w:tcPr>
            <w:tcW w:w="114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7" w:right="239" w:bottom="1440" w:gutter="0" w:footer="0" w:header="0"/>
        </w:sectPr>
      </w:pPr>
    </w:p>
    <w:bookmarkStart w:id="22" w:name="page23"/>
    <w:bookmarkEnd w:id="22"/>
    <w:p>
      <w:pPr>
        <w:jc w:val="center"/>
        <w:ind w:right="100"/>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March 31, 2018 (Unaudited)</w:t>
      </w:r>
    </w:p>
    <w:p>
      <w:pPr>
        <w:spacing w:after="0" w:line="204" w:lineRule="exact"/>
        <w:rPr>
          <w:sz w:val="20"/>
          <w:szCs w:val="20"/>
          <w:color w:val="auto"/>
        </w:rPr>
      </w:pPr>
    </w:p>
    <w:p>
      <w:pPr>
        <w:ind w:left="280" w:hanging="277"/>
        <w:spacing w:after="0"/>
        <w:tabs>
          <w:tab w:leader="none" w:pos="28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aging of mortgage loans held for investment for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20" w:type="dxa"/>
            <w:vAlign w:val="bottom"/>
            <w:gridSpan w:val="17"/>
          </w:tcPr>
          <w:p>
            <w:pPr>
              <w:jc w:val="right"/>
              <w:ind w:right="840"/>
              <w:spacing w:after="0"/>
              <w:rPr>
                <w:sz w:val="20"/>
                <w:szCs w:val="20"/>
                <w:color w:val="auto"/>
              </w:rPr>
            </w:pPr>
            <w:r>
              <w:rPr>
                <w:rFonts w:ascii="Arial" w:cs="Arial" w:eastAsia="Arial" w:hAnsi="Arial"/>
                <w:sz w:val="17"/>
                <w:szCs w:val="17"/>
                <w:b w:val="1"/>
                <w:bCs w:val="1"/>
                <w:color w:val="auto"/>
                <w:w w:val="92"/>
              </w:rPr>
              <w:t>Age Analysis of Mortgage Loans Held for Investment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Greater</w:t>
            </w:r>
          </w:p>
        </w:tc>
        <w:tc>
          <w:tcPr>
            <w:tcW w:w="90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8"/>
              </w:rPr>
              <w:t>In Process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0"/>
              </w:rPr>
              <w:t>Allowance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w w:val="91"/>
              </w:rPr>
              <w:t>60-89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8"/>
              </w:rPr>
              <w:t>Than</w:t>
            </w:r>
          </w:p>
        </w:tc>
        <w:tc>
          <w:tcPr>
            <w:tcW w:w="12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6"/>
              </w:rPr>
              <w:t>of</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Total</w:t>
            </w:r>
          </w:p>
        </w:tc>
        <w:tc>
          <w:tcPr>
            <w:tcW w:w="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6"/>
              </w:rPr>
              <w:t>for</w:t>
            </w:r>
          </w:p>
        </w:tc>
        <w:tc>
          <w:tcPr>
            <w:tcW w:w="1080" w:type="dxa"/>
            <w:vAlign w:val="bottom"/>
            <w:gridSpan w:val="4"/>
          </w:tcPr>
          <w:p>
            <w:pPr>
              <w:ind w:left="20"/>
              <w:spacing w:after="0"/>
              <w:rPr>
                <w:sz w:val="20"/>
                <w:szCs w:val="20"/>
                <w:color w:val="auto"/>
              </w:rPr>
            </w:pPr>
            <w:r>
              <w:rPr>
                <w:rFonts w:ascii="Arial" w:cs="Arial" w:eastAsia="Arial" w:hAnsi="Arial"/>
                <w:sz w:val="17"/>
                <w:szCs w:val="17"/>
                <w:b w:val="1"/>
                <w:bCs w:val="1"/>
                <w:color w:val="auto"/>
              </w:rPr>
              <w:t>Unamortized</w:t>
            </w:r>
          </w:p>
        </w:tc>
        <w:tc>
          <w:tcPr>
            <w:tcW w:w="10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4"/>
              </w:rPr>
              <w:t>Net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30-59 Days</w:t>
            </w:r>
          </w:p>
        </w:tc>
        <w:tc>
          <w:tcPr>
            <w:tcW w:w="10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Days</w:t>
            </w:r>
          </w:p>
        </w:tc>
        <w:tc>
          <w:tcPr>
            <w:tcW w:w="10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7"/>
              </w:rPr>
              <w:t>90 Days</w:t>
            </w:r>
          </w:p>
        </w:tc>
        <w:tc>
          <w:tcPr>
            <w:tcW w:w="900" w:type="dxa"/>
            <w:vAlign w:val="bottom"/>
            <w:gridSpan w:val="3"/>
          </w:tcPr>
          <w:p>
            <w:pPr>
              <w:spacing w:after="0"/>
              <w:rPr>
                <w:sz w:val="20"/>
                <w:szCs w:val="20"/>
                <w:color w:val="auto"/>
              </w:rPr>
            </w:pPr>
            <w:r>
              <w:rPr>
                <w:rFonts w:ascii="Arial" w:cs="Arial" w:eastAsia="Arial" w:hAnsi="Arial"/>
                <w:sz w:val="17"/>
                <w:szCs w:val="17"/>
                <w:b w:val="1"/>
                <w:bCs w:val="1"/>
                <w:color w:val="auto"/>
                <w:w w:val="90"/>
              </w:rPr>
              <w:t>Foreclosure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Total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4"/>
              </w:rPr>
              <w:t>Mortgage</w:t>
            </w:r>
          </w:p>
        </w:tc>
        <w:tc>
          <w:tcPr>
            <w:tcW w:w="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Loan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4"/>
              </w:rPr>
              <w:t>deferred</w:t>
            </w:r>
          </w:p>
        </w:tc>
        <w:tc>
          <w:tcPr>
            <w:tcW w:w="10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4"/>
              </w:rPr>
              <w:t>Mortgage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Past Due</w:t>
            </w:r>
          </w:p>
        </w:tc>
        <w:tc>
          <w:tcPr>
            <w:tcW w:w="88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0"/>
              </w:rPr>
              <w:t>Past Due</w:t>
            </w:r>
          </w:p>
        </w:tc>
        <w:tc>
          <w:tcPr>
            <w:tcW w:w="100" w:type="dxa"/>
            <w:vAlign w:val="bottom"/>
          </w:tcPr>
          <w:p>
            <w:pPr>
              <w:spacing w:after="0"/>
              <w:rPr>
                <w:sz w:val="19"/>
                <w:szCs w:val="19"/>
                <w:color w:val="auto"/>
              </w:rPr>
            </w:pPr>
          </w:p>
        </w:tc>
        <w:tc>
          <w:tcPr>
            <w:tcW w:w="700" w:type="dxa"/>
            <w:vAlign w:val="bottom"/>
          </w:tcPr>
          <w:p>
            <w:pPr>
              <w:jc w:val="center"/>
              <w:ind w:right="14"/>
              <w:spacing w:after="0"/>
              <w:rPr>
                <w:sz w:val="20"/>
                <w:szCs w:val="20"/>
                <w:color w:val="auto"/>
              </w:rPr>
            </w:pPr>
            <w:r>
              <w:rPr>
                <w:rFonts w:ascii="Arial" w:cs="Arial" w:eastAsia="Arial" w:hAnsi="Arial"/>
                <w:sz w:val="17"/>
                <w:szCs w:val="17"/>
                <w:b w:val="1"/>
                <w:bCs w:val="1"/>
                <w:color w:val="auto"/>
                <w:w w:val="96"/>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34"/>
              <w:spacing w:after="0"/>
              <w:rPr>
                <w:sz w:val="20"/>
                <w:szCs w:val="20"/>
                <w:color w:val="auto"/>
              </w:rPr>
            </w:pPr>
            <w:r>
              <w:rPr>
                <w:rFonts w:ascii="Arial" w:cs="Arial" w:eastAsia="Arial" w:hAnsi="Arial"/>
                <w:sz w:val="17"/>
                <w:szCs w:val="17"/>
                <w:b w:val="1"/>
                <w:bCs w:val="1"/>
                <w:color w:val="auto"/>
                <w:w w:val="96"/>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w w:val="87"/>
              </w:rPr>
              <w:t>Past Due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b w:val="1"/>
                <w:bCs w:val="1"/>
                <w:color w:val="auto"/>
              </w:rPr>
              <w:t>Current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Loans</w:t>
            </w:r>
          </w:p>
        </w:tc>
        <w:tc>
          <w:tcPr>
            <w:tcW w:w="80" w:type="dxa"/>
            <w:vAlign w:val="bottom"/>
          </w:tcPr>
          <w:p>
            <w:pPr>
              <w:spacing w:after="0"/>
              <w:rPr>
                <w:sz w:val="19"/>
                <w:szCs w:val="19"/>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78"/>
              </w:rPr>
              <w:t>Losses</w:t>
            </w:r>
          </w:p>
        </w:tc>
        <w:tc>
          <w:tcPr>
            <w:tcW w:w="2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Arial" w:cs="Arial" w:eastAsia="Arial" w:hAnsi="Arial"/>
                <w:sz w:val="17"/>
                <w:szCs w:val="17"/>
                <w:b w:val="1"/>
                <w:bCs w:val="1"/>
                <w:color w:val="auto"/>
                <w:w w:val="95"/>
              </w:rPr>
              <w:t>loan fees, net</w:t>
            </w:r>
          </w:p>
        </w:tc>
        <w:tc>
          <w:tcPr>
            <w:tcW w:w="100" w:type="dxa"/>
            <w:vAlign w:val="bottom"/>
          </w:tcPr>
          <w:p>
            <w:pPr>
              <w:spacing w:after="0"/>
              <w:rPr>
                <w:sz w:val="19"/>
                <w:szCs w:val="19"/>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7"/>
              </w:rPr>
              <w:t>Loans</w:t>
            </w:r>
          </w:p>
        </w:tc>
        <w:tc>
          <w:tcPr>
            <w:tcW w:w="0" w:type="dxa"/>
            <w:vAlign w:val="bottom"/>
          </w:tcPr>
          <w:p>
            <w:pPr>
              <w:spacing w:after="0"/>
              <w:rPr>
                <w:sz w:val="1"/>
                <w:szCs w:val="1"/>
                <w:color w:val="auto"/>
              </w:rPr>
            </w:pPr>
          </w:p>
        </w:tc>
      </w:tr>
      <w:tr>
        <w:trPr>
          <w:trHeight w:val="167"/>
        </w:trPr>
        <w:tc>
          <w:tcPr>
            <w:tcW w:w="1760" w:type="dxa"/>
            <w:vAlign w:val="bottom"/>
            <w:gridSpan w:val="4"/>
          </w:tcPr>
          <w:p>
            <w:pPr>
              <w:spacing w:after="0" w:line="167" w:lineRule="exact"/>
              <w:rPr>
                <w:sz w:val="20"/>
                <w:szCs w:val="20"/>
                <w:color w:val="auto"/>
              </w:rPr>
            </w:pPr>
            <w:r>
              <w:rPr>
                <w:rFonts w:ascii="Arial" w:cs="Arial" w:eastAsia="Arial" w:hAnsi="Arial"/>
                <w:sz w:val="17"/>
                <w:szCs w:val="17"/>
                <w:b w:val="1"/>
                <w:bCs w:val="1"/>
                <w:color w:val="auto"/>
              </w:rPr>
              <w:t>March 31, 2018</w:t>
            </w: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Commercial</w:t>
            </w:r>
          </w:p>
        </w:tc>
        <w:tc>
          <w:tcPr>
            <w:tcW w:w="620" w:type="dxa"/>
            <w:vAlign w:val="bottom"/>
            <w:gridSpan w:val="2"/>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5,211,276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5,211,276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47,173,100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52,384,376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(187,129)</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(67,717)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52,129,530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Arial" w:cs="Arial" w:eastAsia="Arial" w:hAnsi="Arial"/>
                <w:sz w:val="17"/>
                <w:szCs w:val="17"/>
                <w:color w:val="auto"/>
              </w:rPr>
              <w:t>Residential</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7,223,352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1,150,067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2,800,231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2,562,732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w w:val="86"/>
              </w:rPr>
              <w:t>13,736,382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87,928,982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101,665,364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(1,474,022)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(1,125,974)</w:t>
            </w: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99,065,368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3"/>
              </w:rPr>
              <w:t>Residential Construction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441,310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441,310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53,812,744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54,254,054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(35,220)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(423,826)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53,795,008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12,875,938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1,150,067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2,800,231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2,562,732</w:t>
            </w:r>
          </w:p>
        </w:tc>
        <w:tc>
          <w:tcPr>
            <w:tcW w:w="6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6"/>
              </w:rPr>
              <w:t>19,388,968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188,914,826</w:t>
            </w: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208,303,794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0"/>
              </w:rPr>
              <w:t>(1,696,371) $</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xml:space="preserve">(1,617,517) </w:t>
            </w:r>
            <w:r>
              <w:rPr>
                <w:rFonts w:ascii="Arial" w:cs="Arial" w:eastAsia="Arial" w:hAnsi="Arial"/>
                <w:sz w:val="17"/>
                <w:szCs w:val="17"/>
                <w:u w:val="single" w:color="auto"/>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204,989,906</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360" w:type="dxa"/>
            <w:vAlign w:val="bottom"/>
            <w:tcBorders>
              <w:bottom w:val="single" w:sz="8" w:color="auto"/>
            </w:tcBorders>
            <w:gridSpan w:val="2"/>
            <w:shd w:val="clear" w:color="auto" w:fill="CCEEFF"/>
          </w:tcPr>
          <w:p>
            <w:pPr>
              <w:spacing w:after="0" w:line="167" w:lineRule="exact"/>
              <w:rPr>
                <w:sz w:val="20"/>
                <w:szCs w:val="20"/>
                <w:color w:val="auto"/>
              </w:rPr>
            </w:pPr>
            <w:r>
              <w:rPr>
                <w:rFonts w:ascii="Arial" w:cs="Arial" w:eastAsia="Arial" w:hAnsi="Arial"/>
                <w:sz w:val="17"/>
                <w:szCs w:val="17"/>
                <w:b w:val="1"/>
                <w:bCs w:val="1"/>
                <w:color w:val="auto"/>
                <w:w w:val="87"/>
                <w:shd w:val="clear" w:color="auto" w:fill="CCEEFF"/>
              </w:rPr>
              <w:t>December 31, 2017</w:t>
            </w: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Arial" w:cs="Arial" w:eastAsia="Arial" w:hAnsi="Arial"/>
                <w:sz w:val="17"/>
                <w:szCs w:val="17"/>
                <w:color w:val="auto"/>
              </w:rPr>
              <w:t>Commercial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1,943,495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1,943,495</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53,011,370</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54,954,865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(187,129)</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(67,411)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54,700,325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6,613,479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495,347</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3,591,333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1,332,219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6"/>
              </w:rPr>
              <w:t>12,032,378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90,494,733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102,527,111</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(1,546,447)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(1,164,130)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99,816,534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7"/>
                <w:szCs w:val="17"/>
                <w:color w:val="auto"/>
                <w:w w:val="93"/>
              </w:rPr>
              <w:t>Residential Construction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461,834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461,834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49,695,699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50,157,533</w:t>
            </w: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(35,220)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(428,287)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49,694,026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740" w:type="dxa"/>
            <w:vAlign w:val="bottom"/>
            <w:gridSpan w:val="3"/>
          </w:tcPr>
          <w:p>
            <w:pPr>
              <w:spacing w:after="0"/>
              <w:rPr>
                <w:sz w:val="20"/>
                <w:szCs w:val="20"/>
                <w:color w:val="auto"/>
              </w:rPr>
            </w:pPr>
            <w:r>
              <w:rPr>
                <w:rFonts w:ascii="Arial" w:cs="Arial" w:eastAsia="Arial" w:hAnsi="Arial"/>
                <w:sz w:val="17"/>
                <w:szCs w:val="17"/>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8,556,974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495,347</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4,053,167</w:t>
            </w: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1,332,219</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w w:val="86"/>
              </w:rPr>
              <w:t>14,437,707</w:t>
            </w: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193,201,802</w:t>
            </w: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207,639,509</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(1,768,796)</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 xml:space="preserve">(1,659,828) </w:t>
            </w: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204,210,885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(1) Interest income is not recognized on loans past due greater than 90 days or in foreclosure.</w:t>
      </w: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04" w:lineRule="exact"/>
        <w:rPr>
          <w:sz w:val="20"/>
          <w:szCs w:val="20"/>
          <w:color w:val="auto"/>
        </w:rPr>
      </w:pPr>
    </w:p>
    <w:p>
      <w:pPr>
        <w:ind w:left="280" w:hanging="277"/>
        <w:spacing w:after="0"/>
        <w:tabs>
          <w:tab w:leader="none" w:pos="28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Impaired Mortgage Loans Held for Investment</w:t>
      </w:r>
    </w:p>
    <w:p>
      <w:pPr>
        <w:spacing w:after="0" w:line="2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were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4"/>
          </w:tcPr>
          <w:p>
            <w:pPr>
              <w:jc w:val="right"/>
              <w:ind w:right="574"/>
              <w:spacing w:after="0"/>
              <w:rPr>
                <w:sz w:val="20"/>
                <w:szCs w:val="20"/>
                <w:color w:val="auto"/>
              </w:rPr>
            </w:pPr>
            <w:r>
              <w:rPr>
                <w:rFonts w:ascii="Arial" w:cs="Arial" w:eastAsia="Arial" w:hAnsi="Arial"/>
                <w:sz w:val="17"/>
                <w:szCs w:val="17"/>
                <w:b w:val="1"/>
                <w:bCs w:val="1"/>
                <w:color w:val="auto"/>
                <w:w w:val="98"/>
              </w:rPr>
              <w:t>Impaired Loans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4"/>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94"/>
              <w:spacing w:after="0"/>
              <w:rPr>
                <w:sz w:val="20"/>
                <w:szCs w:val="20"/>
                <w:color w:val="auto"/>
              </w:rPr>
            </w:pPr>
            <w:r>
              <w:rPr>
                <w:rFonts w:ascii="Arial" w:cs="Arial" w:eastAsia="Arial" w:hAnsi="Arial"/>
                <w:sz w:val="17"/>
                <w:szCs w:val="17"/>
                <w:b w:val="1"/>
                <w:bCs w:val="1"/>
                <w:color w:val="auto"/>
              </w:rPr>
              <w:t>Unpaid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Average</w:t>
            </w:r>
          </w:p>
        </w:tc>
        <w:tc>
          <w:tcPr>
            <w:tcW w:w="140" w:type="dxa"/>
            <w:vAlign w:val="bottom"/>
          </w:tcPr>
          <w:p>
            <w:pPr>
              <w:spacing w:after="0"/>
              <w:rPr>
                <w:sz w:val="24"/>
                <w:szCs w:val="24"/>
                <w:color w:val="auto"/>
              </w:rPr>
            </w:pPr>
          </w:p>
        </w:tc>
        <w:tc>
          <w:tcPr>
            <w:tcW w:w="780" w:type="dxa"/>
            <w:vAlign w:val="bottom"/>
          </w:tcPr>
          <w:p>
            <w:pPr>
              <w:jc w:val="center"/>
              <w:ind w:right="54"/>
              <w:spacing w:after="0"/>
              <w:rPr>
                <w:sz w:val="20"/>
                <w:szCs w:val="20"/>
                <w:color w:val="auto"/>
              </w:rPr>
            </w:pPr>
            <w:r>
              <w:rPr>
                <w:rFonts w:ascii="Arial" w:cs="Arial" w:eastAsia="Arial" w:hAnsi="Arial"/>
                <w:sz w:val="17"/>
                <w:szCs w:val="17"/>
                <w:b w:val="1"/>
                <w:bCs w:val="1"/>
                <w:color w:val="auto"/>
                <w:w w:val="91"/>
              </w:rPr>
              <w:t>Interest</w:t>
            </w:r>
          </w:p>
        </w:tc>
        <w:tc>
          <w:tcPr>
            <w:tcW w:w="80" w:type="dxa"/>
            <w:vAlign w:val="bottom"/>
          </w:tcPr>
          <w:p>
            <w:pPr>
              <w:spacing w:after="0"/>
              <w:rPr>
                <w:sz w:val="24"/>
                <w:szCs w:val="24"/>
                <w:color w:val="auto"/>
              </w:rPr>
            </w:pPr>
          </w:p>
        </w:tc>
      </w:tr>
      <w:tr>
        <w:trPr>
          <w:trHeight w:val="205"/>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89"/>
              </w:rPr>
              <w:t>Recorded</w:t>
            </w:r>
          </w:p>
        </w:tc>
        <w:tc>
          <w:tcPr>
            <w:tcW w:w="120" w:type="dxa"/>
            <w:vAlign w:val="bottom"/>
          </w:tcPr>
          <w:p>
            <w:pPr>
              <w:spacing w:after="0"/>
              <w:rPr>
                <w:sz w:val="17"/>
                <w:szCs w:val="17"/>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b w:val="1"/>
                <w:bCs w:val="1"/>
                <w:color w:val="auto"/>
                <w:w w:val="94"/>
              </w:rPr>
              <w:t>Principal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Related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Recorded</w:t>
            </w:r>
          </w:p>
        </w:tc>
        <w:tc>
          <w:tcPr>
            <w:tcW w:w="140" w:type="dxa"/>
            <w:vAlign w:val="bottom"/>
          </w:tcPr>
          <w:p>
            <w:pPr>
              <w:spacing w:after="0"/>
              <w:rPr>
                <w:sz w:val="17"/>
                <w:szCs w:val="17"/>
                <w:color w:val="auto"/>
              </w:rPr>
            </w:pPr>
          </w:p>
        </w:tc>
        <w:tc>
          <w:tcPr>
            <w:tcW w:w="780" w:type="dxa"/>
            <w:vAlign w:val="bottom"/>
          </w:tcPr>
          <w:p>
            <w:pPr>
              <w:jc w:val="center"/>
              <w:ind w:right="74"/>
              <w:spacing w:after="0"/>
              <w:rPr>
                <w:sz w:val="20"/>
                <w:szCs w:val="20"/>
                <w:color w:val="auto"/>
              </w:rPr>
            </w:pPr>
            <w:r>
              <w:rPr>
                <w:rFonts w:ascii="Arial" w:cs="Arial" w:eastAsia="Arial" w:hAnsi="Arial"/>
                <w:sz w:val="17"/>
                <w:szCs w:val="17"/>
                <w:b w:val="1"/>
                <w:bCs w:val="1"/>
                <w:color w:val="auto"/>
                <w:w w:val="90"/>
              </w:rPr>
              <w:t>Income</w:t>
            </w:r>
          </w:p>
        </w:tc>
        <w:tc>
          <w:tcPr>
            <w:tcW w:w="80" w:type="dxa"/>
            <w:vAlign w:val="bottom"/>
          </w:tcPr>
          <w:p>
            <w:pPr>
              <w:spacing w:after="0"/>
              <w:rPr>
                <w:sz w:val="17"/>
                <w:szCs w:val="17"/>
                <w:color w:val="auto"/>
              </w:rPr>
            </w:pPr>
          </w:p>
        </w:tc>
      </w:tr>
      <w:tr>
        <w:trPr>
          <w:trHeight w:val="229"/>
        </w:trPr>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w w:val="95"/>
              </w:rPr>
              <w:t>Investment</w:t>
            </w:r>
          </w:p>
        </w:tc>
        <w:tc>
          <w:tcPr>
            <w:tcW w:w="120" w:type="dxa"/>
            <w:vAlign w:val="bottom"/>
          </w:tcPr>
          <w:p>
            <w:pPr>
              <w:spacing w:after="0"/>
              <w:rPr>
                <w:sz w:val="19"/>
                <w:szCs w:val="19"/>
                <w:color w:val="auto"/>
              </w:rPr>
            </w:pPr>
          </w:p>
        </w:tc>
        <w:tc>
          <w:tcPr>
            <w:tcW w:w="800" w:type="dxa"/>
            <w:vAlign w:val="bottom"/>
          </w:tcPr>
          <w:p>
            <w:pPr>
              <w:jc w:val="right"/>
              <w:ind w:right="74"/>
              <w:spacing w:after="0"/>
              <w:rPr>
                <w:sz w:val="20"/>
                <w:szCs w:val="20"/>
                <w:color w:val="auto"/>
              </w:rPr>
            </w:pPr>
            <w:r>
              <w:rPr>
                <w:rFonts w:ascii="Arial" w:cs="Arial" w:eastAsia="Arial" w:hAnsi="Arial"/>
                <w:sz w:val="17"/>
                <w:szCs w:val="17"/>
                <w:b w:val="1"/>
                <w:bCs w:val="1"/>
                <w:color w:val="auto"/>
                <w:w w:val="95"/>
              </w:rPr>
              <w:t>Balance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Allowance</w:t>
            </w:r>
          </w:p>
        </w:tc>
        <w:tc>
          <w:tcPr>
            <w:tcW w:w="100" w:type="dxa"/>
            <w:vAlign w:val="bottom"/>
          </w:tcPr>
          <w:p>
            <w:pPr>
              <w:spacing w:after="0"/>
              <w:rPr>
                <w:sz w:val="19"/>
                <w:szCs w:val="19"/>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1"/>
              </w:rPr>
              <w:t>Investment</w:t>
            </w:r>
          </w:p>
        </w:tc>
        <w:tc>
          <w:tcPr>
            <w:tcW w:w="9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7"/>
              </w:rPr>
              <w:t>Recognized</w:t>
            </w:r>
          </w:p>
        </w:tc>
        <w:tc>
          <w:tcPr>
            <w:tcW w:w="80" w:type="dxa"/>
            <w:vAlign w:val="bottom"/>
          </w:tcPr>
          <w:p>
            <w:pPr>
              <w:spacing w:after="0"/>
              <w:rPr>
                <w:sz w:val="19"/>
                <w:szCs w:val="19"/>
                <w:color w:val="auto"/>
              </w:rPr>
            </w:pPr>
          </w:p>
        </w:tc>
      </w:tr>
      <w:tr>
        <w:trPr>
          <w:trHeight w:val="167"/>
        </w:trPr>
        <w:tc>
          <w:tcPr>
            <w:tcW w:w="114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b w:val="1"/>
                <w:bCs w:val="1"/>
                <w:color w:val="auto"/>
                <w:w w:val="92"/>
              </w:rPr>
              <w:t>March 31, 2018</w:t>
            </w:r>
          </w:p>
        </w:tc>
        <w:tc>
          <w:tcPr>
            <w:tcW w:w="198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3120" w:type="dxa"/>
            <w:vAlign w:val="bottom"/>
            <w:gridSpan w:val="3"/>
          </w:tcPr>
          <w:p>
            <w:pPr>
              <w:spacing w:after="0"/>
              <w:rPr>
                <w:sz w:val="20"/>
                <w:szCs w:val="20"/>
                <w:color w:val="auto"/>
              </w:rPr>
            </w:pPr>
            <w:r>
              <w:rPr>
                <w:rFonts w:ascii="Arial" w:cs="Arial" w:eastAsia="Arial" w:hAnsi="Arial"/>
                <w:sz w:val="17"/>
                <w:szCs w:val="17"/>
                <w:color w:val="auto"/>
              </w:rPr>
              <w:t>With no related allowance recorded: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3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Commercial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120" w:type="dxa"/>
            <w:vAlign w:val="bottom"/>
            <w:gridSpan w:val="3"/>
          </w:tcPr>
          <w:p>
            <w:pPr>
              <w:ind w:left="140"/>
              <w:spacing w:after="0"/>
              <w:rPr>
                <w:sz w:val="20"/>
                <w:szCs w:val="20"/>
                <w:color w:val="auto"/>
              </w:rPr>
            </w:pPr>
            <w:r>
              <w:rPr>
                <w:rFonts w:ascii="Arial" w:cs="Arial" w:eastAsia="Arial" w:hAnsi="Arial"/>
                <w:sz w:val="17"/>
                <w:szCs w:val="17"/>
                <w:color w:val="auto"/>
              </w:rPr>
              <w:t>Residential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3,653,126</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3,653,126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3,653,126</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3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Residential construction</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With an allowance recorded:</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3120" w:type="dxa"/>
            <w:vAlign w:val="bottom"/>
            <w:gridSpan w:val="3"/>
          </w:tcPr>
          <w:p>
            <w:pPr>
              <w:ind w:left="140"/>
              <w:spacing w:after="0"/>
              <w:rPr>
                <w:sz w:val="20"/>
                <w:szCs w:val="20"/>
                <w:color w:val="auto"/>
              </w:rPr>
            </w:pPr>
            <w:r>
              <w:rPr>
                <w:rFonts w:ascii="Arial" w:cs="Arial" w:eastAsia="Arial" w:hAnsi="Arial"/>
                <w:sz w:val="17"/>
                <w:szCs w:val="17"/>
                <w:color w:val="auto"/>
              </w:rPr>
              <w:t>Commercial</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3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Residential</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1,709,837</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1,709,837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292,220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1,709,837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120" w:type="dxa"/>
            <w:vAlign w:val="bottom"/>
            <w:gridSpan w:val="3"/>
          </w:tcPr>
          <w:p>
            <w:pPr>
              <w:ind w:left="140"/>
              <w:spacing w:after="0"/>
              <w:rPr>
                <w:sz w:val="20"/>
                <w:szCs w:val="20"/>
                <w:color w:val="auto"/>
              </w:rPr>
            </w:pPr>
            <w:r>
              <w:rPr>
                <w:rFonts w:ascii="Arial" w:cs="Arial" w:eastAsia="Arial" w:hAnsi="Arial"/>
                <w:sz w:val="17"/>
                <w:szCs w:val="17"/>
                <w:color w:val="auto"/>
              </w:rPr>
              <w:t>Residential construction</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3120" w:type="dxa"/>
            <w:vAlign w:val="bottom"/>
            <w:gridSpan w:val="3"/>
          </w:tcPr>
          <w:p>
            <w:pPr>
              <w:spacing w:after="0"/>
              <w:rPr>
                <w:sz w:val="20"/>
                <w:szCs w:val="20"/>
                <w:color w:val="auto"/>
              </w:rPr>
            </w:pPr>
            <w:r>
              <w:rPr>
                <w:rFonts w:ascii="Arial" w:cs="Arial" w:eastAsia="Arial" w:hAnsi="Arial"/>
                <w:sz w:val="17"/>
                <w:szCs w:val="17"/>
                <w:color w:val="auto"/>
              </w:rPr>
              <w:t>Total: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Commercial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120" w:type="dxa"/>
            <w:vAlign w:val="bottom"/>
            <w:gridSpan w:val="3"/>
          </w:tcPr>
          <w:p>
            <w:pPr>
              <w:ind w:left="140"/>
              <w:spacing w:after="0"/>
              <w:rPr>
                <w:sz w:val="20"/>
                <w:szCs w:val="20"/>
                <w:color w:val="auto"/>
              </w:rPr>
            </w:pPr>
            <w:r>
              <w:rPr>
                <w:rFonts w:ascii="Arial" w:cs="Arial" w:eastAsia="Arial" w:hAnsi="Arial"/>
                <w:sz w:val="17"/>
                <w:szCs w:val="17"/>
                <w:color w:val="auto"/>
              </w:rPr>
              <w:t>Residential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5,362,963</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5,362,963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292,220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5,362,963</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3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Residential construction</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7"/>
        </w:trPr>
        <w:tc>
          <w:tcPr>
            <w:tcW w:w="3120" w:type="dxa"/>
            <w:vAlign w:val="bottom"/>
            <w:gridSpan w:val="3"/>
            <w:shd w:val="clear" w:color="auto" w:fill="CCEEFF"/>
          </w:tcPr>
          <w:p>
            <w:pPr>
              <w:spacing w:after="0" w:line="167" w:lineRule="exact"/>
              <w:rPr>
                <w:sz w:val="20"/>
                <w:szCs w:val="20"/>
                <w:color w:val="auto"/>
              </w:rPr>
            </w:pPr>
            <w:r>
              <w:rPr>
                <w:rFonts w:ascii="Arial" w:cs="Arial" w:eastAsia="Arial" w:hAnsi="Arial"/>
                <w:sz w:val="17"/>
                <w:szCs w:val="17"/>
                <w:b w:val="1"/>
                <w:bCs w:val="1"/>
                <w:color w:val="auto"/>
                <w:shd w:val="clear" w:color="auto" w:fill="CCEEFF"/>
              </w:rPr>
              <w:t>December 31, 2017</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39"/>
        </w:trPr>
        <w:tc>
          <w:tcPr>
            <w:tcW w:w="114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205"/>
        </w:trPr>
        <w:tc>
          <w:tcPr>
            <w:tcW w:w="3120" w:type="dxa"/>
            <w:vAlign w:val="bottom"/>
            <w:gridSpan w:val="3"/>
          </w:tcPr>
          <w:p>
            <w:pPr>
              <w:spacing w:after="0"/>
              <w:rPr>
                <w:sz w:val="20"/>
                <w:szCs w:val="20"/>
                <w:color w:val="auto"/>
              </w:rPr>
            </w:pPr>
            <w:r>
              <w:rPr>
                <w:rFonts w:ascii="Arial" w:cs="Arial" w:eastAsia="Arial" w:hAnsi="Arial"/>
                <w:sz w:val="17"/>
                <w:szCs w:val="17"/>
                <w:color w:val="auto"/>
              </w:rPr>
              <w:t>With no related allowance recorded:</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Commercial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365,220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120" w:type="dxa"/>
            <w:vAlign w:val="bottom"/>
            <w:gridSpan w:val="3"/>
          </w:tcPr>
          <w:p>
            <w:pPr>
              <w:ind w:left="140"/>
              <w:spacing w:after="0"/>
              <w:rPr>
                <w:sz w:val="20"/>
                <w:szCs w:val="20"/>
                <w:color w:val="auto"/>
              </w:rPr>
            </w:pPr>
            <w:r>
              <w:rPr>
                <w:rFonts w:ascii="Arial" w:cs="Arial" w:eastAsia="Arial" w:hAnsi="Arial"/>
                <w:sz w:val="17"/>
                <w:szCs w:val="17"/>
                <w:color w:val="auto"/>
              </w:rPr>
              <w:t>Residential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3,322,552</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3,322,552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3,290,094</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3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Residential construction</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461,834</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461,834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277,232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With an allowance recorded:</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3120" w:type="dxa"/>
            <w:vAlign w:val="bottom"/>
            <w:gridSpan w:val="3"/>
          </w:tcPr>
          <w:p>
            <w:pPr>
              <w:ind w:left="140"/>
              <w:spacing w:after="0"/>
              <w:rPr>
                <w:sz w:val="20"/>
                <w:szCs w:val="20"/>
                <w:color w:val="auto"/>
              </w:rPr>
            </w:pPr>
            <w:r>
              <w:rPr>
                <w:rFonts w:ascii="Arial" w:cs="Arial" w:eastAsia="Arial" w:hAnsi="Arial"/>
                <w:sz w:val="17"/>
                <w:szCs w:val="17"/>
                <w:color w:val="auto"/>
              </w:rPr>
              <w:t>Commercial</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3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Residential</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1,601,000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1,601,000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237,560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1,350,115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120" w:type="dxa"/>
            <w:vAlign w:val="bottom"/>
            <w:gridSpan w:val="3"/>
          </w:tcPr>
          <w:p>
            <w:pPr>
              <w:ind w:left="140"/>
              <w:spacing w:after="0"/>
              <w:rPr>
                <w:sz w:val="20"/>
                <w:szCs w:val="20"/>
                <w:color w:val="auto"/>
              </w:rPr>
            </w:pPr>
            <w:r>
              <w:rPr>
                <w:rFonts w:ascii="Arial" w:cs="Arial" w:eastAsia="Arial" w:hAnsi="Arial"/>
                <w:sz w:val="17"/>
                <w:szCs w:val="17"/>
                <w:color w:val="auto"/>
              </w:rPr>
              <w:t>Residential construction</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3120" w:type="dxa"/>
            <w:vAlign w:val="bottom"/>
            <w:gridSpan w:val="3"/>
          </w:tcPr>
          <w:p>
            <w:pPr>
              <w:spacing w:after="0"/>
              <w:rPr>
                <w:sz w:val="20"/>
                <w:szCs w:val="20"/>
                <w:color w:val="auto"/>
              </w:rPr>
            </w:pPr>
            <w:r>
              <w:rPr>
                <w:rFonts w:ascii="Arial" w:cs="Arial" w:eastAsia="Arial" w:hAnsi="Arial"/>
                <w:sz w:val="17"/>
                <w:szCs w:val="17"/>
                <w:color w:val="auto"/>
              </w:rPr>
              <w:t>Total: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Commercial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365,220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120" w:type="dxa"/>
            <w:vAlign w:val="bottom"/>
            <w:gridSpan w:val="3"/>
          </w:tcPr>
          <w:p>
            <w:pPr>
              <w:ind w:left="140"/>
              <w:spacing w:after="0"/>
              <w:rPr>
                <w:sz w:val="20"/>
                <w:szCs w:val="20"/>
                <w:color w:val="auto"/>
              </w:rPr>
            </w:pPr>
            <w:r>
              <w:rPr>
                <w:rFonts w:ascii="Arial" w:cs="Arial" w:eastAsia="Arial" w:hAnsi="Arial"/>
                <w:sz w:val="17"/>
                <w:szCs w:val="17"/>
                <w:color w:val="auto"/>
              </w:rPr>
              <w:t>Residential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4,923,552</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4,923,552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237,560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4,640,209</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3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Residential construction</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461,834</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461,834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277,232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Risk Profile Based on Performance Status</w:t>
      </w: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80" w:hanging="277"/>
        <w:spacing w:after="0"/>
        <w:tabs>
          <w:tab w:leader="none" w:pos="28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The Company's performing and non-performing mortgage loans held for investment were as follows:</w:t>
      </w:r>
    </w:p>
    <w:p>
      <w:pPr>
        <w:spacing w:after="0" w:line="26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Mortgage Loans Held for Investment Credit Exposure</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Credit Risk Profile Based on Payment Activity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40" w:type="dxa"/>
            <w:vAlign w:val="bottom"/>
            <w:gridSpan w:val="4"/>
          </w:tcPr>
          <w:p>
            <w:pPr>
              <w:ind w:left="560"/>
              <w:spacing w:after="0"/>
              <w:rPr>
                <w:sz w:val="20"/>
                <w:szCs w:val="20"/>
                <w:color w:val="auto"/>
              </w:rPr>
            </w:pPr>
            <w:r>
              <w:rPr>
                <w:rFonts w:ascii="Arial" w:cs="Arial" w:eastAsia="Arial" w:hAnsi="Arial"/>
                <w:sz w:val="17"/>
                <w:szCs w:val="17"/>
                <w:b w:val="1"/>
                <w:bCs w:val="1"/>
                <w:color w:val="auto"/>
              </w:rPr>
              <w:t>Commercial</w:t>
            </w:r>
          </w:p>
        </w:tc>
        <w:tc>
          <w:tcPr>
            <w:tcW w:w="100" w:type="dxa"/>
            <w:vAlign w:val="bottom"/>
          </w:tcPr>
          <w:p>
            <w:pPr>
              <w:spacing w:after="0"/>
              <w:rPr>
                <w:sz w:val="19"/>
                <w:szCs w:val="19"/>
                <w:color w:val="auto"/>
              </w:rPr>
            </w:pPr>
          </w:p>
        </w:tc>
        <w:tc>
          <w:tcPr>
            <w:tcW w:w="2120" w:type="dxa"/>
            <w:vAlign w:val="bottom"/>
            <w:gridSpan w:val="5"/>
          </w:tcPr>
          <w:p>
            <w:pPr>
              <w:ind w:left="560"/>
              <w:spacing w:after="0"/>
              <w:rPr>
                <w:sz w:val="20"/>
                <w:szCs w:val="20"/>
                <w:color w:val="auto"/>
              </w:rPr>
            </w:pPr>
            <w:r>
              <w:rPr>
                <w:rFonts w:ascii="Arial" w:cs="Arial" w:eastAsia="Arial" w:hAnsi="Arial"/>
                <w:sz w:val="17"/>
                <w:szCs w:val="17"/>
                <w:b w:val="1"/>
                <w:bCs w:val="1"/>
                <w:color w:val="auto"/>
              </w:rPr>
              <w:t>Residential</w:t>
            </w:r>
          </w:p>
        </w:tc>
        <w:tc>
          <w:tcPr>
            <w:tcW w:w="100" w:type="dxa"/>
            <w:vAlign w:val="bottom"/>
          </w:tcPr>
          <w:p>
            <w:pPr>
              <w:spacing w:after="0"/>
              <w:rPr>
                <w:sz w:val="19"/>
                <w:szCs w:val="19"/>
                <w:color w:val="auto"/>
              </w:rPr>
            </w:pPr>
          </w:p>
        </w:tc>
        <w:tc>
          <w:tcPr>
            <w:tcW w:w="2220" w:type="dxa"/>
            <w:vAlign w:val="bottom"/>
            <w:gridSpan w:val="4"/>
          </w:tcPr>
          <w:p>
            <w:pPr>
              <w:jc w:val="right"/>
              <w:ind w:right="300"/>
              <w:spacing w:after="0"/>
              <w:rPr>
                <w:sz w:val="20"/>
                <w:szCs w:val="20"/>
                <w:color w:val="auto"/>
              </w:rPr>
            </w:pPr>
            <w:r>
              <w:rPr>
                <w:rFonts w:ascii="Arial" w:cs="Arial" w:eastAsia="Arial" w:hAnsi="Arial"/>
                <w:sz w:val="17"/>
                <w:szCs w:val="17"/>
                <w:b w:val="1"/>
                <w:bCs w:val="1"/>
                <w:color w:val="auto"/>
                <w:w w:val="94"/>
              </w:rPr>
              <w:t>Residential Construction</w:t>
            </w:r>
          </w:p>
        </w:tc>
        <w:tc>
          <w:tcPr>
            <w:tcW w:w="2120" w:type="dxa"/>
            <w:vAlign w:val="bottom"/>
            <w:gridSpan w:val="4"/>
          </w:tcPr>
          <w:p>
            <w:pPr>
              <w:jc w:val="right"/>
              <w:ind w:right="794"/>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b w:val="1"/>
                <w:bCs w:val="1"/>
                <w:color w:val="auto"/>
                <w:w w:val="97"/>
              </w:rPr>
              <w:t>December</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4"/>
              <w:spacing w:after="0" w:line="187" w:lineRule="exact"/>
              <w:rPr>
                <w:sz w:val="20"/>
                <w:szCs w:val="20"/>
                <w:color w:val="auto"/>
              </w:rPr>
            </w:pPr>
            <w:r>
              <w:rPr>
                <w:rFonts w:ascii="Arial" w:cs="Arial" w:eastAsia="Arial" w:hAnsi="Arial"/>
                <w:sz w:val="17"/>
                <w:szCs w:val="17"/>
                <w:b w:val="1"/>
                <w:bCs w:val="1"/>
                <w:color w:val="auto"/>
                <w:w w:val="89"/>
              </w:rPr>
              <w:t>December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b w:val="1"/>
                <w:bCs w:val="1"/>
                <w:color w:val="auto"/>
                <w:w w:val="97"/>
              </w:rPr>
              <w:t>December</w:t>
            </w:r>
          </w:p>
        </w:tc>
        <w:tc>
          <w:tcPr>
            <w:tcW w:w="2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4"/>
              <w:spacing w:after="0" w:line="187" w:lineRule="exact"/>
              <w:rPr>
                <w:sz w:val="20"/>
                <w:szCs w:val="20"/>
                <w:color w:val="auto"/>
              </w:rPr>
            </w:pPr>
            <w:r>
              <w:rPr>
                <w:rFonts w:ascii="Arial" w:cs="Arial" w:eastAsia="Arial" w:hAnsi="Arial"/>
                <w:sz w:val="17"/>
                <w:szCs w:val="17"/>
                <w:b w:val="1"/>
                <w:bCs w:val="1"/>
                <w:color w:val="auto"/>
              </w:rPr>
              <w:t>December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March 31,</w:t>
            </w:r>
          </w:p>
        </w:tc>
        <w:tc>
          <w:tcPr>
            <w:tcW w:w="1120" w:type="dxa"/>
            <w:vAlign w:val="bottom"/>
            <w:gridSpan w:val="2"/>
          </w:tcPr>
          <w:p>
            <w:pPr>
              <w:jc w:val="center"/>
              <w:ind w:left="134"/>
              <w:spacing w:after="0"/>
              <w:rPr>
                <w:sz w:val="20"/>
                <w:szCs w:val="20"/>
                <w:color w:val="auto"/>
              </w:rPr>
            </w:pPr>
            <w:r>
              <w:rPr>
                <w:rFonts w:ascii="Arial" w:cs="Arial" w:eastAsia="Arial" w:hAnsi="Arial"/>
                <w:sz w:val="17"/>
                <w:szCs w:val="17"/>
                <w:b w:val="1"/>
                <w:bCs w:val="1"/>
                <w:color w:val="auto"/>
                <w:w w:val="92"/>
              </w:rPr>
              <w:t>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6"/>
              </w:rPr>
              <w:t>March 31,</w:t>
            </w:r>
          </w:p>
        </w:tc>
        <w:tc>
          <w:tcPr>
            <w:tcW w:w="100" w:type="dxa"/>
            <w:vAlign w:val="bottom"/>
          </w:tcPr>
          <w:p>
            <w:pPr>
              <w:spacing w:after="0"/>
              <w:rPr>
                <w:sz w:val="17"/>
                <w:szCs w:val="17"/>
                <w:color w:val="auto"/>
              </w:rPr>
            </w:pPr>
          </w:p>
        </w:tc>
        <w:tc>
          <w:tcPr>
            <w:tcW w:w="860" w:type="dxa"/>
            <w:vAlign w:val="bottom"/>
          </w:tcPr>
          <w:p>
            <w:pPr>
              <w:jc w:val="right"/>
              <w:ind w:right="274"/>
              <w:spacing w:after="0"/>
              <w:rPr>
                <w:sz w:val="20"/>
                <w:szCs w:val="20"/>
                <w:color w:val="auto"/>
              </w:rPr>
            </w:pPr>
            <w:r>
              <w:rPr>
                <w:rFonts w:ascii="Arial" w:cs="Arial" w:eastAsia="Arial" w:hAnsi="Arial"/>
                <w:sz w:val="17"/>
                <w:szCs w:val="17"/>
                <w:b w:val="1"/>
                <w:bCs w:val="1"/>
                <w:color w:val="auto"/>
              </w:rPr>
              <w:t>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March 31,</w:t>
            </w: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84"/>
              </w:rPr>
              <w:t>31,</w:t>
            </w:r>
          </w:p>
        </w:tc>
        <w:tc>
          <w:tcPr>
            <w:tcW w:w="22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Arial" w:cs="Arial" w:eastAsia="Arial" w:hAnsi="Arial"/>
                <w:sz w:val="17"/>
                <w:szCs w:val="17"/>
                <w:b w:val="1"/>
                <w:bCs w:val="1"/>
                <w:color w:val="auto"/>
              </w:rPr>
              <w:t>March 31,</w:t>
            </w:r>
          </w:p>
        </w:tc>
        <w:tc>
          <w:tcPr>
            <w:tcW w:w="1060" w:type="dxa"/>
            <w:vAlign w:val="bottom"/>
            <w:gridSpan w:val="2"/>
          </w:tcPr>
          <w:p>
            <w:pPr>
              <w:jc w:val="center"/>
              <w:ind w:left="14"/>
              <w:spacing w:after="0"/>
              <w:rPr>
                <w:sz w:val="20"/>
                <w:szCs w:val="20"/>
                <w:color w:val="auto"/>
              </w:rPr>
            </w:pPr>
            <w:r>
              <w:rPr>
                <w:rFonts w:ascii="Arial" w:cs="Arial" w:eastAsia="Arial" w:hAnsi="Arial"/>
                <w:sz w:val="17"/>
                <w:szCs w:val="17"/>
                <w:b w:val="1"/>
                <w:bCs w:val="1"/>
                <w:color w:val="auto"/>
                <w:w w:val="84"/>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2018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2018</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2017</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200" w:type="dxa"/>
            <w:vAlign w:val="bottom"/>
            <w:gridSpan w:val="3"/>
          </w:tcPr>
          <w:p>
            <w:pPr>
              <w:spacing w:after="0"/>
              <w:rPr>
                <w:sz w:val="17"/>
                <w:szCs w:val="17"/>
                <w:color w:val="auto"/>
              </w:rPr>
            </w:pPr>
          </w:p>
        </w:tc>
        <w:tc>
          <w:tcPr>
            <w:tcW w:w="112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Performing</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$ 52,384,376</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$ 54,954,865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96,302,401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97,603,559</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98"/>
              </w:rPr>
              <w:t>$ 54,254,054</w:t>
            </w: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0"/>
              </w:rPr>
              <w:t>$ 49,695,699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6"/>
              </w:rPr>
              <w:t>$ 202,940,831</w:t>
            </w:r>
          </w:p>
        </w:tc>
        <w:tc>
          <w:tcPr>
            <w:tcW w:w="10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8"/>
              </w:rPr>
              <w:t>$ 202,254,123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Non-performing</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5,362,963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4,923,552</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461,834</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5,362,963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5,385,386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Total</w:t>
            </w:r>
          </w:p>
        </w:tc>
        <w:tc>
          <w:tcPr>
            <w:tcW w:w="920" w:type="dxa"/>
            <w:vAlign w:val="bottom"/>
          </w:tcPr>
          <w:p>
            <w:pPr>
              <w:jc w:val="right"/>
              <w:spacing w:after="0"/>
              <w:rPr>
                <w:sz w:val="20"/>
                <w:szCs w:val="20"/>
                <w:color w:val="auto"/>
              </w:rPr>
            </w:pPr>
            <w:r>
              <w:rPr>
                <w:rFonts w:ascii="Arial" w:cs="Arial" w:eastAsia="Arial" w:hAnsi="Arial"/>
                <w:sz w:val="17"/>
                <w:szCs w:val="17"/>
                <w:color w:val="auto"/>
                <w:w w:val="90"/>
              </w:rPr>
              <w:t>$ 52,384,376</w:t>
            </w:r>
          </w:p>
        </w:tc>
        <w:tc>
          <w:tcPr>
            <w:tcW w:w="1320" w:type="dxa"/>
            <w:vAlign w:val="bottom"/>
            <w:gridSpan w:val="3"/>
          </w:tcPr>
          <w:p>
            <w:pPr>
              <w:jc w:val="center"/>
              <w:spacing w:after="0"/>
              <w:rPr>
                <w:sz w:val="20"/>
                <w:szCs w:val="20"/>
                <w:color w:val="auto"/>
              </w:rPr>
            </w:pPr>
            <w:r>
              <w:rPr>
                <w:rFonts w:ascii="Arial" w:cs="Arial" w:eastAsia="Arial" w:hAnsi="Arial"/>
                <w:sz w:val="17"/>
                <w:szCs w:val="17"/>
                <w:color w:val="auto"/>
                <w:w w:val="90"/>
              </w:rPr>
              <w:t>$ 54,954,865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101,665,364</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102,527,111</w:t>
            </w:r>
          </w:p>
        </w:tc>
        <w:tc>
          <w:tcPr>
            <w:tcW w:w="1200" w:type="dxa"/>
            <w:vAlign w:val="bottom"/>
            <w:gridSpan w:val="3"/>
          </w:tcPr>
          <w:p>
            <w:pPr>
              <w:jc w:val="right"/>
              <w:ind w:right="200"/>
              <w:spacing w:after="0"/>
              <w:rPr>
                <w:sz w:val="20"/>
                <w:szCs w:val="20"/>
                <w:color w:val="auto"/>
              </w:rPr>
            </w:pPr>
            <w:r>
              <w:rPr>
                <w:rFonts w:ascii="Arial" w:cs="Arial" w:eastAsia="Arial" w:hAnsi="Arial"/>
                <w:sz w:val="17"/>
                <w:szCs w:val="17"/>
                <w:color w:val="auto"/>
                <w:w w:val="98"/>
              </w:rPr>
              <w:t>$ 54,254,054</w:t>
            </w: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$ 50,157,533</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 xml:space="preserve"> 208,303,794</w:t>
            </w:r>
          </w:p>
        </w:tc>
        <w:tc>
          <w:tcPr>
            <w:tcW w:w="1060" w:type="dxa"/>
            <w:vAlign w:val="bottom"/>
            <w:gridSpan w:val="2"/>
          </w:tcPr>
          <w:p>
            <w:pPr>
              <w:jc w:val="center"/>
              <w:ind w:left="14"/>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 xml:space="preserve"> 207,639,509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Non-Accrual Mortgage Loans Held for Investment</w:t>
      </w:r>
    </w:p>
    <w:p>
      <w:pPr>
        <w:spacing w:after="0" w:line="2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Once a loan is past due 90 days, it is the policy of the Company to end the accrual of interest income on the loan and write off any interest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$223,000 and $204,083 as of March 31, 2018 and December 31, 2017,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mortgage loans held for investment on a non-accrual status for the periods presented.</w:t>
      </w:r>
    </w:p>
    <w:p>
      <w:pPr>
        <w:spacing w:after="0" w:line="261" w:lineRule="exact"/>
        <w:rPr>
          <w:sz w:val="20"/>
          <w:szCs w:val="20"/>
          <w:color w:val="auto"/>
        </w:rPr>
      </w:pPr>
    </w:p>
    <w:p>
      <w:pPr>
        <w:ind w:left="8480"/>
        <w:spacing w:after="0"/>
        <w:rPr>
          <w:sz w:val="20"/>
          <w:szCs w:val="20"/>
          <w:color w:val="auto"/>
        </w:rPr>
      </w:pPr>
      <w:r>
        <w:rPr>
          <w:rFonts w:ascii="Arial" w:cs="Arial" w:eastAsia="Arial" w:hAnsi="Arial"/>
          <w:sz w:val="17"/>
          <w:szCs w:val="17"/>
          <w:b w:val="1"/>
          <w:bCs w:val="1"/>
          <w:color w:val="auto"/>
        </w:rPr>
        <w:t>Mortgage Loans on</w:t>
      </w:r>
    </w:p>
    <w:p>
      <w:pPr>
        <w:spacing w:after="0" w:line="27" w:lineRule="exact"/>
        <w:rPr>
          <w:sz w:val="20"/>
          <w:szCs w:val="20"/>
          <w:color w:val="auto"/>
        </w:rPr>
      </w:pPr>
    </w:p>
    <w:p>
      <w:pPr>
        <w:ind w:left="8480"/>
        <w:spacing w:after="0"/>
        <w:rPr>
          <w:sz w:val="20"/>
          <w:szCs w:val="20"/>
          <w:color w:val="auto"/>
        </w:rPr>
      </w:pPr>
      <w:r>
        <w:rPr>
          <w:rFonts w:ascii="Arial" w:cs="Arial" w:eastAsia="Arial" w:hAnsi="Arial"/>
          <w:sz w:val="17"/>
          <w:szCs w:val="17"/>
          <w:b w:val="1"/>
          <w:bCs w:val="1"/>
          <w:color w:val="auto"/>
        </w:rPr>
        <w:t>Non-Accrual Status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94"/>
              <w:spacing w:after="0"/>
              <w:rPr>
                <w:sz w:val="20"/>
                <w:szCs w:val="20"/>
                <w:color w:val="auto"/>
              </w:rPr>
            </w:pPr>
            <w:r>
              <w:rPr>
                <w:rFonts w:ascii="Arial" w:cs="Arial" w:eastAsia="Arial" w:hAnsi="Arial"/>
                <w:sz w:val="17"/>
                <w:szCs w:val="17"/>
                <w:color w:val="auto"/>
              </w:rPr>
              <w:t>As of</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Arial" w:cs="Arial" w:eastAsia="Arial" w:hAnsi="Arial"/>
                <w:sz w:val="17"/>
                <w:szCs w:val="17"/>
                <w:color w:val="auto"/>
              </w:rPr>
              <w:t>As of March</w:t>
            </w:r>
          </w:p>
        </w:tc>
        <w:tc>
          <w:tcPr>
            <w:tcW w:w="100" w:type="dxa"/>
            <w:vAlign w:val="bottom"/>
          </w:tcPr>
          <w:p>
            <w:pPr>
              <w:spacing w:after="0"/>
              <w:rPr>
                <w:sz w:val="17"/>
                <w:szCs w:val="17"/>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w w:val="86"/>
              </w:rPr>
              <w:t>December</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74"/>
              <w:spacing w:after="0"/>
              <w:rPr>
                <w:sz w:val="20"/>
                <w:szCs w:val="20"/>
                <w:color w:val="auto"/>
              </w:rPr>
            </w:pPr>
            <w:r>
              <w:rPr>
                <w:rFonts w:ascii="Arial" w:cs="Arial" w:eastAsia="Arial" w:hAnsi="Arial"/>
                <w:sz w:val="17"/>
                <w:szCs w:val="17"/>
                <w:color w:val="auto"/>
              </w:rPr>
              <w:t>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11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5"/>
        </w:trPr>
        <w:tc>
          <w:tcPr>
            <w:tcW w:w="114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Residential</w:t>
            </w:r>
          </w:p>
        </w:tc>
        <w:tc>
          <w:tcPr>
            <w:tcW w:w="3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5,362,963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4,923,552</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1"/>
        </w:trPr>
        <w:tc>
          <w:tcPr>
            <w:tcW w:w="11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Residential construction</w:t>
            </w:r>
          </w:p>
        </w:tc>
        <w:tc>
          <w:tcPr>
            <w:tcW w:w="3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461,834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5"/>
        </w:trPr>
        <w:tc>
          <w:tcPr>
            <w:tcW w:w="114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3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5,362,963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5,385,386</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827"/>
        </w:trPr>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980" w:type="dxa"/>
            <w:vAlign w:val="bottom"/>
          </w:tcPr>
          <w:p>
            <w:pPr>
              <w:jc w:val="right"/>
              <w:ind w:right="2352"/>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
        </w:trPr>
        <w:tc>
          <w:tcPr>
            <w:tcW w:w="11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40" w:hanging="237"/>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Loans Held for Sale</w:t>
      </w:r>
    </w:p>
    <w:p>
      <w:pPr>
        <w:spacing w:after="0" w:line="26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u w:val="single" w:color="auto"/>
          <w:color w:val="auto"/>
        </w:rPr>
        <w:t>Fair Value Option Election</w:t>
      </w:r>
    </w:p>
    <w:p>
      <w:pPr>
        <w:spacing w:after="0" w:line="2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Accounting Standards Codification ("ASC") No. 825, "Financial Instruments", allows for the option to report certain financial assets and liabilities at fair value initially and at subsequent measurement dates with changes in fair value included in earnings. The option may be applied instrument by instrument, but it is irrevocable. The Company elected the fair value option for loans held for sale originated after July 1, 2017. The Company believes the fair value option most closely aligns the timing of the recognition of gains and costs. These loans are intended for sale and the Company believes that the fair value is the best indicator of the resolution of these loans. Electing fair value also reduces certain timing differences and better matches changes in the fair value of these assets with changes in the fair value of the related derivatives used for these assets.</w:t>
      </w:r>
    </w:p>
    <w:p>
      <w:pPr>
        <w:spacing w:after="0" w:line="2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Interest income is recorded based on the contractual terms of the loan and in accordance with the Company's policy on mortgage loans held for investment and is included in mortgage fee income on the condensed consolidated statement of earnings. None of these loans are 90 or more days past due nor on nonaccrual status as of March 31, 2018. See Note 8 to the condensed consolidated financial statements for additional disclosures regarding loans held for sale.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aggregate fair value and the aggregate unpaid principal balance of loans held for sale for the periods presented:</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9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As of</w:t>
            </w:r>
          </w:p>
        </w:tc>
      </w:tr>
      <w:tr>
        <w:trPr>
          <w:trHeight w:val="205"/>
        </w:trPr>
        <w:tc>
          <w:tcPr>
            <w:tcW w:w="49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Arial" w:cs="Arial" w:eastAsia="Arial" w:hAnsi="Arial"/>
                <w:sz w:val="17"/>
                <w:szCs w:val="17"/>
                <w:color w:val="auto"/>
              </w:rPr>
              <w:t>March 31</w:t>
            </w:r>
          </w:p>
        </w:tc>
      </w:tr>
      <w:tr>
        <w:trPr>
          <w:trHeight w:val="223"/>
        </w:trPr>
        <w:tc>
          <w:tcPr>
            <w:tcW w:w="49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9"/>
                <w:szCs w:val="19"/>
                <w:color w:val="auto"/>
              </w:rPr>
            </w:pPr>
          </w:p>
        </w:tc>
      </w:tr>
      <w:tr>
        <w:trPr>
          <w:trHeight w:val="205"/>
        </w:trPr>
        <w:tc>
          <w:tcPr>
            <w:tcW w:w="4920" w:type="dxa"/>
            <w:vAlign w:val="bottom"/>
          </w:tcPr>
          <w:p>
            <w:pPr>
              <w:spacing w:after="0"/>
              <w:rPr>
                <w:sz w:val="17"/>
                <w:szCs w:val="17"/>
                <w:color w:val="auto"/>
              </w:rPr>
            </w:pPr>
          </w:p>
        </w:tc>
        <w:tc>
          <w:tcPr>
            <w:tcW w:w="41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Aggregate fair value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$124,866,313</w:t>
            </w:r>
          </w:p>
        </w:tc>
        <w:tc>
          <w:tcPr>
            <w:tcW w:w="80" w:type="dxa"/>
            <w:vAlign w:val="bottom"/>
            <w:shd w:val="clear" w:color="auto" w:fill="CCEEFF"/>
          </w:tcPr>
          <w:p>
            <w:pPr>
              <w:spacing w:after="0"/>
              <w:rPr>
                <w:sz w:val="17"/>
                <w:szCs w:val="17"/>
                <w:color w:val="auto"/>
              </w:rPr>
            </w:pPr>
          </w:p>
        </w:tc>
      </w:tr>
      <w:tr>
        <w:trPr>
          <w:trHeight w:val="205"/>
        </w:trPr>
        <w:tc>
          <w:tcPr>
            <w:tcW w:w="4920" w:type="dxa"/>
            <w:vAlign w:val="bottom"/>
          </w:tcPr>
          <w:p>
            <w:pPr>
              <w:spacing w:after="0"/>
              <w:rPr>
                <w:sz w:val="20"/>
                <w:szCs w:val="20"/>
                <w:color w:val="auto"/>
              </w:rPr>
            </w:pPr>
            <w:r>
              <w:rPr>
                <w:rFonts w:ascii="Arial" w:cs="Arial" w:eastAsia="Arial" w:hAnsi="Arial"/>
                <w:sz w:val="17"/>
                <w:szCs w:val="17"/>
                <w:color w:val="auto"/>
              </w:rPr>
              <w:t>Unpaid principal balance</w:t>
            </w:r>
          </w:p>
        </w:tc>
        <w:tc>
          <w:tcPr>
            <w:tcW w:w="4220" w:type="dxa"/>
            <w:vAlign w:val="bottom"/>
            <w:gridSpan w:val="3"/>
          </w:tcPr>
          <w:p>
            <w:pPr>
              <w:jc w:val="right"/>
              <w:ind w:right="80"/>
              <w:spacing w:after="0"/>
              <w:rPr>
                <w:sz w:val="20"/>
                <w:szCs w:val="20"/>
                <w:color w:val="auto"/>
              </w:rPr>
            </w:pPr>
            <w:r>
              <w:rPr>
                <w:rFonts w:ascii="Arial" w:cs="Arial" w:eastAsia="Arial" w:hAnsi="Arial"/>
                <w:sz w:val="17"/>
                <w:szCs w:val="17"/>
                <w:color w:val="auto"/>
              </w:rPr>
              <w:t>121,111,768</w:t>
            </w:r>
          </w:p>
        </w:tc>
      </w:tr>
      <w:tr>
        <w:trPr>
          <w:trHeight w:val="205"/>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3,754,545</w:t>
            </w:r>
          </w:p>
        </w:tc>
        <w:tc>
          <w:tcPr>
            <w:tcW w:w="8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Mortgage Fee Income</w:t>
      </w:r>
    </w:p>
    <w:p>
      <w:pPr>
        <w:spacing w:after="0" w:line="26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Mortgage fee income consists of origination fees, processing fees, interest income and certain other income related to the origination and sale of mortgage loans held for sale.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gridSpan w:val="2"/>
          </w:tcPr>
          <w:p>
            <w:pPr>
              <w:spacing w:after="0"/>
              <w:rPr>
                <w:sz w:val="20"/>
                <w:szCs w:val="20"/>
                <w:color w:val="auto"/>
              </w:rPr>
            </w:pPr>
            <w:r>
              <w:rPr>
                <w:rFonts w:ascii="Arial" w:cs="Arial" w:eastAsia="Arial" w:hAnsi="Arial"/>
                <w:sz w:val="17"/>
                <w:szCs w:val="17"/>
                <w:color w:val="auto"/>
              </w:rPr>
              <w:t>Major categories of mortgage fee income for loans held for sale are as follows: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51"/>
        </w:trPr>
        <w:tc>
          <w:tcPr>
            <w:tcW w:w="11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6"/>
          </w:tcPr>
          <w:p>
            <w:pPr>
              <w:jc w:val="right"/>
              <w:ind w:right="420"/>
              <w:spacing w:after="0"/>
              <w:rPr>
                <w:sz w:val="20"/>
                <w:szCs w:val="20"/>
                <w:color w:val="auto"/>
              </w:rPr>
            </w:pPr>
            <w:r>
              <w:rPr>
                <w:rFonts w:ascii="Arial" w:cs="Arial" w:eastAsia="Arial" w:hAnsi="Arial"/>
                <w:sz w:val="17"/>
                <w:szCs w:val="17"/>
                <w:color w:val="auto"/>
              </w:rPr>
              <w:t>Three Months Ended</w:t>
            </w:r>
          </w:p>
        </w:tc>
      </w:tr>
      <w:tr>
        <w:trPr>
          <w:trHeight w:val="223"/>
        </w:trPr>
        <w:tc>
          <w:tcPr>
            <w:tcW w:w="11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6"/>
          </w:tcPr>
          <w:p>
            <w:pPr>
              <w:jc w:val="right"/>
              <w:ind w:right="800"/>
              <w:spacing w:after="0"/>
              <w:rPr>
                <w:sz w:val="20"/>
                <w:szCs w:val="20"/>
                <w:color w:val="auto"/>
              </w:rPr>
            </w:pPr>
            <w:r>
              <w:rPr>
                <w:rFonts w:ascii="Arial" w:cs="Arial" w:eastAsia="Arial" w:hAnsi="Arial"/>
                <w:sz w:val="17"/>
                <w:szCs w:val="17"/>
                <w:color w:val="auto"/>
              </w:rPr>
              <w:t>March 31</w:t>
            </w:r>
          </w:p>
        </w:tc>
      </w:tr>
      <w:tr>
        <w:trPr>
          <w:trHeight w:val="211"/>
        </w:trPr>
        <w:tc>
          <w:tcPr>
            <w:tcW w:w="114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2017</w:t>
            </w:r>
          </w:p>
        </w:tc>
        <w:tc>
          <w:tcPr>
            <w:tcW w:w="60" w:type="dxa"/>
            <w:vAlign w:val="bottom"/>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Loan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5,745,309</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9,304,925</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1,116,454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1,734,527</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Secondary gains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15,578,495</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26,194,350</w:t>
            </w:r>
          </w:p>
        </w:tc>
      </w:tr>
      <w:tr>
        <w:trPr>
          <w:trHeight w:val="205"/>
        </w:trPr>
        <w:tc>
          <w:tcPr>
            <w:tcW w:w="114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Change in fair value of loan commitments</w:t>
            </w: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440,958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2,167,593</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loans held for sale</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2,929,996</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96"/>
              </w:rPr>
              <w:t>(1)</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1"/>
        </w:trPr>
        <w:tc>
          <w:tcPr>
            <w:tcW w:w="114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Provision for loan loss reserve</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(351,051)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(426,634)</w:t>
            </w:r>
          </w:p>
        </w:tc>
      </w:tr>
      <w:tr>
        <w:trPr>
          <w:trHeight w:val="245"/>
        </w:trPr>
        <w:tc>
          <w:tcPr>
            <w:tcW w:w="114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Mortgage fee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25,460,160</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38,974,760</w:t>
            </w:r>
          </w:p>
        </w:tc>
        <w:tc>
          <w:tcPr>
            <w:tcW w:w="6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See Fair Value Option Election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Loan Loss Reserve</w:t>
      </w:r>
    </w:p>
    <w:p>
      <w:pPr>
        <w:spacing w:after="0" w:line="26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w:t>
      </w:r>
    </w:p>
    <w:p>
      <w:pPr>
        <w:spacing w:after="0" w:line="1" w:lineRule="exact"/>
        <w:rPr>
          <w:sz w:val="20"/>
          <w:szCs w:val="20"/>
          <w:color w:val="auto"/>
        </w:rPr>
      </w:pPr>
    </w:p>
    <w:p>
      <w:pPr>
        <w:jc w:val="both"/>
        <w:ind w:firstLine="3"/>
        <w:spacing w:after="0" w:line="256" w:lineRule="auto"/>
        <w:tabs>
          <w:tab w:leader="none" w:pos="205"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ectPr>
          <w:pgSz w:w="11900" w:h="16838" w:orient="portrait"/>
          <w:cols w:equalWidth="0" w:num="1">
            <w:col w:w="11420"/>
          </w:cols>
          <w:pgMar w:left="240" w:top="127"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725360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00" w:lineRule="exact"/>
        <w:rPr>
          <w:sz w:val="20"/>
          <w:szCs w:val="20"/>
          <w:color w:val="auto"/>
        </w:rPr>
      </w:pPr>
    </w:p>
    <w:p>
      <w:pPr>
        <w:spacing w:after="0" w:line="312" w:lineRule="exact"/>
        <w:rPr>
          <w:sz w:val="20"/>
          <w:szCs w:val="20"/>
          <w:color w:val="auto"/>
        </w:rPr>
      </w:pPr>
    </w:p>
    <w:p>
      <w:pPr>
        <w:ind w:left="240" w:hanging="237"/>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Loans Held for Sale</w:t>
      </w:r>
      <w:r>
        <w:rPr>
          <w:rFonts w:ascii="Arial" w:cs="Arial" w:eastAsia="Arial" w:hAnsi="Arial"/>
          <w:sz w:val="17"/>
          <w:szCs w:val="17"/>
          <w:color w:val="auto"/>
        </w:rPr>
        <w:t xml:space="preserve"> (Continued)</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the loan loss reserve that is included in other liabilities and accrued expenses: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Arial" w:cs="Arial" w:eastAsia="Arial" w:hAnsi="Arial"/>
                <w:sz w:val="17"/>
                <w:szCs w:val="17"/>
                <w:color w:val="auto"/>
              </w:rPr>
              <w:t>As of</w:t>
            </w:r>
          </w:p>
        </w:tc>
      </w:tr>
      <w:tr>
        <w:trPr>
          <w:trHeight w:val="205"/>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7"/>
                <w:szCs w:val="17"/>
                <w:color w:val="auto"/>
                <w:w w:val="97"/>
              </w:rPr>
              <w:t>As of</w:t>
            </w:r>
          </w:p>
        </w:tc>
        <w:tc>
          <w:tcPr>
            <w:tcW w:w="10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7"/>
                <w:szCs w:val="17"/>
                <w:color w:val="auto"/>
              </w:rPr>
              <w:t>December</w:t>
            </w:r>
          </w:p>
        </w:tc>
      </w:tr>
      <w:tr>
        <w:trPr>
          <w:trHeight w:val="205"/>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March 31</w:t>
            </w:r>
          </w:p>
        </w:tc>
        <w:tc>
          <w:tcPr>
            <w:tcW w:w="10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r>
      <w:tr>
        <w:trPr>
          <w:trHeight w:val="223"/>
        </w:trPr>
        <w:tc>
          <w:tcPr>
            <w:tcW w:w="7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89"/>
              </w:rPr>
              <w:t>2018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9"/>
                <w:szCs w:val="19"/>
                <w:color w:val="auto"/>
              </w:rPr>
            </w:pP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2,571,524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627,733</w:t>
            </w:r>
          </w:p>
        </w:tc>
        <w:tc>
          <w:tcPr>
            <w:tcW w:w="80" w:type="dxa"/>
            <w:vAlign w:val="bottom"/>
            <w:shd w:val="clear" w:color="auto" w:fill="CCEEFF"/>
          </w:tcPr>
          <w:p>
            <w:pPr>
              <w:spacing w:after="0"/>
              <w:rPr>
                <w:sz w:val="17"/>
                <w:szCs w:val="17"/>
                <w:color w:val="auto"/>
              </w:rPr>
            </w:pPr>
          </w:p>
        </w:tc>
      </w:tr>
      <w:tr>
        <w:trPr>
          <w:trHeight w:val="205"/>
        </w:trPr>
        <w:tc>
          <w:tcPr>
            <w:tcW w:w="7060" w:type="dxa"/>
            <w:vAlign w:val="bottom"/>
          </w:tcPr>
          <w:p>
            <w:pPr>
              <w:spacing w:after="0"/>
              <w:rPr>
                <w:sz w:val="20"/>
                <w:szCs w:val="20"/>
                <w:color w:val="auto"/>
              </w:rPr>
            </w:pPr>
            <w:r>
              <w:rPr>
                <w:rFonts w:ascii="Arial" w:cs="Arial" w:eastAsia="Arial" w:hAnsi="Arial"/>
                <w:sz w:val="17"/>
                <w:szCs w:val="17"/>
                <w:color w:val="auto"/>
              </w:rPr>
              <w:t>Provision on current loan originations (1)</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351,051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1,851,187</w:t>
            </w:r>
          </w:p>
        </w:tc>
        <w:tc>
          <w:tcPr>
            <w:tcW w:w="80" w:type="dxa"/>
            <w:vAlign w:val="bottom"/>
          </w:tcPr>
          <w:p>
            <w:pPr>
              <w:spacing w:after="0"/>
              <w:rPr>
                <w:sz w:val="17"/>
                <w:szCs w:val="17"/>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Charge-offs, net of recaptured amounts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(10,420)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92,604</w:t>
            </w:r>
          </w:p>
        </w:tc>
      </w:tr>
      <w:tr>
        <w:trPr>
          <w:trHeight w:val="205"/>
        </w:trPr>
        <w:tc>
          <w:tcPr>
            <w:tcW w:w="70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2,912,155</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2,571,524</w:t>
            </w:r>
          </w:p>
        </w:tc>
        <w:tc>
          <w:tcPr>
            <w:tcW w:w="80" w:type="dxa"/>
            <w:vAlign w:val="bottom"/>
            <w:tcBorders>
              <w:top w:val="single" w:sz="8" w:color="CCEEFF"/>
            </w:tcBorders>
          </w:tcPr>
          <w:p>
            <w:pPr>
              <w:spacing w:after="0"/>
              <w:rPr>
                <w:sz w:val="17"/>
                <w:szCs w:val="17"/>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Included in Mortgage fee income</w:t>
      </w:r>
    </w:p>
    <w:p>
      <w:pPr>
        <w:spacing w:after="0" w:line="26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believes the loan loss reserve represents probable loan losses incurred as of the balance sheet date. Actual loan loss experience could change, in the near-term, from the established reserve based upon claims that could be asserted by third-party investors. The Company believes there is potential to resolve any alleged claims by third-party investors on acceptable terms. If the Company is unable to resolve such claims on acceptable terms, legal action may ensue. In the event of legal action by any third-party investor, the Company believes it has significant defenses to any such action and intends to vigorously defend itself against such action.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00" w:lineRule="exact"/>
        <w:rPr>
          <w:sz w:val="20"/>
          <w:szCs w:val="20"/>
          <w:color w:val="auto"/>
        </w:rPr>
      </w:pPr>
    </w:p>
    <w:p>
      <w:pPr>
        <w:spacing w:after="0" w:line="312" w:lineRule="exact"/>
        <w:rPr>
          <w:sz w:val="20"/>
          <w:szCs w:val="20"/>
          <w:color w:val="auto"/>
        </w:rPr>
      </w:pPr>
    </w:p>
    <w:p>
      <w:pPr>
        <w:ind w:left="240" w:hanging="237"/>
        <w:spacing w:after="0"/>
        <w:tabs>
          <w:tab w:leader="none" w:pos="24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Stock Compensation Plans</w:t>
      </w:r>
    </w:p>
    <w:p>
      <w:pPr>
        <w:spacing w:after="0" w:line="267"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The Company has four fixed option plans (the "2003 Plan", the "2006 Director Plan", the "2013 Plan" and the "2014 Director Plan"). Compensation expense for options issued of $58,087 and $101,996 has been recognized for these plans for the three months ended March 31, 2018 and 2017, respectively. As of March 31, 2018, the total unrecognized compensation expense related to the options issued was $155,658, which is expected to be recognized over the vesting period of one year.</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 summary of the status of the Company's stock compensation plans as of March 31, 2018, and the changes during the three months ended March 31, 2018, are presented below:</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Weighted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Weighted</w:t>
            </w: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7"/>
                <w:szCs w:val="17"/>
                <w:color w:val="auto"/>
                <w:w w:val="93"/>
              </w:rPr>
              <w:t>Number of</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Average</w:t>
            </w:r>
          </w:p>
        </w:tc>
        <w:tc>
          <w:tcPr>
            <w:tcW w:w="10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Number of</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Average</w:t>
            </w: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Class A</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Exercise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Class C</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Exercise</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85"/>
              </w:rPr>
              <w:t>Shares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2"/>
              </w:rPr>
              <w:t>Price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85"/>
              </w:rPr>
              <w:t>Shares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2"/>
              </w:rPr>
              <w:t>Price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880,426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523,603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Arial" w:cs="Arial" w:eastAsia="Arial" w:hAnsi="Arial"/>
                <w:sz w:val="17"/>
                <w:szCs w:val="17"/>
                <w:color w:val="auto"/>
              </w:rPr>
              <w:t>Granted</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(31,984)</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860" w:type="dxa"/>
            <w:vAlign w:val="bottom"/>
          </w:tcPr>
          <w:p>
            <w:pPr>
              <w:spacing w:after="0"/>
              <w:rPr>
                <w:sz w:val="20"/>
                <w:szCs w:val="20"/>
                <w:color w:val="auto"/>
              </w:rPr>
            </w:pPr>
            <w:r>
              <w:rPr>
                <w:rFonts w:ascii="Arial" w:cs="Arial" w:eastAsia="Arial" w:hAnsi="Arial"/>
                <w:sz w:val="17"/>
                <w:szCs w:val="17"/>
                <w:color w:val="auto"/>
              </w:rPr>
              <w:t>Cancelled</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(5,704)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March 31, 2018</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842,738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523,603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197"/>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As of March 31, 2018: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Arial" w:cs="Arial" w:eastAsia="Arial" w:hAnsi="Arial"/>
                <w:sz w:val="17"/>
                <w:szCs w:val="17"/>
                <w:color w:val="auto"/>
              </w:rPr>
              <w:t>Options exercisable</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744,686</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4.40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468,477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Arial" w:cs="Arial" w:eastAsia="Arial" w:hAnsi="Arial"/>
                <w:sz w:val="17"/>
                <w:szCs w:val="17"/>
                <w:color w:val="auto"/>
              </w:rPr>
              <w:t>As of March 31, 2018:</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Available options for future grant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421,241</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165,638</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5"/>
              </w:rPr>
              <w:t>Weighted average contractual term of options outstanding at March</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31, 2018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6.55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3.19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5"/>
              </w:rPr>
              <w:t>Weighted average contractual term of options exercisable at March</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31, 2018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6.53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2.43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5"/>
              </w:rPr>
              <w:t>Aggregated intrinsic value of options outstanding at March 31, 2018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850,528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251,961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60" w:type="dxa"/>
            <w:vAlign w:val="bottom"/>
            <w:shd w:val="clear" w:color="auto" w:fill="CCEEFF"/>
          </w:tcPr>
          <w:p>
            <w:pPr>
              <w:spacing w:after="0" w:line="147" w:lineRule="exact"/>
              <w:rPr>
                <w:sz w:val="20"/>
                <w:szCs w:val="20"/>
                <w:color w:val="auto"/>
              </w:rPr>
            </w:pPr>
            <w:r>
              <w:rPr>
                <w:rFonts w:ascii="Arial" w:cs="Arial" w:eastAsia="Arial" w:hAnsi="Arial"/>
                <w:sz w:val="16"/>
                <w:szCs w:val="16"/>
                <w:color w:val="auto"/>
              </w:rPr>
              <w:t>(1)</w:t>
            </w: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5"/>
              </w:rPr>
              <w:t>Aggregated intrinsic value of options exercisable at March 31, 2018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836,882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232,667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60" w:type="dxa"/>
            <w:vAlign w:val="bottom"/>
            <w:shd w:val="clear" w:color="auto" w:fill="CCEEFF"/>
          </w:tcPr>
          <w:p>
            <w:pPr>
              <w:spacing w:after="0" w:line="147" w:lineRule="exact"/>
              <w:rPr>
                <w:sz w:val="20"/>
                <w:szCs w:val="20"/>
                <w:color w:val="auto"/>
              </w:rPr>
            </w:pPr>
            <w:r>
              <w:rPr>
                <w:rFonts w:ascii="Arial" w:cs="Arial" w:eastAsia="Arial" w:hAnsi="Arial"/>
                <w:sz w:val="16"/>
                <w:szCs w:val="16"/>
                <w:color w:val="auto"/>
              </w:rPr>
              <w:t>(1)</w:t>
            </w:r>
          </w:p>
        </w:tc>
        <w:tc>
          <w:tcPr>
            <w:tcW w:w="1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The Company used a stock price of $5.15 as of March 31, 2018 to derive intrinsic value.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40" w:hanging="237"/>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Stock Compensation Plans</w:t>
      </w:r>
      <w:r>
        <w:rPr>
          <w:rFonts w:ascii="Arial" w:cs="Arial" w:eastAsia="Arial" w:hAnsi="Arial"/>
          <w:sz w:val="17"/>
          <w:szCs w:val="17"/>
          <w:color w:val="auto"/>
        </w:rPr>
        <w:t xml:space="preserve"> (Continued)</w:t>
      </w:r>
    </w:p>
    <w:p>
      <w:pPr>
        <w:spacing w:after="0" w:line="26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A summary of the status of the Company's stock compensation plans as of March 31, 2017, and the changes during the three months ended March 31, 2017, are presented below:</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Weighted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Weighted</w:t>
            </w: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7"/>
                <w:szCs w:val="17"/>
                <w:color w:val="auto"/>
                <w:w w:val="93"/>
              </w:rPr>
              <w:t>Number of</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Average</w:t>
            </w:r>
          </w:p>
        </w:tc>
        <w:tc>
          <w:tcPr>
            <w:tcW w:w="10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Number of</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Average</w:t>
            </w: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Class A</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Exercise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Class C</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Exercise</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Shares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2"/>
              </w:rPr>
              <w:t>Price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85"/>
              </w:rPr>
              <w:t>Shares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2"/>
              </w:rPr>
              <w:t>Price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741,973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556,298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Arial" w:cs="Arial" w:eastAsia="Arial" w:hAnsi="Arial"/>
                <w:sz w:val="17"/>
                <w:szCs w:val="17"/>
                <w:color w:val="auto"/>
              </w:rPr>
              <w:t>Granted</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860" w:type="dxa"/>
            <w:vAlign w:val="bottom"/>
          </w:tcPr>
          <w:p>
            <w:pPr>
              <w:spacing w:after="0"/>
              <w:rPr>
                <w:sz w:val="20"/>
                <w:szCs w:val="20"/>
                <w:color w:val="auto"/>
              </w:rPr>
            </w:pPr>
            <w:r>
              <w:rPr>
                <w:rFonts w:ascii="Arial" w:cs="Arial" w:eastAsia="Arial" w:hAnsi="Arial"/>
                <w:sz w:val="17"/>
                <w:szCs w:val="17"/>
                <w:color w:val="auto"/>
              </w:rPr>
              <w:t>Cancelled</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March 31, 2017</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741,973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556,298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197"/>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As of March 31, 2017: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Arial" w:cs="Arial" w:eastAsia="Arial" w:hAnsi="Arial"/>
                <w:sz w:val="17"/>
                <w:szCs w:val="17"/>
                <w:color w:val="auto"/>
              </w:rPr>
              <w:t>Options exercisable</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636,764</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493,298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Arial" w:cs="Arial" w:eastAsia="Arial" w:hAnsi="Arial"/>
                <w:sz w:val="17"/>
                <w:szCs w:val="17"/>
                <w:color w:val="auto"/>
              </w:rPr>
              <w:t>As of March 31, 2017:</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Available options for future grant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253,432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5"/>
              </w:rPr>
              <w:t>Weighted average contractual term of options outstanding at March</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31, 2017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7.12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2.42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5"/>
              </w:rPr>
              <w:t>Weighted average contractual term of options exercisable at March</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31, 2017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6.70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2.13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5"/>
              </w:rPr>
              <w:t>Aggregated intrinsic value of options outstanding at March 31, 2017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1,837,828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1,264,540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60" w:type="dxa"/>
            <w:vAlign w:val="bottom"/>
            <w:shd w:val="clear" w:color="auto" w:fill="CCEEFF"/>
          </w:tcPr>
          <w:p>
            <w:pPr>
              <w:spacing w:after="0" w:line="147" w:lineRule="exact"/>
              <w:rPr>
                <w:sz w:val="20"/>
                <w:szCs w:val="20"/>
                <w:color w:val="auto"/>
              </w:rPr>
            </w:pPr>
            <w:r>
              <w:rPr>
                <w:rFonts w:ascii="Arial" w:cs="Arial" w:eastAsia="Arial" w:hAnsi="Arial"/>
                <w:sz w:val="16"/>
                <w:szCs w:val="16"/>
                <w:color w:val="auto"/>
              </w:rPr>
              <w:t>(1)</w:t>
            </w: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5"/>
              </w:rPr>
              <w:t>Aggregated intrinsic value of options exercisable at March 31, 2017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1,824,086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1,264,540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60" w:type="dxa"/>
            <w:vAlign w:val="bottom"/>
            <w:shd w:val="clear" w:color="auto" w:fill="CCEEFF"/>
          </w:tcPr>
          <w:p>
            <w:pPr>
              <w:spacing w:after="0" w:line="147" w:lineRule="exact"/>
              <w:rPr>
                <w:sz w:val="20"/>
                <w:szCs w:val="20"/>
                <w:color w:val="auto"/>
              </w:rPr>
            </w:pPr>
            <w:r>
              <w:rPr>
                <w:rFonts w:ascii="Arial" w:cs="Arial" w:eastAsia="Arial" w:hAnsi="Arial"/>
                <w:sz w:val="16"/>
                <w:szCs w:val="16"/>
                <w:color w:val="auto"/>
              </w:rPr>
              <w:t>(1)</w:t>
            </w:r>
          </w:p>
        </w:tc>
        <w:tc>
          <w:tcPr>
            <w:tcW w:w="1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The Company used a stock price of $6.80 as of March 31, 2017 to derive intrinsic value.</w:t>
      </w:r>
    </w:p>
    <w:p>
      <w:pPr>
        <w:spacing w:after="0" w:line="271" w:lineRule="exact"/>
        <w:rPr>
          <w:sz w:val="20"/>
          <w:szCs w:val="20"/>
          <w:color w:val="auto"/>
        </w:rPr>
      </w:pPr>
    </w:p>
    <w:p>
      <w:pPr>
        <w:spacing w:after="0" w:line="362" w:lineRule="auto"/>
        <w:rPr>
          <w:sz w:val="20"/>
          <w:szCs w:val="20"/>
          <w:color w:val="auto"/>
        </w:rPr>
      </w:pPr>
      <w:r>
        <w:rPr>
          <w:rFonts w:ascii="Arial" w:cs="Arial" w:eastAsia="Arial" w:hAnsi="Arial"/>
          <w:sz w:val="18"/>
          <w:szCs w:val="18"/>
          <w:color w:val="auto"/>
        </w:rPr>
        <w:t>The total intrinsic value (which is the amount by which the fair value of the underlying stock exceeds the exercise price of an option on the exercise date) of stock options exercised during the three months March 31, 2018 and 2017 was $111,157 and $-0-, respectively.</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gridSpan w:val="4"/>
          </w:tcPr>
          <w:p>
            <w:pPr>
              <w:spacing w:after="0"/>
              <w:rPr>
                <w:sz w:val="20"/>
                <w:szCs w:val="20"/>
                <w:color w:val="auto"/>
              </w:rPr>
            </w:pPr>
            <w:r>
              <w:rPr>
                <w:rFonts w:ascii="Arial" w:cs="Arial" w:eastAsia="Arial" w:hAnsi="Arial"/>
                <w:sz w:val="17"/>
                <w:szCs w:val="17"/>
                <w:color w:val="auto"/>
              </w:rPr>
              <w:t>6) Earnings Per Share</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6740" w:type="dxa"/>
            <w:vAlign w:val="bottom"/>
            <w:gridSpan w:val="4"/>
          </w:tcPr>
          <w:p>
            <w:pPr>
              <w:spacing w:after="0"/>
              <w:rPr>
                <w:sz w:val="20"/>
                <w:szCs w:val="20"/>
                <w:color w:val="auto"/>
              </w:rPr>
            </w:pPr>
            <w:r>
              <w:rPr>
                <w:rFonts w:ascii="Arial" w:cs="Arial" w:eastAsia="Arial" w:hAnsi="Arial"/>
                <w:sz w:val="17"/>
                <w:szCs w:val="17"/>
                <w:color w:val="auto"/>
              </w:rPr>
              <w:t>The basic and diluted earnings per share amounts were calculated as follows: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1"/>
        </w:trPr>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ind w:left="180"/>
              <w:spacing w:after="0"/>
              <w:rPr>
                <w:sz w:val="20"/>
                <w:szCs w:val="20"/>
                <w:color w:val="auto"/>
              </w:rPr>
            </w:pPr>
            <w:r>
              <w:rPr>
                <w:rFonts w:ascii="Arial" w:cs="Arial" w:eastAsia="Arial" w:hAnsi="Arial"/>
                <w:sz w:val="17"/>
                <w:szCs w:val="17"/>
                <w:color w:val="auto"/>
              </w:rPr>
              <w:t>Three Months Ended</w:t>
            </w: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5"/>
          </w:tcPr>
          <w:p>
            <w:pPr>
              <w:ind w:left="560"/>
              <w:spacing w:after="0"/>
              <w:rPr>
                <w:sz w:val="20"/>
                <w:szCs w:val="20"/>
                <w:color w:val="auto"/>
              </w:rPr>
            </w:pPr>
            <w:r>
              <w:rPr>
                <w:rFonts w:ascii="Arial" w:cs="Arial" w:eastAsia="Arial" w:hAnsi="Arial"/>
                <w:sz w:val="17"/>
                <w:szCs w:val="17"/>
                <w:color w:val="auto"/>
              </w:rPr>
              <w:t>March 31</w:t>
            </w:r>
          </w:p>
        </w:tc>
      </w:tr>
      <w:tr>
        <w:trPr>
          <w:trHeight w:val="211"/>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color w:val="auto"/>
              </w:rPr>
              <w:t>2018</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56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5"/>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earnings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16,925,923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1,860,000</w:t>
            </w:r>
          </w:p>
        </w:tc>
        <w:tc>
          <w:tcPr>
            <w:tcW w:w="80" w:type="dxa"/>
            <w:vAlign w:val="bottom"/>
            <w:shd w:val="clear" w:color="auto" w:fill="CCEEFF"/>
          </w:tcPr>
          <w:p>
            <w:pPr>
              <w:spacing w:after="0"/>
              <w:rPr>
                <w:sz w:val="21"/>
                <w:szCs w:val="21"/>
                <w:color w:val="auto"/>
              </w:rPr>
            </w:pPr>
          </w:p>
        </w:tc>
      </w:tr>
      <w:tr>
        <w:trPr>
          <w:trHeight w:val="197"/>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2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1"/>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weighted-average shares outstanding</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16,171,412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15,827,495</w:t>
            </w: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2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1"/>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Employee stock options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176,365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493,335</w:t>
            </w:r>
          </w:p>
        </w:tc>
        <w:tc>
          <w:tcPr>
            <w:tcW w:w="80" w:type="dxa"/>
            <w:vAlign w:val="bottom"/>
            <w:shd w:val="clear" w:color="auto" w:fill="CCEEFF"/>
          </w:tcPr>
          <w:p>
            <w:pPr>
              <w:spacing w:after="0"/>
              <w:rPr>
                <w:sz w:val="18"/>
                <w:szCs w:val="18"/>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2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5"/>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weighted-average shares outstanding</w:t>
            </w: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16,347,777</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16,320,830</w:t>
            </w:r>
          </w:p>
        </w:tc>
      </w:tr>
      <w:tr>
        <w:trPr>
          <w:trHeight w:val="197"/>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2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5"/>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net earnings per share</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0.12</w:t>
            </w:r>
          </w:p>
        </w:tc>
      </w:tr>
      <w:tr>
        <w:trPr>
          <w:trHeight w:val="197"/>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2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25"/>
        </w:trPr>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net earnings per share</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80" w:type="dxa"/>
            <w:vAlign w:val="bottom"/>
            <w:shd w:val="clear" w:color="auto" w:fill="CCEEFF"/>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Net earnings per share amounts have been retroactively adjusted for the effect of annual stock dividends. For the three months March 31, 2018 and 2017, there were 589,822 and 89,250 of anti-dilutive employee stock option shares, respectively, that were not included in the computation of diluted net earnings per common share as their effect would be anti-dilutive.</w:t>
      </w:r>
    </w:p>
    <w:p>
      <w:pPr>
        <w:spacing w:after="0" w:line="228" w:lineRule="exact"/>
        <w:rPr>
          <w:sz w:val="20"/>
          <w:szCs w:val="20"/>
          <w:color w:val="auto"/>
        </w:rPr>
      </w:pPr>
    </w:p>
    <w:p>
      <w:pPr>
        <w:ind w:left="240" w:hanging="237"/>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Business Segment Information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Description of Products and Services by Segment</w:t>
      </w:r>
    </w:p>
    <w:p>
      <w:pPr>
        <w:spacing w:after="0" w:line="26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Measurement of Segment Profit or Loss and Segment Assets</w:t>
      </w:r>
    </w:p>
    <w:p>
      <w:pPr>
        <w:spacing w:after="0" w:line="26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accounting policies of the reportable segments are the same as those described in the Significant Accounting Principles of the Form 10-K for the year ended December 31, 2017. Intersegment revenues are recorded at cost plus an agreed upon intercompany profit, and are eliminated upon consolidation.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Factors Management Used to Identify the Enterprise's Reportable Segments</w:t>
      </w: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 w:type="dxa"/>
            <w:vAlign w:val="bottom"/>
          </w:tcPr>
          <w:p>
            <w:pPr>
              <w:jc w:val="right"/>
              <w:ind w:right="14"/>
              <w:spacing w:after="0"/>
              <w:rPr>
                <w:sz w:val="20"/>
                <w:szCs w:val="20"/>
                <w:color w:val="auto"/>
              </w:rPr>
            </w:pPr>
            <w:r>
              <w:rPr>
                <w:rFonts w:ascii="Arial" w:cs="Arial" w:eastAsia="Arial" w:hAnsi="Arial"/>
                <w:sz w:val="17"/>
                <w:szCs w:val="17"/>
                <w:color w:val="auto"/>
                <w:w w:val="79"/>
              </w:rPr>
              <w:t>7)</w:t>
            </w:r>
          </w:p>
        </w:tc>
        <w:tc>
          <w:tcPr>
            <w:tcW w:w="3900" w:type="dxa"/>
            <w:vAlign w:val="bottom"/>
            <w:gridSpan w:val="5"/>
          </w:tcPr>
          <w:p>
            <w:pPr>
              <w:spacing w:after="0"/>
              <w:rPr>
                <w:sz w:val="20"/>
                <w:szCs w:val="20"/>
                <w:color w:val="auto"/>
              </w:rPr>
            </w:pPr>
            <w:r>
              <w:rPr>
                <w:rFonts w:ascii="Arial" w:cs="Arial" w:eastAsia="Arial" w:hAnsi="Arial"/>
                <w:sz w:val="17"/>
                <w:szCs w:val="17"/>
                <w:color w:val="auto"/>
              </w:rPr>
              <w:t>Business Segment Information (Continued)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68"/>
        </w:trPr>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7"/>
                <w:szCs w:val="17"/>
                <w:color w:val="auto"/>
              </w:rPr>
              <w:t>Life</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Cemetery/</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w w:val="95"/>
              </w:rPr>
              <w:t>Intercompany</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w w:val="91"/>
              </w:rPr>
              <w:t>Insurance</w:t>
            </w: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Mortuary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Mortgage</w:t>
            </w:r>
          </w:p>
        </w:tc>
        <w:tc>
          <w:tcPr>
            <w:tcW w:w="6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7"/>
                <w:szCs w:val="17"/>
                <w:color w:val="auto"/>
              </w:rPr>
              <w:t>Eliminations</w:t>
            </w:r>
          </w:p>
        </w:tc>
        <w:tc>
          <w:tcPr>
            <w:tcW w:w="60" w:type="dxa"/>
            <w:vAlign w:val="bottom"/>
          </w:tcPr>
          <w:p>
            <w:pPr>
              <w:spacing w:after="0"/>
              <w:rPr>
                <w:sz w:val="19"/>
                <w:szCs w:val="19"/>
                <w:color w:val="auto"/>
              </w:rPr>
            </w:pPr>
          </w:p>
        </w:tc>
        <w:tc>
          <w:tcPr>
            <w:tcW w:w="1040" w:type="dxa"/>
            <w:vAlign w:val="bottom"/>
            <w:gridSpan w:val="3"/>
          </w:tcPr>
          <w:p>
            <w:pPr>
              <w:ind w:left="20"/>
              <w:spacing w:after="0"/>
              <w:rPr>
                <w:sz w:val="20"/>
                <w:szCs w:val="20"/>
                <w:color w:val="auto"/>
              </w:rPr>
            </w:pPr>
            <w:r>
              <w:rPr>
                <w:rFonts w:ascii="Arial" w:cs="Arial" w:eastAsia="Arial" w:hAnsi="Arial"/>
                <w:sz w:val="17"/>
                <w:szCs w:val="17"/>
                <w:color w:val="auto"/>
              </w:rPr>
              <w:t>Consolidated</w:t>
            </w:r>
          </w:p>
        </w:tc>
      </w:tr>
      <w:tr>
        <w:trPr>
          <w:trHeight w:val="231"/>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0" w:type="dxa"/>
            <w:vAlign w:val="bottom"/>
            <w:gridSpan w:val="4"/>
          </w:tcPr>
          <w:p>
            <w:pPr>
              <w:spacing w:after="0"/>
              <w:rPr>
                <w:sz w:val="20"/>
                <w:szCs w:val="20"/>
                <w:color w:val="auto"/>
              </w:rPr>
            </w:pPr>
            <w:r>
              <w:rPr>
                <w:rFonts w:ascii="Arial" w:cs="Arial" w:eastAsia="Arial" w:hAnsi="Arial"/>
                <w:sz w:val="17"/>
                <w:szCs w:val="17"/>
                <w:color w:val="auto"/>
              </w:rPr>
              <w:t>For the Three Months Ended</w:t>
            </w:r>
          </w:p>
        </w:tc>
        <w:tc>
          <w:tcPr>
            <w:tcW w:w="5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9"/>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Borders>
              <w:bottom w:val="single" w:sz="8" w:color="auto"/>
            </w:tcBorders>
          </w:tcPr>
          <w:p>
            <w:pPr>
              <w:spacing w:after="0" w:line="180" w:lineRule="exact"/>
              <w:rPr>
                <w:sz w:val="20"/>
                <w:szCs w:val="20"/>
                <w:color w:val="auto"/>
              </w:rPr>
            </w:pPr>
            <w:r>
              <w:rPr>
                <w:rFonts w:ascii="Arial" w:cs="Arial" w:eastAsia="Arial" w:hAnsi="Arial"/>
                <w:sz w:val="17"/>
                <w:szCs w:val="17"/>
                <w:color w:val="auto"/>
                <w:w w:val="91"/>
              </w:rPr>
              <w:t>March 31, 2018</w:t>
            </w:r>
          </w:p>
        </w:tc>
        <w:tc>
          <w:tcPr>
            <w:tcW w:w="1900" w:type="dxa"/>
            <w:vAlign w:val="bottom"/>
            <w:gridSpan w:val="3"/>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50,860,529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3,775,745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27,439,835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82,076,109</w:t>
            </w: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0" w:type="dxa"/>
            <w:vAlign w:val="bottom"/>
            <w:gridSpan w:val="4"/>
          </w:tcPr>
          <w:p>
            <w:pPr>
              <w:spacing w:after="0"/>
              <w:rPr>
                <w:sz w:val="20"/>
                <w:szCs w:val="20"/>
                <w:color w:val="auto"/>
              </w:rPr>
            </w:pPr>
            <w:r>
              <w:rPr>
                <w:rFonts w:ascii="Arial" w:cs="Arial" w:eastAsia="Arial" w:hAnsi="Arial"/>
                <w:sz w:val="17"/>
                <w:szCs w:val="17"/>
                <w:color w:val="auto"/>
              </w:rPr>
              <w:t>Intersegment revenues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2,408,163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117,117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133,597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(2,658,877)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Segment profit before income taxes</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23,711,810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860,763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(3,385,391)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21,187,182</w:t>
            </w: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Identifiable Assets</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873,263,596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92,747,811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163,896,491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(134,701,132)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995,206,766</w:t>
            </w:r>
          </w:p>
        </w:tc>
        <w:tc>
          <w:tcPr>
            <w:tcW w:w="80" w:type="dxa"/>
            <w:vAlign w:val="bottom"/>
            <w:shd w:val="clear" w:color="auto" w:fill="CCEEFF"/>
          </w:tcPr>
          <w:p>
            <w:pPr>
              <w:spacing w:after="0"/>
              <w:rPr>
                <w:sz w:val="17"/>
                <w:szCs w:val="17"/>
                <w:color w:val="auto"/>
              </w:rPr>
            </w:pPr>
          </w:p>
        </w:tc>
      </w:tr>
      <w:tr>
        <w:trPr>
          <w:trHeight w:val="211"/>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0" w:type="dxa"/>
            <w:vAlign w:val="bottom"/>
            <w:gridSpan w:val="4"/>
          </w:tcPr>
          <w:p>
            <w:pPr>
              <w:spacing w:after="0"/>
              <w:rPr>
                <w:sz w:val="20"/>
                <w:szCs w:val="20"/>
                <w:color w:val="auto"/>
              </w:rPr>
            </w:pPr>
            <w:r>
              <w:rPr>
                <w:rFonts w:ascii="Arial" w:cs="Arial" w:eastAsia="Arial" w:hAnsi="Arial"/>
                <w:sz w:val="17"/>
                <w:szCs w:val="17"/>
                <w:color w:val="auto"/>
              </w:rPr>
              <w:t>Goodwill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2,765,570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2,765,570</w:t>
            </w:r>
          </w:p>
        </w:tc>
        <w:tc>
          <w:tcPr>
            <w:tcW w:w="80" w:type="dxa"/>
            <w:vAlign w:val="bottom"/>
          </w:tcPr>
          <w:p>
            <w:pPr>
              <w:spacing w:after="0"/>
              <w:rPr>
                <w:sz w:val="18"/>
                <w:szCs w:val="18"/>
                <w:color w:val="auto"/>
              </w:rPr>
            </w:pPr>
          </w:p>
        </w:tc>
      </w:tr>
      <w:tr>
        <w:trPr>
          <w:trHeight w:val="245"/>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Total Assets</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876,029,166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92,747,811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163,896,491</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(134,701,132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997,972,336</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For the Three Months Ended</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color w:val="auto"/>
                <w:w w:val="91"/>
              </w:rPr>
              <w:t>March 31, 2017</w:t>
            </w:r>
          </w:p>
        </w:tc>
        <w:tc>
          <w:tcPr>
            <w:tcW w:w="190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5"/>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26,158,701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3,604,897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41,065,699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70,829,297</w:t>
            </w: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0" w:type="dxa"/>
            <w:vAlign w:val="bottom"/>
            <w:gridSpan w:val="4"/>
          </w:tcPr>
          <w:p>
            <w:pPr>
              <w:spacing w:after="0"/>
              <w:rPr>
                <w:sz w:val="20"/>
                <w:szCs w:val="20"/>
                <w:color w:val="auto"/>
              </w:rPr>
            </w:pPr>
            <w:r>
              <w:rPr>
                <w:rFonts w:ascii="Arial" w:cs="Arial" w:eastAsia="Arial" w:hAnsi="Arial"/>
                <w:sz w:val="17"/>
                <w:szCs w:val="17"/>
                <w:color w:val="auto"/>
              </w:rPr>
              <w:t>Intersegment revenues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2,988,651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109,351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95,770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(3,193,772)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Segment profit before income taxes</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1,483,480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758,911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655,379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2,897,770</w:t>
            </w: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Identifiable Assets</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831,233,557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99,554,821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164,990,647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(139,027,232)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956,751,793</w:t>
            </w:r>
          </w:p>
        </w:tc>
        <w:tc>
          <w:tcPr>
            <w:tcW w:w="80" w:type="dxa"/>
            <w:vAlign w:val="bottom"/>
            <w:shd w:val="clear" w:color="auto" w:fill="CCEEFF"/>
          </w:tcPr>
          <w:p>
            <w:pPr>
              <w:spacing w:after="0"/>
              <w:rPr>
                <w:sz w:val="17"/>
                <w:szCs w:val="17"/>
                <w:color w:val="auto"/>
              </w:rPr>
            </w:pPr>
          </w:p>
        </w:tc>
      </w:tr>
      <w:tr>
        <w:trPr>
          <w:trHeight w:val="211"/>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0" w:type="dxa"/>
            <w:vAlign w:val="bottom"/>
            <w:gridSpan w:val="4"/>
          </w:tcPr>
          <w:p>
            <w:pPr>
              <w:spacing w:after="0"/>
              <w:rPr>
                <w:sz w:val="20"/>
                <w:szCs w:val="20"/>
                <w:color w:val="auto"/>
              </w:rPr>
            </w:pPr>
            <w:r>
              <w:rPr>
                <w:rFonts w:ascii="Arial" w:cs="Arial" w:eastAsia="Arial" w:hAnsi="Arial"/>
                <w:sz w:val="17"/>
                <w:szCs w:val="17"/>
                <w:color w:val="auto"/>
              </w:rPr>
              <w:t>Goodwill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2,765,570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2,765,570</w:t>
            </w:r>
          </w:p>
        </w:tc>
        <w:tc>
          <w:tcPr>
            <w:tcW w:w="80" w:type="dxa"/>
            <w:vAlign w:val="bottom"/>
          </w:tcPr>
          <w:p>
            <w:pPr>
              <w:spacing w:after="0"/>
              <w:rPr>
                <w:sz w:val="18"/>
                <w:szCs w:val="18"/>
                <w:color w:val="auto"/>
              </w:rPr>
            </w:pPr>
          </w:p>
        </w:tc>
      </w:tr>
      <w:tr>
        <w:trPr>
          <w:trHeight w:val="245"/>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Total Assets</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833,999,127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99,554,821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164,990,647</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(139,027,232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959,517,363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15"/>
        </w:trPr>
        <w:tc>
          <w:tcPr>
            <w:tcW w:w="240" w:type="dxa"/>
            <w:vAlign w:val="bottom"/>
          </w:tcPr>
          <w:p>
            <w:pPr>
              <w:jc w:val="right"/>
              <w:ind w:right="14"/>
              <w:spacing w:after="0"/>
              <w:rPr>
                <w:sz w:val="20"/>
                <w:szCs w:val="20"/>
                <w:color w:val="auto"/>
              </w:rPr>
            </w:pPr>
            <w:r>
              <w:rPr>
                <w:rFonts w:ascii="Arial" w:cs="Arial" w:eastAsia="Arial" w:hAnsi="Arial"/>
                <w:sz w:val="17"/>
                <w:szCs w:val="17"/>
                <w:color w:val="auto"/>
                <w:w w:val="79"/>
              </w:rPr>
              <w:t>8)</w:t>
            </w:r>
          </w:p>
        </w:tc>
        <w:tc>
          <w:tcPr>
            <w:tcW w:w="242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w w:val="91"/>
              </w:rPr>
              <w:t>Fair Value of Financial Instruments</w:t>
            </w: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7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Financial assets and financial liabilities whose values are based on unadjusted quoted prices for identical assets or liabilities in an active market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can access.</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i w:val="1"/>
          <w:iCs w:val="1"/>
          <w:color w:val="auto"/>
        </w:rPr>
        <w:t>Level 2:</w:t>
      </w:r>
      <w:r>
        <w:rPr>
          <w:sz w:val="20"/>
          <w:szCs w:val="20"/>
          <w:color w:val="auto"/>
        </w:rPr>
        <w:tab/>
      </w:r>
      <w:r>
        <w:rPr>
          <w:rFonts w:ascii="Arial" w:cs="Arial" w:eastAsia="Arial" w:hAnsi="Arial"/>
          <w:sz w:val="15"/>
          <w:szCs w:val="15"/>
          <w:color w:val="auto"/>
        </w:rPr>
        <w:t>Financial assets and financial liabilities whose values are based on the following:</w:t>
      </w:r>
    </w:p>
    <w:p>
      <w:pPr>
        <w:spacing w:after="0" w:line="215" w:lineRule="exact"/>
        <w:rPr>
          <w:sz w:val="20"/>
          <w:szCs w:val="20"/>
          <w:color w:val="auto"/>
        </w:rPr>
      </w:pPr>
    </w:p>
    <w:p>
      <w:pPr>
        <w:ind w:left="740" w:hanging="457"/>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Quoted prices for similar assets or liabilities in active markets;</w:t>
      </w:r>
    </w:p>
    <w:p>
      <w:pPr>
        <w:spacing w:after="0" w:line="215" w:lineRule="exact"/>
        <w:rPr>
          <w:rFonts w:ascii="Arial" w:cs="Arial" w:eastAsia="Arial" w:hAnsi="Arial"/>
          <w:sz w:val="17"/>
          <w:szCs w:val="17"/>
          <w:color w:val="auto"/>
        </w:rPr>
      </w:pPr>
    </w:p>
    <w:p>
      <w:pPr>
        <w:ind w:left="740" w:hanging="462"/>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Quoted prices for identical or similar assets or liabilities in non-active markets; or</w:t>
      </w:r>
    </w:p>
    <w:p>
      <w:pPr>
        <w:spacing w:after="0" w:line="215" w:lineRule="exact"/>
        <w:rPr>
          <w:rFonts w:ascii="Arial" w:cs="Arial" w:eastAsia="Arial" w:hAnsi="Arial"/>
          <w:sz w:val="17"/>
          <w:szCs w:val="17"/>
          <w:color w:val="auto"/>
        </w:rPr>
      </w:pPr>
    </w:p>
    <w:p>
      <w:pPr>
        <w:ind w:left="700" w:hanging="417"/>
        <w:spacing w:after="0"/>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Valuation models whose inputs are observable, directly or indirectly, for substantially the full term of the asset or liability.</w:t>
      </w: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Financial assets and financial liabilities whose values are based on prices or valuation techniques that require inputs that are both unobservable and</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to the overall fair value measurement. These inputs may reflect the Company's estimates of the assumptions that market participants would use in valuing the financial assets and financial liabilities.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a combination of third party valuation service providers, brokers, and internal valuation models to determine fair value.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methods and assumptions were used by the Company in estimating the fair value disclosures related to significant financial instruments: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40" w:hanging="237"/>
        <w:spacing w:after="0"/>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The items shown under Level 1 and Level 2 are valued as follows:</w:t>
      </w: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u w:val="single" w:color="auto"/>
          <w:color w:val="auto"/>
        </w:rPr>
        <w:t>Equity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values of investments in equity securities along with methods used to estimate such values are disclosed in Note 3 of the Notes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condensed consolidated financial statements.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u w:val="single" w:color="auto"/>
          <w:color w:val="auto"/>
        </w:rPr>
        <w:t>Restricted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 portion of these assets include mutual funds and equity securities that have quoted market prices that are used to determine fair value. Also</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u w:val="single" w:color="auto"/>
          <w:color w:val="auto"/>
        </w:rPr>
        <w:t>Cemetery Endowment Care Trust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 portion of these assets include equity securities that have quoted market prices that are used to determine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Also included are cash and cash equivalents. The carrying amounts reported in the accompanying condensed consolidated balance sheets for these financial instruments approximate their fair values due to their short-term nature.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Call and Put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uses quoted market prices to value its call and put options.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there were no transfers between Level 1 and Level 2 in the fair value hierarchy.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The items shown under Level 3 are valued as follows:</w:t>
      </w:r>
    </w:p>
    <w:p>
      <w:pPr>
        <w:spacing w:after="0" w:line="26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i w:val="1"/>
          <w:iCs w:val="1"/>
          <w:u w:val="single" w:color="auto"/>
          <w:color w:val="auto"/>
        </w:rPr>
        <w:t>Loans Held for Sale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elected the fair value option for all loans held for sale originated after July 1, 2017. The fair value is based on quoted market</w:t>
      </w:r>
      <w:r>
        <w:rPr>
          <w:rFonts w:ascii="Arial" w:cs="Arial" w:eastAsia="Arial" w:hAnsi="Arial"/>
          <w:sz w:val="16"/>
          <w:szCs w:val="16"/>
          <w:i w:val="1"/>
          <w:iCs w:val="1"/>
          <w:color w:val="auto"/>
        </w:rPr>
        <w:t xml:space="preserve"> </w:t>
      </w:r>
      <w:r>
        <w:rPr>
          <w:rFonts w:ascii="Arial" w:cs="Arial" w:eastAsia="Arial" w:hAnsi="Arial"/>
          <w:sz w:val="16"/>
          <w:szCs w:val="16"/>
          <w:color w:val="auto"/>
        </w:rPr>
        <w:t>prices, when available. When a quoted market price is not readily available, the Company uses the market price from its last sale of similar assets.</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u w:val="single" w:color="auto"/>
          <w:color w:val="auto"/>
        </w:rPr>
        <w:t>Loan Commitments and Forward Sale Commitments</w:t>
      </w:r>
      <w:r>
        <w:rPr>
          <w:rFonts w:ascii="Arial" w:cs="Arial" w:eastAsia="Arial" w:hAnsi="Arial"/>
          <w:sz w:val="17"/>
          <w:szCs w:val="17"/>
          <w:color w:val="auto"/>
        </w:rPr>
        <w:t>: The Company's mortgage segment enters into loan commitments with potential borrowers and forward sale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2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u w:val="single" w:color="auto"/>
          <w:color w:val="auto"/>
        </w:rPr>
        <w:t>Impaired 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believes that the fair value of these nonperforming loans will approximate the unpaid principal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Marshall and Swift, a provider of building cost information to the real estate construction.</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u w:val="single" w:color="auto"/>
          <w:color w:val="auto"/>
        </w:rPr>
        <w:t>Real Estate Held for Investment</w:t>
      </w:r>
      <w:r>
        <w:rPr>
          <w:rFonts w:ascii="Arial" w:cs="Arial" w:eastAsia="Arial" w:hAnsi="Arial"/>
          <w:sz w:val="17"/>
          <w:szCs w:val="17"/>
          <w:color w:val="auto"/>
        </w:rPr>
        <w:t>: The Company believes that in an orderly market, fair value will approximate the replacement cost of a home and the rental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It should be noted that for replacement cost, when determining the fair value of mortgage properties, the Company uses Marshall and Swift, a provider of building cost information to the real estate construction industry. For the investment analysis, the Company used market data based upon its real estate operation experience and projected the present value of the net rental income over seven years. The Company also considers area comparables and property condition when determining fair value.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40" w:hanging="237"/>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u w:val="single" w:color="auto"/>
          <w:color w:val="auto"/>
        </w:rPr>
        <w:t>Mortgage Servicing Rights</w:t>
      </w:r>
      <w:r>
        <w:rPr>
          <w:rFonts w:ascii="Arial" w:cs="Arial" w:eastAsia="Arial" w:hAnsi="Arial"/>
          <w:sz w:val="17"/>
          <w:szCs w:val="17"/>
          <w:color w:val="auto"/>
        </w:rPr>
        <w:t>: The Company initially recognizes Mortgage Servicing Rights ("MSRs") at their estimated fair values derived from the net cash flows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the servicing contracts, where the Company assumes the obligation to service the loan in the sale transaction. The precise fair value of MSRs cannot be readily determined because MSRs are not actively traded in stand-alone markets. Considerable judgment is required to estimate the fair values of these assets and the exercise of such judgment can significantly affect the Company's earnings.</w:t>
      </w: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following tables summarize Level 1, 2 and 3 financial assets and financial liabilities measured at fair value on a recurring basis by their classification in the condensed consolidated balance sheet at March 31, 2018.</w:t>
      </w:r>
    </w:p>
    <w:p>
      <w:pPr>
        <w:spacing w:after="0" w:line="200" w:lineRule="exact"/>
        <w:rPr>
          <w:sz w:val="20"/>
          <w:szCs w:val="20"/>
          <w:color w:val="auto"/>
        </w:rPr>
      </w:pP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Quoted</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Prices in</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7"/>
                <w:szCs w:val="17"/>
                <w:color w:val="auto"/>
                <w:w w:val="99"/>
              </w:rPr>
              <w:t>Active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7"/>
                <w:szCs w:val="17"/>
                <w:color w:val="auto"/>
              </w:rPr>
              <w:t>Markets for</w:t>
            </w:r>
          </w:p>
        </w:tc>
        <w:tc>
          <w:tcPr>
            <w:tcW w:w="1000" w:type="dxa"/>
            <w:vAlign w:val="bottom"/>
            <w:gridSpan w:val="3"/>
          </w:tcPr>
          <w:p>
            <w:pPr>
              <w:jc w:val="right"/>
              <w:ind w:right="180"/>
              <w:spacing w:after="0"/>
              <w:rPr>
                <w:sz w:val="20"/>
                <w:szCs w:val="20"/>
                <w:color w:val="auto"/>
              </w:rPr>
            </w:pPr>
            <w:r>
              <w:rPr>
                <w:rFonts w:ascii="Arial" w:cs="Arial" w:eastAsia="Arial" w:hAnsi="Arial"/>
                <w:sz w:val="17"/>
                <w:szCs w:val="17"/>
                <w:color w:val="auto"/>
              </w:rPr>
              <w:t>Significant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4"/>
              </w:rPr>
              <w:t>Significant</w:t>
            </w:r>
          </w:p>
        </w:tc>
      </w:t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94"/>
              </w:rPr>
              <w:t>Identical</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Observable</w:t>
            </w:r>
          </w:p>
        </w:tc>
        <w:tc>
          <w:tcPr>
            <w:tcW w:w="1120" w:type="dxa"/>
            <w:vAlign w:val="bottom"/>
            <w:gridSpan w:val="4"/>
          </w:tcPr>
          <w:p>
            <w:pPr>
              <w:ind w:left="80"/>
              <w:spacing w:after="0"/>
              <w:rPr>
                <w:sz w:val="20"/>
                <w:szCs w:val="20"/>
                <w:color w:val="auto"/>
              </w:rPr>
            </w:pPr>
            <w:r>
              <w:rPr>
                <w:rFonts w:ascii="Arial" w:cs="Arial" w:eastAsia="Arial" w:hAnsi="Arial"/>
                <w:sz w:val="17"/>
                <w:szCs w:val="17"/>
                <w:color w:val="auto"/>
                <w:w w:val="97"/>
              </w:rPr>
              <w:t>Unobservable</w:t>
            </w:r>
          </w:p>
        </w:tc>
      </w:t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86"/>
              </w:rPr>
              <w:t>Assets</w:t>
            </w:r>
          </w:p>
        </w:tc>
        <w:tc>
          <w:tcPr>
            <w:tcW w:w="8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Inputs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Inputs</w:t>
            </w:r>
          </w:p>
        </w:tc>
      </w:tr>
      <w:tr>
        <w:trPr>
          <w:trHeight w:val="223"/>
        </w:trPr>
        <w:tc>
          <w:tcPr>
            <w:tcW w:w="4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(Level 1)</w:t>
            </w:r>
          </w:p>
        </w:tc>
        <w:tc>
          <w:tcPr>
            <w:tcW w:w="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w w:val="99"/>
              </w:rPr>
              <w:t>(Level 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(Level 3)</w:t>
            </w: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Assets accounted for at fair value on a recurring basis</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5,889,151</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5,889,151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6"/>
        </w:trPr>
        <w:tc>
          <w:tcPr>
            <w:tcW w:w="48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Total equity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5,889,151</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5,889,151</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Loans held for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124,866,313</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124,866,313</w:t>
            </w:r>
          </w:p>
        </w:tc>
        <w:tc>
          <w:tcPr>
            <w:tcW w:w="80" w:type="dxa"/>
            <w:vAlign w:val="bottom"/>
          </w:tcPr>
          <w:p>
            <w:pPr>
              <w:spacing w:after="0"/>
              <w:rPr>
                <w:sz w:val="17"/>
                <w:szCs w:val="17"/>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Restricted assets (1)</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800,510</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800,510</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Cemetery perpetual care trust investments (1)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648,381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648,381</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11"/>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Derivatives - loan commitments (2)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2,786,371</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2,786,371</w:t>
            </w:r>
          </w:p>
        </w:tc>
        <w:tc>
          <w:tcPr>
            <w:tcW w:w="80" w:type="dxa"/>
            <w:vAlign w:val="bottom"/>
            <w:shd w:val="clear" w:color="auto" w:fill="CCEEFF"/>
          </w:tcPr>
          <w:p>
            <w:pPr>
              <w:spacing w:after="0"/>
              <w:rPr>
                <w:sz w:val="18"/>
                <w:szCs w:val="18"/>
                <w:color w:val="auto"/>
              </w:rPr>
            </w:pPr>
          </w:p>
        </w:tc>
      </w:tr>
      <w:tr>
        <w:trPr>
          <w:trHeight w:val="205"/>
        </w:trPr>
        <w:tc>
          <w:tcPr>
            <w:tcW w:w="48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Total assets accounted for at fair value on a recurring basis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134,990,726</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7,338,042</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u w:val="single" w:color="auto"/>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127,652,684</w:t>
            </w:r>
          </w:p>
        </w:tc>
        <w:tc>
          <w:tcPr>
            <w:tcW w:w="80" w:type="dxa"/>
            <w:vAlign w:val="bottom"/>
            <w:shd w:val="clear" w:color="auto" w:fill="CCEEFF"/>
          </w:tcPr>
          <w:p>
            <w:pPr>
              <w:spacing w:after="0"/>
              <w:rPr>
                <w:sz w:val="21"/>
                <w:szCs w:val="21"/>
                <w:color w:val="auto"/>
              </w:rPr>
            </w:pPr>
          </w:p>
        </w:tc>
      </w:tr>
      <w:tr>
        <w:trPr>
          <w:trHeight w:val="197"/>
        </w:trPr>
        <w:tc>
          <w:tcPr>
            <w:tcW w:w="48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Liabilities accounted for at fair value on a recurring basis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Derivatives - call options (3)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(13,277)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(13,277)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Derivatives - put options (3)</w:t>
            </w: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(128,598)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(128,598)</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11"/>
        </w:trPr>
        <w:tc>
          <w:tcPr>
            <w:tcW w:w="4800" w:type="dxa"/>
            <w:vAlign w:val="bottom"/>
          </w:tcPr>
          <w:p>
            <w:pPr>
              <w:spacing w:after="0"/>
              <w:rPr>
                <w:sz w:val="20"/>
                <w:szCs w:val="20"/>
                <w:color w:val="auto"/>
              </w:rPr>
            </w:pPr>
            <w:r>
              <w:rPr>
                <w:rFonts w:ascii="Arial" w:cs="Arial" w:eastAsia="Arial" w:hAnsi="Arial"/>
                <w:sz w:val="17"/>
                <w:szCs w:val="17"/>
                <w:color w:val="auto"/>
              </w:rPr>
              <w:t>Derivatives - loan commitments (3)</w:t>
            </w: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(348,824)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(348,824)</w:t>
            </w:r>
          </w:p>
        </w:tc>
      </w:tr>
      <w:tr>
        <w:trPr>
          <w:trHeight w:val="205"/>
        </w:trPr>
        <w:tc>
          <w:tcPr>
            <w:tcW w:w="48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Total liabilities accounted for at fair value on a recurring basis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(490,699)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(141,875)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(348,824)</w:t>
            </w:r>
          </w:p>
        </w:tc>
      </w:tr>
      <w:tr>
        <w:trPr>
          <w:trHeight w:val="20"/>
        </w:trPr>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left="1380" w:hanging="235"/>
        <w:spacing w:after="0"/>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Mutual funds and equity securities</w:t>
      </w:r>
    </w:p>
    <w:p>
      <w:pPr>
        <w:spacing w:after="0" w:line="20" w:lineRule="exact"/>
        <w:rPr>
          <w:rFonts w:ascii="Arial" w:cs="Arial" w:eastAsia="Arial" w:hAnsi="Arial"/>
          <w:sz w:val="17"/>
          <w:szCs w:val="17"/>
          <w:color w:val="auto"/>
        </w:rPr>
      </w:pPr>
    </w:p>
    <w:p>
      <w:pPr>
        <w:ind w:left="1380" w:hanging="235"/>
        <w:spacing w:after="0"/>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Included in other assets on the condensed consolidated balance sheets</w:t>
      </w:r>
    </w:p>
    <w:p>
      <w:pPr>
        <w:spacing w:after="0" w:line="9" w:lineRule="exact"/>
        <w:rPr>
          <w:rFonts w:ascii="Arial" w:cs="Arial" w:eastAsia="Arial" w:hAnsi="Arial"/>
          <w:sz w:val="17"/>
          <w:szCs w:val="17"/>
          <w:color w:val="auto"/>
        </w:rPr>
      </w:pPr>
    </w:p>
    <w:p>
      <w:pPr>
        <w:ind w:left="1380" w:hanging="235"/>
        <w:spacing w:after="0"/>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Included in other liabilities and accrued expenses on the condensed consolidated balance sheets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jc w:val="center"/>
        <w:ind w:right="-219"/>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40" w:hanging="237"/>
        <w:spacing w:after="0"/>
        <w:tabs>
          <w:tab w:leader="none" w:pos="24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changes in the condensed consolidated balance sheet line items measured using level 3 inputs:</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6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Loans</w:t>
            </w:r>
          </w:p>
        </w:tc>
        <w:tc>
          <w:tcPr>
            <w:tcW w:w="0" w:type="dxa"/>
            <w:vAlign w:val="bottom"/>
          </w:tcPr>
          <w:p>
            <w:pPr>
              <w:spacing w:after="0"/>
              <w:rPr>
                <w:sz w:val="1"/>
                <w:szCs w:val="1"/>
                <w:color w:val="auto"/>
              </w:rPr>
            </w:pPr>
          </w:p>
        </w:tc>
      </w:tr>
      <w:tr>
        <w:trPr>
          <w:trHeight w:val="205"/>
        </w:trPr>
        <w:tc>
          <w:tcPr>
            <w:tcW w:w="6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7"/>
                <w:szCs w:val="17"/>
                <w:color w:val="auto"/>
              </w:rPr>
              <w:t>Net Loan</w:t>
            </w:r>
          </w:p>
        </w:tc>
        <w:tc>
          <w:tcPr>
            <w:tcW w:w="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7"/>
                <w:szCs w:val="17"/>
                <w:color w:val="auto"/>
              </w:rPr>
              <w:t>Held for</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Arial" w:cs="Arial" w:eastAsia="Arial" w:hAnsi="Arial"/>
                <w:sz w:val="17"/>
                <w:szCs w:val="17"/>
                <w:color w:val="auto"/>
                <w:w w:val="99"/>
              </w:rPr>
              <w:t>Commitments</w:t>
            </w:r>
          </w:p>
        </w:tc>
        <w:tc>
          <w:tcPr>
            <w:tcW w:w="8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Sale</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Balance - December 31, 2017</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1,996,589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$ 133,414,188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00" w:type="dxa"/>
            <w:vAlign w:val="bottom"/>
          </w:tcPr>
          <w:p>
            <w:pPr>
              <w:spacing w:after="0"/>
              <w:rPr>
                <w:sz w:val="20"/>
                <w:szCs w:val="20"/>
                <w:color w:val="auto"/>
              </w:rPr>
            </w:pPr>
            <w:r>
              <w:rPr>
                <w:rFonts w:ascii="Arial" w:cs="Arial" w:eastAsia="Arial" w:hAnsi="Arial"/>
                <w:sz w:val="17"/>
                <w:szCs w:val="17"/>
                <w:color w:val="auto"/>
              </w:rPr>
              <w:t>Originations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479,953,484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(505,586,040)</w:t>
            </w:r>
          </w:p>
        </w:tc>
        <w:tc>
          <w:tcPr>
            <w:tcW w:w="0" w:type="dxa"/>
            <w:vAlign w:val="bottom"/>
          </w:tcPr>
          <w:p>
            <w:pPr>
              <w:spacing w:after="0"/>
              <w:rPr>
                <w:sz w:val="1"/>
                <w:szCs w:val="1"/>
                <w:color w:val="auto"/>
              </w:rPr>
            </w:pPr>
          </w:p>
        </w:tc>
      </w:tr>
      <w:tr>
        <w:trPr>
          <w:trHeight w:val="205"/>
        </w:trPr>
        <w:tc>
          <w:tcPr>
            <w:tcW w:w="6900" w:type="dxa"/>
            <w:vAlign w:val="bottom"/>
          </w:tcPr>
          <w:p>
            <w:pPr>
              <w:spacing w:after="0"/>
              <w:rPr>
                <w:sz w:val="20"/>
                <w:szCs w:val="20"/>
                <w:color w:val="auto"/>
              </w:rPr>
            </w:pPr>
            <w:r>
              <w:rPr>
                <w:rFonts w:ascii="Arial" w:cs="Arial" w:eastAsia="Arial" w:hAnsi="Arial"/>
                <w:sz w:val="17"/>
                <w:szCs w:val="17"/>
                <w:color w:val="auto"/>
              </w:rPr>
              <w:t>Transfer to mortgage loans held for investment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(139,464)</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Total gains (losses):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00" w:type="dxa"/>
            <w:vAlign w:val="bottom"/>
          </w:tcPr>
          <w:p>
            <w:pPr>
              <w:ind w:left="180"/>
              <w:spacing w:after="0"/>
              <w:rPr>
                <w:sz w:val="20"/>
                <w:szCs w:val="20"/>
                <w:color w:val="auto"/>
              </w:rPr>
            </w:pPr>
            <w:r>
              <w:rPr>
                <w:rFonts w:ascii="Arial" w:cs="Arial" w:eastAsia="Arial" w:hAnsi="Arial"/>
                <w:sz w:val="17"/>
                <w:szCs w:val="17"/>
                <w:color w:val="auto"/>
              </w:rPr>
              <w:t>Included in earnings (1)</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440,958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17,224,145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00" w:type="dxa"/>
            <w:vAlign w:val="bottom"/>
          </w:tcPr>
          <w:p>
            <w:pPr>
              <w:spacing w:after="0"/>
              <w:rPr>
                <w:sz w:val="20"/>
                <w:szCs w:val="20"/>
                <w:color w:val="auto"/>
              </w:rPr>
            </w:pPr>
            <w:r>
              <w:rPr>
                <w:rFonts w:ascii="Arial" w:cs="Arial" w:eastAsia="Arial" w:hAnsi="Arial"/>
                <w:sz w:val="17"/>
                <w:szCs w:val="17"/>
                <w:color w:val="auto"/>
              </w:rPr>
              <w:t>Balance - March 31, 2018</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2,437,547</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w w:val="99"/>
              </w:rPr>
              <w:t>$ 124,866,313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7"/>
                <w:szCs w:val="17"/>
                <w:color w:val="auto"/>
                <w:w w:val="91"/>
              </w:rPr>
              <w:t>(1) As a component of Mortgage fee income on the condensed consolidated statements of earnings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6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following tables summarize Level 1, 2 and 3 financial assets and financial liabilities measured at fair value on a nonrecurring basis by their classification in the condensed consolidated balance sheet at March 31, 2018.</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Quoted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8"/>
              </w:rPr>
              <w:t>Prices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left="16"/>
              <w:spacing w:after="0"/>
              <w:rPr>
                <w:sz w:val="20"/>
                <w:szCs w:val="20"/>
                <w:color w:val="auto"/>
              </w:rPr>
            </w:pPr>
            <w:r>
              <w:rPr>
                <w:rFonts w:ascii="Arial" w:cs="Arial" w:eastAsia="Arial" w:hAnsi="Arial"/>
                <w:sz w:val="17"/>
                <w:szCs w:val="17"/>
                <w:color w:val="auto"/>
                <w:w w:val="99"/>
              </w:rPr>
              <w:t>in Active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Significant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Significant</w:t>
            </w:r>
          </w:p>
        </w:tc>
      </w:tr>
      <w:tr>
        <w:trPr>
          <w:trHeight w:val="205"/>
        </w:trPr>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Arial" w:cs="Arial" w:eastAsia="Arial" w:hAnsi="Arial"/>
                <w:sz w:val="17"/>
                <w:szCs w:val="17"/>
                <w:color w:val="auto"/>
                <w:w w:val="94"/>
              </w:rPr>
              <w:t>Markets for</w:t>
            </w: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9"/>
              </w:rPr>
              <w:t>Observable</w:t>
            </w:r>
          </w:p>
        </w:tc>
        <w:tc>
          <w:tcPr>
            <w:tcW w:w="160" w:type="dxa"/>
            <w:vAlign w:val="bottom"/>
          </w:tcPr>
          <w:p>
            <w:pPr>
              <w:spacing w:after="0"/>
              <w:rPr>
                <w:sz w:val="17"/>
                <w:szCs w:val="17"/>
                <w:color w:val="auto"/>
              </w:rPr>
            </w:pPr>
          </w:p>
        </w:tc>
        <w:tc>
          <w:tcPr>
            <w:tcW w:w="1120" w:type="dxa"/>
            <w:vAlign w:val="bottom"/>
            <w:gridSpan w:val="4"/>
          </w:tcPr>
          <w:p>
            <w:pPr>
              <w:jc w:val="center"/>
              <w:spacing w:after="0"/>
              <w:rPr>
                <w:sz w:val="20"/>
                <w:szCs w:val="20"/>
                <w:color w:val="auto"/>
              </w:rPr>
            </w:pPr>
            <w:r>
              <w:rPr>
                <w:rFonts w:ascii="Arial" w:cs="Arial" w:eastAsia="Arial" w:hAnsi="Arial"/>
                <w:sz w:val="17"/>
                <w:szCs w:val="17"/>
                <w:color w:val="auto"/>
                <w:w w:val="91"/>
              </w:rPr>
              <w:t>Unobservable</w:t>
            </w:r>
          </w:p>
        </w:tc>
      </w:tr>
      <w:tr>
        <w:trPr>
          <w:trHeight w:val="205"/>
        </w:trPr>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left="16"/>
              <w:spacing w:after="0"/>
              <w:rPr>
                <w:sz w:val="20"/>
                <w:szCs w:val="20"/>
                <w:color w:val="auto"/>
              </w:rPr>
            </w:pPr>
            <w:r>
              <w:rPr>
                <w:rFonts w:ascii="Arial" w:cs="Arial" w:eastAsia="Arial" w:hAnsi="Arial"/>
                <w:sz w:val="17"/>
                <w:szCs w:val="17"/>
                <w:color w:val="auto"/>
                <w:w w:val="94"/>
              </w:rPr>
              <w:t>Identical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left="16"/>
              <w:spacing w:after="0"/>
              <w:rPr>
                <w:sz w:val="20"/>
                <w:szCs w:val="20"/>
                <w:color w:val="auto"/>
              </w:rPr>
            </w:pPr>
            <w:r>
              <w:rPr>
                <w:rFonts w:ascii="Arial" w:cs="Arial" w:eastAsia="Arial" w:hAnsi="Arial"/>
                <w:sz w:val="17"/>
                <w:szCs w:val="17"/>
                <w:color w:val="auto"/>
                <w:w w:val="86"/>
              </w:rPr>
              <w:t>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Inputs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4"/>
              </w:rPr>
              <w:t>Inputs</w:t>
            </w:r>
          </w:p>
        </w:tc>
      </w:tr>
      <w:tr>
        <w:trPr>
          <w:trHeight w:val="223"/>
        </w:trPr>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4"/>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rPr>
                <w:sz w:val="19"/>
                <w:szCs w:val="19"/>
                <w:color w:val="auto"/>
              </w:rPr>
            </w:pPr>
          </w:p>
        </w:tc>
        <w:tc>
          <w:tcPr>
            <w:tcW w:w="820" w:type="dxa"/>
            <w:vAlign w:val="bottom"/>
          </w:tcPr>
          <w:p>
            <w:pPr>
              <w:jc w:val="center"/>
              <w:ind w:left="16"/>
              <w:spacing w:after="0"/>
              <w:rPr>
                <w:sz w:val="20"/>
                <w:szCs w:val="20"/>
                <w:color w:val="auto"/>
              </w:rPr>
            </w:pPr>
            <w:r>
              <w:rPr>
                <w:rFonts w:ascii="Arial" w:cs="Arial" w:eastAsia="Arial" w:hAnsi="Arial"/>
                <w:sz w:val="17"/>
                <w:szCs w:val="17"/>
                <w:color w:val="auto"/>
                <w:w w:val="96"/>
              </w:rPr>
              <w:t>(Level 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3"/>
              </w:rPr>
              <w:t>(Level 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(Level 3)</w:t>
            </w:r>
          </w:p>
        </w:tc>
      </w:tr>
      <w:tr>
        <w:trPr>
          <w:trHeight w:val="205"/>
        </w:trPr>
        <w:tc>
          <w:tcPr>
            <w:tcW w:w="4840" w:type="dxa"/>
            <w:vAlign w:val="bottom"/>
          </w:tcPr>
          <w:p>
            <w:pPr>
              <w:spacing w:after="0"/>
              <w:rPr>
                <w:sz w:val="20"/>
                <w:szCs w:val="20"/>
                <w:color w:val="auto"/>
              </w:rPr>
            </w:pPr>
            <w:r>
              <w:rPr>
                <w:rFonts w:ascii="Arial" w:cs="Arial" w:eastAsia="Arial" w:hAnsi="Arial"/>
                <w:sz w:val="17"/>
                <w:szCs w:val="17"/>
                <w:color w:val="auto"/>
              </w:rPr>
              <w:t>Assets accounted for at fair value on a nonrecurring basis</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Impaired mortgage loans held for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1,417,617</w:t>
            </w:r>
          </w:p>
        </w:tc>
        <w:tc>
          <w:tcPr>
            <w:tcW w:w="1000" w:type="dxa"/>
            <w:vAlign w:val="bottom"/>
            <w:gridSpan w:val="2"/>
            <w:shd w:val="clear" w:color="auto" w:fill="CCEEFF"/>
          </w:tcPr>
          <w:p>
            <w:pPr>
              <w:jc w:val="right"/>
              <w:ind w:right="65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1,417,617</w:t>
            </w:r>
          </w:p>
        </w:tc>
        <w:tc>
          <w:tcPr>
            <w:tcW w:w="80" w:type="dxa"/>
            <w:vAlign w:val="bottom"/>
            <w:shd w:val="clear" w:color="auto" w:fill="CCEEFF"/>
          </w:tcPr>
          <w:p>
            <w:pPr>
              <w:spacing w:after="0"/>
              <w:rPr>
                <w:sz w:val="17"/>
                <w:szCs w:val="17"/>
                <w:color w:val="auto"/>
              </w:rPr>
            </w:pPr>
          </w:p>
        </w:tc>
      </w:tr>
      <w:tr>
        <w:trPr>
          <w:trHeight w:val="205"/>
        </w:trPr>
        <w:tc>
          <w:tcPr>
            <w:tcW w:w="4840" w:type="dxa"/>
            <w:vAlign w:val="bottom"/>
          </w:tcPr>
          <w:p>
            <w:pPr>
              <w:spacing w:after="0"/>
              <w:rPr>
                <w:sz w:val="20"/>
                <w:szCs w:val="20"/>
                <w:color w:val="auto"/>
              </w:rPr>
            </w:pPr>
            <w:r>
              <w:rPr>
                <w:rFonts w:ascii="Arial" w:cs="Arial" w:eastAsia="Arial" w:hAnsi="Arial"/>
                <w:sz w:val="17"/>
                <w:szCs w:val="17"/>
                <w:color w:val="auto"/>
              </w:rPr>
              <w:t>Impaired real estate held for investment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1,005,866</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1,005,866</w:t>
            </w:r>
          </w:p>
        </w:tc>
        <w:tc>
          <w:tcPr>
            <w:tcW w:w="80" w:type="dxa"/>
            <w:vAlign w:val="bottom"/>
          </w:tcPr>
          <w:p>
            <w:pPr>
              <w:spacing w:after="0"/>
              <w:rPr>
                <w:sz w:val="17"/>
                <w:szCs w:val="17"/>
                <w:color w:val="auto"/>
              </w:rPr>
            </w:pPr>
          </w:p>
        </w:tc>
      </w:tr>
      <w:tr>
        <w:trPr>
          <w:trHeight w:val="205"/>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Mortgage servicing rights additions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997,497</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997,497</w:t>
            </w:r>
          </w:p>
        </w:tc>
        <w:tc>
          <w:tcPr>
            <w:tcW w:w="80" w:type="dxa"/>
            <w:vAlign w:val="bottom"/>
            <w:shd w:val="clear" w:color="auto" w:fill="CCEEFF"/>
          </w:tcPr>
          <w:p>
            <w:pPr>
              <w:spacing w:after="0"/>
              <w:rPr>
                <w:sz w:val="17"/>
                <w:szCs w:val="17"/>
                <w:color w:val="auto"/>
              </w:rPr>
            </w:pPr>
          </w:p>
        </w:tc>
      </w:tr>
      <w:tr>
        <w:trPr>
          <w:trHeight w:val="26"/>
        </w:trPr>
        <w:tc>
          <w:tcPr>
            <w:tcW w:w="4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4840" w:type="dxa"/>
            <w:vAlign w:val="bottom"/>
          </w:tcPr>
          <w:p>
            <w:pPr>
              <w:spacing w:after="0"/>
              <w:rPr>
                <w:sz w:val="20"/>
                <w:szCs w:val="20"/>
                <w:color w:val="auto"/>
              </w:rPr>
            </w:pPr>
            <w:r>
              <w:rPr>
                <w:rFonts w:ascii="Arial" w:cs="Arial" w:eastAsia="Arial" w:hAnsi="Arial"/>
                <w:sz w:val="17"/>
                <w:szCs w:val="17"/>
                <w:color w:val="auto"/>
              </w:rPr>
              <w:t>Total assets accounted for at fair value on a nonrecurring basis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3,420,980</w:t>
            </w:r>
          </w:p>
        </w:tc>
        <w:tc>
          <w:tcPr>
            <w:tcW w:w="180" w:type="dxa"/>
            <w:vAlign w:val="bottom"/>
          </w:tcPr>
          <w:p>
            <w:pPr>
              <w:spacing w:after="0"/>
              <w:rPr>
                <w:sz w:val="17"/>
                <w:szCs w:val="17"/>
                <w:color w:val="auto"/>
              </w:rPr>
            </w:pPr>
          </w:p>
        </w:tc>
        <w:tc>
          <w:tcPr>
            <w:tcW w:w="820" w:type="dxa"/>
            <w:vAlign w:val="bottom"/>
          </w:tcPr>
          <w:p>
            <w:pPr>
              <w:jc w:val="right"/>
              <w:ind w:right="656"/>
              <w:spacing w:after="0"/>
              <w:rPr>
                <w:sz w:val="20"/>
                <w:szCs w:val="20"/>
                <w:color w:val="auto"/>
              </w:rPr>
            </w:pPr>
            <w:r>
              <w:rPr>
                <w:rFonts w:ascii="Arial" w:cs="Arial" w:eastAsia="Arial" w:hAnsi="Arial"/>
                <w:sz w:val="15"/>
                <w:szCs w:val="15"/>
                <w:color w:val="auto"/>
                <w:w w:val="71"/>
              </w:rPr>
              <w:t>$</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74"/>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3,420,980</w:t>
            </w:r>
          </w:p>
        </w:tc>
        <w:tc>
          <w:tcPr>
            <w:tcW w:w="8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4"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The following tables summarize Level 1, 2 and 3 financial assets and financial liabilities measured at fair value on a recurring basis by their classification in the condensed consolidated balance sheet at December 31, 2017.</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34" w:name="page35"/>
    <w:bookmarkEnd w:id="34"/>
    <w:p>
      <w:pPr>
        <w:jc w:val="center"/>
        <w:ind w:right="-1139"/>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March 31, 2018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40" w:type="dxa"/>
            <w:vAlign w:val="bottom"/>
            <w:gridSpan w:val="4"/>
          </w:tcPr>
          <w:p>
            <w:pPr>
              <w:spacing w:after="0"/>
              <w:rPr>
                <w:sz w:val="20"/>
                <w:szCs w:val="20"/>
                <w:color w:val="auto"/>
              </w:rPr>
            </w:pPr>
            <w:r>
              <w:rPr>
                <w:rFonts w:ascii="Arial" w:cs="Arial" w:eastAsia="Arial" w:hAnsi="Arial"/>
                <w:sz w:val="17"/>
                <w:szCs w:val="17"/>
                <w:color w:val="auto"/>
              </w:rPr>
              <w:t>8) Fair Value of Financial Instruments (Continued)</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68"/>
        </w:trPr>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Quoted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Prices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99"/>
              </w:rPr>
              <w:t>in Active</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7"/>
                <w:szCs w:val="17"/>
                <w:color w:val="auto"/>
              </w:rPr>
              <w:t>Markets for</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Significant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4"/>
              </w:rPr>
              <w:t>Significant</w:t>
            </w: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Identical</w:t>
            </w:r>
          </w:p>
        </w:tc>
        <w:tc>
          <w:tcPr>
            <w:tcW w:w="840" w:type="dxa"/>
            <w:vAlign w:val="bottom"/>
          </w:tcPr>
          <w:p>
            <w:pPr>
              <w:jc w:val="center"/>
              <w:spacing w:after="0"/>
              <w:rPr>
                <w:sz w:val="20"/>
                <w:szCs w:val="20"/>
                <w:color w:val="auto"/>
              </w:rPr>
            </w:pPr>
            <w:r>
              <w:rPr>
                <w:rFonts w:ascii="Arial" w:cs="Arial" w:eastAsia="Arial" w:hAnsi="Arial"/>
                <w:sz w:val="17"/>
                <w:szCs w:val="17"/>
                <w:color w:val="auto"/>
                <w:w w:val="89"/>
              </w:rPr>
              <w:t>Observable</w:t>
            </w:r>
          </w:p>
        </w:tc>
        <w:tc>
          <w:tcPr>
            <w:tcW w:w="160" w:type="dxa"/>
            <w:vAlign w:val="bottom"/>
          </w:tcPr>
          <w:p>
            <w:pPr>
              <w:spacing w:after="0"/>
              <w:rPr>
                <w:sz w:val="17"/>
                <w:szCs w:val="17"/>
                <w:color w:val="auto"/>
              </w:rPr>
            </w:pPr>
          </w:p>
        </w:tc>
        <w:tc>
          <w:tcPr>
            <w:tcW w:w="1120" w:type="dxa"/>
            <w:vAlign w:val="bottom"/>
            <w:gridSpan w:val="4"/>
          </w:tcPr>
          <w:p>
            <w:pPr>
              <w:ind w:left="80"/>
              <w:spacing w:after="0"/>
              <w:rPr>
                <w:sz w:val="20"/>
                <w:szCs w:val="20"/>
                <w:color w:val="auto"/>
              </w:rPr>
            </w:pPr>
            <w:r>
              <w:rPr>
                <w:rFonts w:ascii="Arial" w:cs="Arial" w:eastAsia="Arial" w:hAnsi="Arial"/>
                <w:sz w:val="17"/>
                <w:szCs w:val="17"/>
                <w:color w:val="auto"/>
                <w:w w:val="97"/>
              </w:rPr>
              <w:t>Unobservable</w:t>
            </w: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86"/>
              </w:rPr>
              <w:t>Assets</w:t>
            </w:r>
          </w:p>
        </w:tc>
        <w:tc>
          <w:tcPr>
            <w:tcW w:w="840" w:type="dxa"/>
            <w:vAlign w:val="bottom"/>
          </w:tcPr>
          <w:p>
            <w:pPr>
              <w:jc w:val="right"/>
              <w:ind w:right="80"/>
              <w:spacing w:after="0"/>
              <w:rPr>
                <w:sz w:val="20"/>
                <w:szCs w:val="20"/>
                <w:color w:val="auto"/>
              </w:rPr>
            </w:pPr>
            <w:r>
              <w:rPr>
                <w:rFonts w:ascii="Arial" w:cs="Arial" w:eastAsia="Arial" w:hAnsi="Arial"/>
                <w:sz w:val="17"/>
                <w:szCs w:val="17"/>
                <w:color w:val="auto"/>
              </w:rPr>
              <w:t>Inputs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Inputs</w:t>
            </w: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(Level 1)</w:t>
            </w:r>
          </w:p>
        </w:tc>
        <w:tc>
          <w:tcPr>
            <w:tcW w:w="840" w:type="dxa"/>
            <w:vAlign w:val="bottom"/>
          </w:tcPr>
          <w:p>
            <w:pPr>
              <w:jc w:val="center"/>
              <w:spacing w:after="0"/>
              <w:rPr>
                <w:sz w:val="20"/>
                <w:szCs w:val="20"/>
                <w:color w:val="auto"/>
              </w:rPr>
            </w:pPr>
            <w:r>
              <w:rPr>
                <w:rFonts w:ascii="Arial" w:cs="Arial" w:eastAsia="Arial" w:hAnsi="Arial"/>
                <w:sz w:val="17"/>
                <w:szCs w:val="17"/>
                <w:color w:val="auto"/>
                <w:w w:val="93"/>
              </w:rPr>
              <w:t>(Level 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(Level 3)</w:t>
            </w: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Assets accounted for at fair value on a recurring basis</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6,037,855</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6,037,855</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6"/>
        </w:trPr>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Total equity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6,037,855</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6,037,855</w:t>
            </w:r>
          </w:p>
        </w:tc>
        <w:tc>
          <w:tcPr>
            <w:tcW w:w="180" w:type="dxa"/>
            <w:vAlign w:val="bottom"/>
          </w:tcPr>
          <w:p>
            <w:pPr>
              <w:spacing w:after="0"/>
              <w:rPr>
                <w:sz w:val="17"/>
                <w:szCs w:val="17"/>
                <w:color w:val="auto"/>
              </w:rPr>
            </w:pPr>
          </w:p>
        </w:tc>
        <w:tc>
          <w:tcPr>
            <w:tcW w:w="840" w:type="dxa"/>
            <w:vAlign w:val="bottom"/>
          </w:tcPr>
          <w:p>
            <w:pPr>
              <w:jc w:val="right"/>
              <w:ind w:right="680"/>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Loans held for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133,414,188</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jc w:val="right"/>
              <w:ind w:right="680"/>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133,414,188</w:t>
            </w:r>
          </w:p>
        </w:tc>
        <w:tc>
          <w:tcPr>
            <w:tcW w:w="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Restricted assets (1)</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809,958</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809,958</w:t>
            </w:r>
          </w:p>
        </w:tc>
        <w:tc>
          <w:tcPr>
            <w:tcW w:w="8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Cemetery perpetual care trust investments (1)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682,315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682,315</w:t>
            </w:r>
          </w:p>
        </w:tc>
        <w:tc>
          <w:tcPr>
            <w:tcW w:w="840" w:type="dxa"/>
            <w:vAlign w:val="bottom"/>
          </w:tcPr>
          <w:p>
            <w:pPr>
              <w:spacing w:after="0"/>
              <w:rPr>
                <w:sz w:val="17"/>
                <w:szCs w:val="17"/>
                <w:color w:val="auto"/>
              </w:rPr>
            </w:pP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11"/>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Derivatives - loan commitments (2)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2,032,782</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2,032,782</w:t>
            </w:r>
          </w:p>
        </w:tc>
        <w:tc>
          <w:tcPr>
            <w:tcW w:w="80" w:type="dxa"/>
            <w:vAlign w:val="bottom"/>
            <w:shd w:val="clear" w:color="auto" w:fill="CCEEFF"/>
          </w:tcPr>
          <w:p>
            <w:pPr>
              <w:spacing w:after="0"/>
              <w:rPr>
                <w:sz w:val="18"/>
                <w:szCs w:val="18"/>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3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5"/>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 accounted for at fair value on a recurring basis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9,562,910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7,530,128</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2,032,782</w:t>
            </w:r>
          </w:p>
        </w:tc>
        <w:tc>
          <w:tcPr>
            <w:tcW w:w="80" w:type="dxa"/>
            <w:vAlign w:val="bottom"/>
            <w:shd w:val="clear" w:color="auto" w:fill="CCEEFF"/>
          </w:tcPr>
          <w:p>
            <w:pPr>
              <w:spacing w:after="0"/>
              <w:rPr>
                <w:sz w:val="21"/>
                <w:szCs w:val="21"/>
                <w:color w:val="auto"/>
              </w:rPr>
            </w:pPr>
          </w:p>
        </w:tc>
      </w:tr>
      <w:tr>
        <w:trPr>
          <w:trHeight w:val="197"/>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Liabilities accounted for at fair value on a recurring basis</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Derivatives - call options (3)</w:t>
            </w: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(64,689)</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(64,689)</w:t>
            </w:r>
          </w:p>
        </w:tc>
        <w:tc>
          <w:tcPr>
            <w:tcW w:w="8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Derivatives - put options (3)</w:t>
            </w: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(20,568)</w:t>
            </w:r>
          </w:p>
        </w:tc>
        <w:tc>
          <w:tcPr>
            <w:tcW w:w="1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(20,568)</w:t>
            </w:r>
          </w:p>
        </w:tc>
        <w:tc>
          <w:tcPr>
            <w:tcW w:w="840" w:type="dxa"/>
            <w:vAlign w:val="bottom"/>
          </w:tcPr>
          <w:p>
            <w:pPr>
              <w:spacing w:after="0"/>
              <w:rPr>
                <w:sz w:val="17"/>
                <w:szCs w:val="17"/>
                <w:color w:val="auto"/>
              </w:rPr>
            </w:pP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11"/>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Derivatives - loan commitments (3)</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(36,193)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(36,193)</w:t>
            </w:r>
          </w:p>
        </w:tc>
      </w:tr>
      <w:tr>
        <w:trPr>
          <w:trHeight w:val="205"/>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3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25"/>
        </w:trPr>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liabilities accounted for at fair value on a recurring basis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(121,450)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(85,257)</w:t>
            </w: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(36,193)</w:t>
            </w: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3" w:lineRule="exact"/>
        <w:rPr>
          <w:sz w:val="20"/>
          <w:szCs w:val="20"/>
          <w:color w:val="auto"/>
        </w:rPr>
      </w:pPr>
    </w:p>
    <w:p>
      <w:pPr>
        <w:ind w:left="1380" w:hanging="235"/>
        <w:spacing w:after="0"/>
        <w:tabs>
          <w:tab w:leader="none" w:pos="1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Mutual funds and equity securities</w:t>
      </w:r>
    </w:p>
    <w:p>
      <w:pPr>
        <w:spacing w:after="0" w:line="20" w:lineRule="exact"/>
        <w:rPr>
          <w:rFonts w:ascii="Arial" w:cs="Arial" w:eastAsia="Arial" w:hAnsi="Arial"/>
          <w:sz w:val="17"/>
          <w:szCs w:val="17"/>
          <w:color w:val="auto"/>
        </w:rPr>
      </w:pPr>
    </w:p>
    <w:p>
      <w:pPr>
        <w:ind w:left="1380" w:hanging="235"/>
        <w:spacing w:after="0"/>
        <w:tabs>
          <w:tab w:leader="none" w:pos="1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Included in other assets on the condensed consolidated balance sheets</w:t>
      </w:r>
    </w:p>
    <w:p>
      <w:pPr>
        <w:spacing w:after="0" w:line="9" w:lineRule="exact"/>
        <w:rPr>
          <w:rFonts w:ascii="Arial" w:cs="Arial" w:eastAsia="Arial" w:hAnsi="Arial"/>
          <w:sz w:val="17"/>
          <w:szCs w:val="17"/>
          <w:color w:val="auto"/>
        </w:rPr>
      </w:pPr>
    </w:p>
    <w:p>
      <w:pPr>
        <w:ind w:left="1380" w:hanging="235"/>
        <w:spacing w:after="0"/>
        <w:tabs>
          <w:tab w:leader="none" w:pos="1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Included in other liabilities and accrued expenses on the condensed consolidated balance sheets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changes in the condensed consolidated balance sheet line items measured using level 3 inputs:</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Net</w:t>
            </w:r>
          </w:p>
        </w:tc>
        <w:tc>
          <w:tcPr>
            <w:tcW w:w="1080" w:type="dxa"/>
            <w:vAlign w:val="bottom"/>
            <w:gridSpan w:val="3"/>
          </w:tcPr>
          <w:p>
            <w:pPr>
              <w:jc w:val="center"/>
              <w:ind w:right="200"/>
              <w:spacing w:after="0"/>
              <w:rPr>
                <w:sz w:val="20"/>
                <w:szCs w:val="20"/>
                <w:color w:val="auto"/>
              </w:rPr>
            </w:pPr>
            <w:r>
              <w:rPr>
                <w:rFonts w:ascii="Arial" w:cs="Arial" w:eastAsia="Arial" w:hAnsi="Arial"/>
                <w:sz w:val="17"/>
                <w:szCs w:val="17"/>
                <w:color w:val="auto"/>
                <w:w w:val="93"/>
              </w:rPr>
              <w:t>Bank Loan</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Loan</w:t>
            </w:r>
          </w:p>
        </w:tc>
        <w:tc>
          <w:tcPr>
            <w:tcW w:w="1080" w:type="dxa"/>
            <w:vAlign w:val="bottom"/>
            <w:gridSpan w:val="3"/>
          </w:tcPr>
          <w:p>
            <w:pPr>
              <w:spacing w:after="0"/>
              <w:rPr>
                <w:sz w:val="20"/>
                <w:szCs w:val="20"/>
                <w:color w:val="auto"/>
              </w:rPr>
            </w:pPr>
            <w:r>
              <w:rPr>
                <w:rFonts w:ascii="Arial" w:cs="Arial" w:eastAsia="Arial" w:hAnsi="Arial"/>
                <w:sz w:val="17"/>
                <w:szCs w:val="17"/>
                <w:color w:val="auto"/>
              </w:rPr>
              <w:t>Interest Rate</w:t>
            </w:r>
          </w:p>
        </w:tc>
        <w:tc>
          <w:tcPr>
            <w:tcW w:w="80" w:type="dxa"/>
            <w:vAlign w:val="bottom"/>
          </w:tcPr>
          <w:p>
            <w:pPr>
              <w:spacing w:after="0"/>
              <w:rPr>
                <w:sz w:val="17"/>
                <w:szCs w:val="17"/>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Loans</w:t>
            </w:r>
          </w:p>
        </w:tc>
      </w:tr>
      <w:tr>
        <w:trPr>
          <w:trHeight w:val="223"/>
        </w:trPr>
        <w:tc>
          <w:tcPr>
            <w:tcW w:w="566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w w:val="93"/>
              </w:rPr>
              <w:t>Commitments</w:t>
            </w:r>
          </w:p>
        </w:tc>
        <w:tc>
          <w:tcPr>
            <w:tcW w:w="160" w:type="dxa"/>
            <w:vAlign w:val="bottom"/>
          </w:tcPr>
          <w:p>
            <w:pPr>
              <w:spacing w:after="0"/>
              <w:rPr>
                <w:sz w:val="19"/>
                <w:szCs w:val="19"/>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7"/>
                <w:szCs w:val="17"/>
                <w:color w:val="auto"/>
                <w:w w:val="86"/>
              </w:rPr>
              <w:t>Swaps</w:t>
            </w:r>
          </w:p>
        </w:tc>
        <w:tc>
          <w:tcPr>
            <w:tcW w:w="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Held for Sale</w:t>
            </w:r>
          </w:p>
        </w:tc>
      </w:tr>
      <w:tr>
        <w:trPr>
          <w:trHeight w:val="205"/>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Balance - December 31, 2016</w:t>
            </w: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6,809,332</w:t>
            </w: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(3,308)</w:t>
            </w: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5660" w:type="dxa"/>
            <w:vAlign w:val="bottom"/>
          </w:tcPr>
          <w:p>
            <w:pPr>
              <w:spacing w:after="0"/>
              <w:rPr>
                <w:sz w:val="20"/>
                <w:szCs w:val="20"/>
                <w:color w:val="auto"/>
              </w:rPr>
            </w:pPr>
            <w:r>
              <w:rPr>
                <w:rFonts w:ascii="Arial" w:cs="Arial" w:eastAsia="Arial" w:hAnsi="Arial"/>
                <w:sz w:val="17"/>
                <w:szCs w:val="17"/>
                <w:color w:val="auto"/>
              </w:rPr>
              <w:t>Originations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1,233,683,666</w:t>
            </w:r>
          </w:p>
        </w:tc>
      </w:tr>
      <w:tr>
        <w:trPr>
          <w:trHeight w:val="205"/>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(1,151,031,388)</w:t>
            </w:r>
          </w:p>
        </w:tc>
      </w:tr>
      <w:tr>
        <w:trPr>
          <w:trHeight w:val="205"/>
        </w:trPr>
        <w:tc>
          <w:tcPr>
            <w:tcW w:w="5660" w:type="dxa"/>
            <w:vAlign w:val="bottom"/>
          </w:tcPr>
          <w:p>
            <w:pPr>
              <w:spacing w:after="0"/>
              <w:rPr>
                <w:sz w:val="20"/>
                <w:szCs w:val="20"/>
                <w:color w:val="auto"/>
              </w:rPr>
            </w:pPr>
            <w:r>
              <w:rPr>
                <w:rFonts w:ascii="Arial" w:cs="Arial" w:eastAsia="Arial" w:hAnsi="Arial"/>
                <w:sz w:val="17"/>
                <w:szCs w:val="17"/>
                <w:color w:val="auto"/>
              </w:rPr>
              <w:t>Total gains (losses):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5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Included in earnings (1)</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(4,812,743)</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50,761,910</w:t>
            </w:r>
          </w:p>
        </w:tc>
      </w:tr>
      <w:tr>
        <w:trPr>
          <w:trHeight w:val="211"/>
        </w:trPr>
        <w:tc>
          <w:tcPr>
            <w:tcW w:w="5660" w:type="dxa"/>
            <w:vAlign w:val="bottom"/>
          </w:tcPr>
          <w:p>
            <w:pPr>
              <w:ind w:left="180"/>
              <w:spacing w:after="0"/>
              <w:rPr>
                <w:sz w:val="20"/>
                <w:szCs w:val="20"/>
                <w:color w:val="auto"/>
              </w:rPr>
            </w:pPr>
            <w:r>
              <w:rPr>
                <w:rFonts w:ascii="Arial" w:cs="Arial" w:eastAsia="Arial" w:hAnsi="Arial"/>
                <w:sz w:val="17"/>
                <w:szCs w:val="17"/>
                <w:color w:val="auto"/>
              </w:rPr>
              <w:t>Included in other comprehensive income (2)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3,308</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45"/>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 December 31, 2017</w:t>
            </w: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1,996,589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133,414,188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ind w:left="1380" w:hanging="235"/>
        <w:spacing w:after="0"/>
        <w:tabs>
          <w:tab w:leader="none" w:pos="1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a component of Mortgage fee income on the condensed consolidated statements of earnings</w:t>
      </w:r>
    </w:p>
    <w:p>
      <w:pPr>
        <w:spacing w:after="0" w:line="20" w:lineRule="exact"/>
        <w:rPr>
          <w:rFonts w:ascii="Arial" w:cs="Arial" w:eastAsia="Arial" w:hAnsi="Arial"/>
          <w:sz w:val="17"/>
          <w:szCs w:val="17"/>
          <w:color w:val="auto"/>
        </w:rPr>
      </w:pPr>
    </w:p>
    <w:p>
      <w:pPr>
        <w:ind w:left="1140" w:right="1520" w:firstLine="5"/>
        <w:spacing w:after="0" w:line="264" w:lineRule="auto"/>
        <w:tabs>
          <w:tab w:leader="none" w:pos="1382"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a component of Unrealized gains on derivative instruments on the condensed consolidated statements of comprehensive income</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5" w:name="page36"/>
    <w:bookmarkEnd w:id="35"/>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40" w:hanging="237"/>
        <w:spacing w:after="0"/>
        <w:tabs>
          <w:tab w:leader="none" w:pos="24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following tables summarize Level 1, 2 and 3 financial assets and financial liabilities measured at fair value on a nonrecurring basis by their classification in the condensed consolidated balance sheet at December 31, 2017.</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54"/>
              <w:spacing w:after="0"/>
              <w:rPr>
                <w:sz w:val="20"/>
                <w:szCs w:val="20"/>
                <w:color w:val="auto"/>
              </w:rPr>
            </w:pPr>
            <w:r>
              <w:rPr>
                <w:rFonts w:ascii="Arial" w:cs="Arial" w:eastAsia="Arial" w:hAnsi="Arial"/>
                <w:sz w:val="17"/>
                <w:szCs w:val="17"/>
                <w:color w:val="auto"/>
                <w:w w:val="89"/>
              </w:rPr>
              <w:t>Quoted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54"/>
              <w:spacing w:after="0"/>
              <w:rPr>
                <w:sz w:val="20"/>
                <w:szCs w:val="20"/>
                <w:color w:val="auto"/>
              </w:rPr>
            </w:pPr>
            <w:r>
              <w:rPr>
                <w:rFonts w:ascii="Arial" w:cs="Arial" w:eastAsia="Arial" w:hAnsi="Arial"/>
                <w:sz w:val="17"/>
                <w:szCs w:val="17"/>
                <w:color w:val="auto"/>
                <w:w w:val="88"/>
              </w:rPr>
              <w:t>Prices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99"/>
              </w:rPr>
              <w:t>in Active</w:t>
            </w:r>
          </w:p>
        </w:tc>
        <w:tc>
          <w:tcPr>
            <w:tcW w:w="18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7"/>
                <w:szCs w:val="17"/>
                <w:color w:val="auto"/>
                <w:w w:val="94"/>
              </w:rPr>
              <w:t>Significant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Significant</w:t>
            </w:r>
          </w:p>
        </w:tc>
      </w:tr>
      <w:tr>
        <w:trPr>
          <w:trHeight w:val="205"/>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Arial" w:cs="Arial" w:eastAsia="Arial" w:hAnsi="Arial"/>
                <w:sz w:val="17"/>
                <w:szCs w:val="17"/>
                <w:color w:val="auto"/>
                <w:w w:val="94"/>
              </w:rPr>
              <w:t>Markets for</w:t>
            </w:r>
          </w:p>
        </w:tc>
        <w:tc>
          <w:tcPr>
            <w:tcW w:w="18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7"/>
                <w:szCs w:val="17"/>
                <w:color w:val="auto"/>
                <w:w w:val="89"/>
              </w:rPr>
              <w:t>Observable</w:t>
            </w:r>
          </w:p>
        </w:tc>
        <w:tc>
          <w:tcPr>
            <w:tcW w:w="1120" w:type="dxa"/>
            <w:vAlign w:val="bottom"/>
            <w:gridSpan w:val="4"/>
          </w:tcPr>
          <w:p>
            <w:pPr>
              <w:jc w:val="center"/>
              <w:spacing w:after="0"/>
              <w:rPr>
                <w:sz w:val="20"/>
                <w:szCs w:val="20"/>
                <w:color w:val="auto"/>
              </w:rPr>
            </w:pPr>
            <w:r>
              <w:rPr>
                <w:rFonts w:ascii="Arial" w:cs="Arial" w:eastAsia="Arial" w:hAnsi="Arial"/>
                <w:sz w:val="17"/>
                <w:szCs w:val="17"/>
                <w:color w:val="auto"/>
                <w:w w:val="91"/>
              </w:rPr>
              <w:t>Unobservable</w:t>
            </w:r>
          </w:p>
        </w:tc>
      </w:tr>
      <w:tr>
        <w:trPr>
          <w:trHeight w:val="205"/>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94"/>
              </w:rPr>
              <w:t>Identical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86"/>
              </w:rPr>
              <w:t>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Inputs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4"/>
              </w:rPr>
              <w:t>Inputs</w:t>
            </w:r>
          </w:p>
        </w:tc>
      </w:tr>
      <w:tr>
        <w:trPr>
          <w:trHeight w:val="264"/>
        </w:trPr>
        <w:tc>
          <w:tcPr>
            <w:tcW w:w="4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194"/>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96"/>
              </w:rPr>
              <w:t>(Level 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(Level 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(Level 3)</w:t>
            </w:r>
          </w:p>
        </w:tc>
      </w:tr>
      <w:tr>
        <w:trPr>
          <w:trHeight w:val="205"/>
        </w:trPr>
        <w:tc>
          <w:tcPr>
            <w:tcW w:w="4840" w:type="dxa"/>
            <w:vAlign w:val="bottom"/>
          </w:tcPr>
          <w:p>
            <w:pPr>
              <w:spacing w:after="0"/>
              <w:rPr>
                <w:sz w:val="20"/>
                <w:szCs w:val="20"/>
                <w:color w:val="auto"/>
              </w:rPr>
            </w:pPr>
            <w:r>
              <w:rPr>
                <w:rFonts w:ascii="Arial" w:cs="Arial" w:eastAsia="Arial" w:hAnsi="Arial"/>
                <w:sz w:val="17"/>
                <w:szCs w:val="17"/>
                <w:color w:val="auto"/>
              </w:rPr>
              <w:t>Assets accounted for at fair value on a nonrecurring basis</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Impaired mortgage loans held for investment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1,363,440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1,363,440</w:t>
            </w:r>
          </w:p>
        </w:tc>
        <w:tc>
          <w:tcPr>
            <w:tcW w:w="80" w:type="dxa"/>
            <w:vAlign w:val="bottom"/>
            <w:shd w:val="clear" w:color="auto" w:fill="CCEEFF"/>
          </w:tcPr>
          <w:p>
            <w:pPr>
              <w:spacing w:after="0"/>
              <w:rPr>
                <w:sz w:val="17"/>
                <w:szCs w:val="17"/>
                <w:color w:val="auto"/>
              </w:rPr>
            </w:pPr>
          </w:p>
        </w:tc>
      </w:tr>
      <w:tr>
        <w:trPr>
          <w:trHeight w:val="205"/>
        </w:trPr>
        <w:tc>
          <w:tcPr>
            <w:tcW w:w="4840" w:type="dxa"/>
            <w:vAlign w:val="bottom"/>
          </w:tcPr>
          <w:p>
            <w:pPr>
              <w:spacing w:after="0"/>
              <w:rPr>
                <w:sz w:val="20"/>
                <w:szCs w:val="20"/>
                <w:color w:val="auto"/>
              </w:rPr>
            </w:pPr>
            <w:r>
              <w:rPr>
                <w:rFonts w:ascii="Arial" w:cs="Arial" w:eastAsia="Arial" w:hAnsi="Arial"/>
                <w:sz w:val="17"/>
                <w:szCs w:val="17"/>
                <w:color w:val="auto"/>
              </w:rPr>
              <w:t>Mortgage servicing rights additions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6,085,352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6,085,352</w:t>
            </w:r>
          </w:p>
        </w:tc>
        <w:tc>
          <w:tcPr>
            <w:tcW w:w="80" w:type="dxa"/>
            <w:vAlign w:val="bottom"/>
          </w:tcPr>
          <w:p>
            <w:pPr>
              <w:spacing w:after="0"/>
              <w:rPr>
                <w:sz w:val="17"/>
                <w:szCs w:val="17"/>
                <w:color w:val="auto"/>
              </w:rPr>
            </w:pPr>
          </w:p>
        </w:tc>
      </w:tr>
      <w:tr>
        <w:trPr>
          <w:trHeight w:val="205"/>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Impaired real estate held for investment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8,500,000</w:t>
            </w:r>
          </w:p>
        </w:tc>
        <w:tc>
          <w:tcPr>
            <w:tcW w:w="80" w:type="dxa"/>
            <w:vAlign w:val="bottom"/>
            <w:shd w:val="clear" w:color="auto" w:fill="CCEEFF"/>
          </w:tcPr>
          <w:p>
            <w:pPr>
              <w:spacing w:after="0"/>
              <w:rPr>
                <w:sz w:val="17"/>
                <w:szCs w:val="17"/>
                <w:color w:val="auto"/>
              </w:rPr>
            </w:pPr>
          </w:p>
        </w:tc>
      </w:tr>
      <w:tr>
        <w:trPr>
          <w:trHeight w:val="211"/>
        </w:trPr>
        <w:tc>
          <w:tcPr>
            <w:tcW w:w="4840" w:type="dxa"/>
            <w:vAlign w:val="bottom"/>
          </w:tcPr>
          <w:p>
            <w:pPr>
              <w:spacing w:after="0"/>
              <w:rPr>
                <w:sz w:val="20"/>
                <w:szCs w:val="20"/>
                <w:color w:val="auto"/>
              </w:rPr>
            </w:pPr>
            <w:r>
              <w:rPr>
                <w:rFonts w:ascii="Arial" w:cs="Arial" w:eastAsia="Arial" w:hAnsi="Arial"/>
                <w:sz w:val="17"/>
                <w:szCs w:val="17"/>
                <w:color w:val="auto"/>
              </w:rPr>
              <w:t>Impaired fixed maturity securities, held to maturity</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426,984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426,984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05"/>
        </w:trPr>
        <w:tc>
          <w:tcPr>
            <w:tcW w:w="48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4840" w:type="dxa"/>
            <w:vAlign w:val="bottom"/>
          </w:tcPr>
          <w:p>
            <w:pPr>
              <w:spacing w:after="0"/>
              <w:rPr>
                <w:sz w:val="20"/>
                <w:szCs w:val="20"/>
                <w:color w:val="auto"/>
              </w:rPr>
            </w:pPr>
            <w:r>
              <w:rPr>
                <w:rFonts w:ascii="Arial" w:cs="Arial" w:eastAsia="Arial" w:hAnsi="Arial"/>
                <w:sz w:val="17"/>
                <w:szCs w:val="17"/>
                <w:color w:val="auto"/>
              </w:rPr>
              <w:t>Total assets accounted for at fair value on a nonrecurring basis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16,375,776</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426,984</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15,948,792</w:t>
            </w: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 Carried at Other Than Fair Value</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ASC 825, Financial Instruments, requires disclosure of fair value information about financial instruments, whether or not recognized in the balance sheet, for which it is practicable to estimate that value.</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March 31, 2018 and December 31, 2017.</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carrying values and estimated fair values for such financial instruments, and their corresponding placement in the fair value hierarchy, are summarized as follows as of March 31, 2018:</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Total</w:t>
            </w:r>
          </w:p>
        </w:tc>
      </w:tr>
      <w:tr>
        <w:trPr>
          <w:trHeight w:val="205"/>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7"/>
                <w:szCs w:val="17"/>
                <w:color w:val="auto"/>
              </w:rPr>
              <w:t>Carrying</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Estimated</w:t>
            </w:r>
          </w:p>
        </w:tc>
      </w:tr>
      <w:tr>
        <w:trPr>
          <w:trHeight w:val="223"/>
        </w:trPr>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7"/>
                <w:szCs w:val="17"/>
                <w:color w:val="auto"/>
              </w:rPr>
              <w:t>Value</w:t>
            </w:r>
          </w:p>
        </w:tc>
        <w:tc>
          <w:tcPr>
            <w:tcW w:w="760" w:type="dxa"/>
            <w:vAlign w:val="bottom"/>
          </w:tcPr>
          <w:p>
            <w:pPr>
              <w:jc w:val="right"/>
              <w:spacing w:after="0"/>
              <w:rPr>
                <w:sz w:val="20"/>
                <w:szCs w:val="20"/>
                <w:color w:val="auto"/>
              </w:rPr>
            </w:pPr>
            <w:r>
              <w:rPr>
                <w:rFonts w:ascii="Arial" w:cs="Arial" w:eastAsia="Arial" w:hAnsi="Arial"/>
                <w:sz w:val="17"/>
                <w:szCs w:val="17"/>
                <w:color w:val="auto"/>
              </w:rPr>
              <w:t>Level 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114"/>
              <w:spacing w:after="0"/>
              <w:rPr>
                <w:sz w:val="20"/>
                <w:szCs w:val="20"/>
                <w:color w:val="auto"/>
              </w:rPr>
            </w:pPr>
            <w:r>
              <w:rPr>
                <w:rFonts w:ascii="Arial" w:cs="Arial" w:eastAsia="Arial" w:hAnsi="Arial"/>
                <w:sz w:val="17"/>
                <w:szCs w:val="17"/>
                <w:color w:val="auto"/>
              </w:rPr>
              <w:t>Level 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Level 3</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Fair Value</w:t>
            </w:r>
          </w:p>
        </w:tc>
      </w:tr>
      <w:tr>
        <w:trPr>
          <w:trHeight w:val="176"/>
        </w:trPr>
        <w:tc>
          <w:tcPr>
            <w:tcW w:w="46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color w:val="auto"/>
                <w:w w:val="86"/>
              </w:rPr>
              <w:t>Assets</w:t>
            </w:r>
          </w:p>
        </w:tc>
        <w:tc>
          <w:tcPr>
            <w:tcW w:w="284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Fixed maturity securities held to maturity</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$ 231,474,083</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232,634,878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7,224,064</w:t>
            </w: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$ 239,858,942</w:t>
            </w:r>
          </w:p>
        </w:tc>
        <w:tc>
          <w:tcPr>
            <w:tcW w:w="80" w:type="dxa"/>
            <w:vAlign w:val="bottom"/>
            <w:shd w:val="clear" w:color="auto" w:fill="CCEEFF"/>
          </w:tcPr>
          <w:p>
            <w:pPr>
              <w:spacing w:after="0"/>
              <w:rPr>
                <w:sz w:val="18"/>
                <w:szCs w:val="18"/>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Mortgage loans held for investment: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99,065,368</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104,999,136</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104,999,136</w:t>
            </w:r>
          </w:p>
        </w:tc>
        <w:tc>
          <w:tcPr>
            <w:tcW w:w="80" w:type="dxa"/>
            <w:vAlign w:val="bottom"/>
            <w:shd w:val="clear" w:color="auto" w:fill="CCEEFF"/>
          </w:tcPr>
          <w:p>
            <w:pPr>
              <w:spacing w:after="0"/>
              <w:rPr>
                <w:sz w:val="17"/>
                <w:szCs w:val="17"/>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Residential construction</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53,795,008</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53,795,008</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53,795,008</w:t>
            </w: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w:t>
            </w: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52,129,530</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53,487,729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53,487,729</w:t>
            </w:r>
          </w:p>
        </w:tc>
      </w:tr>
      <w:tr>
        <w:trPr>
          <w:trHeight w:val="26"/>
        </w:trPr>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Mortgage loans held for investment, net</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$ 204,989,906</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w w:val="95"/>
              </w:rPr>
              <w:t>212,281,873</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w w:val="91"/>
              </w:rPr>
              <w:t>$ 212,281,873</w:t>
            </w:r>
          </w:p>
        </w:tc>
        <w:tc>
          <w:tcPr>
            <w:tcW w:w="80" w:type="dxa"/>
            <w:vAlign w:val="bottom"/>
          </w:tcPr>
          <w:p>
            <w:pPr>
              <w:spacing w:after="0"/>
              <w:rPr>
                <w:sz w:val="17"/>
                <w:szCs w:val="17"/>
                <w:color w:val="auto"/>
              </w:rPr>
            </w:pP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Policy loans</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6,403,888</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6,403,888</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6,403,888</w:t>
            </w:r>
          </w:p>
        </w:tc>
        <w:tc>
          <w:tcPr>
            <w:tcW w:w="80" w:type="dxa"/>
            <w:vAlign w:val="bottom"/>
            <w:shd w:val="clear" w:color="auto" w:fill="CCEEFF"/>
          </w:tcPr>
          <w:p>
            <w:pPr>
              <w:spacing w:after="0"/>
              <w:rPr>
                <w:sz w:val="17"/>
                <w:szCs w:val="17"/>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Insurance assignments, net (1)</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34,157,556</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34,157,556</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34,157,556</w:t>
            </w: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Restricted assets (2)</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1,142,355</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1,146,584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1,146,584</w:t>
            </w:r>
          </w:p>
        </w:tc>
        <w:tc>
          <w:tcPr>
            <w:tcW w:w="80" w:type="dxa"/>
            <w:vAlign w:val="bottom"/>
            <w:shd w:val="clear" w:color="auto" w:fill="CCEEFF"/>
          </w:tcPr>
          <w:p>
            <w:pPr>
              <w:spacing w:after="0"/>
              <w:rPr>
                <w:sz w:val="17"/>
                <w:szCs w:val="17"/>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Restricted assets (3)</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1,735,066</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1,819,012</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1,819,012</w:t>
            </w:r>
          </w:p>
        </w:tc>
        <w:tc>
          <w:tcPr>
            <w:tcW w:w="80" w:type="dxa"/>
            <w:vAlign w:val="bottom"/>
          </w:tcPr>
          <w:p>
            <w:pPr>
              <w:spacing w:after="0"/>
              <w:rPr>
                <w:sz w:val="17"/>
                <w:szCs w:val="17"/>
                <w:color w:val="auto"/>
              </w:rPr>
            </w:pP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4"/>
              </w:rPr>
              <w:t>Cemetery perpetual care trust investments (2)</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948,735</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941,823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941,823</w:t>
            </w:r>
          </w:p>
        </w:tc>
        <w:tc>
          <w:tcPr>
            <w:tcW w:w="80" w:type="dxa"/>
            <w:vAlign w:val="bottom"/>
            <w:shd w:val="clear" w:color="auto" w:fill="CCEEFF"/>
          </w:tcPr>
          <w:p>
            <w:pPr>
              <w:spacing w:after="0"/>
              <w:rPr>
                <w:sz w:val="17"/>
                <w:szCs w:val="17"/>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w w:val="94"/>
              </w:rPr>
              <w:t>Cemetery perpetual care trust investments (3)</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4,209</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4,475</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4,475</w:t>
            </w:r>
          </w:p>
        </w:tc>
        <w:tc>
          <w:tcPr>
            <w:tcW w:w="80" w:type="dxa"/>
            <w:vAlign w:val="bottom"/>
          </w:tcPr>
          <w:p>
            <w:pPr>
              <w:spacing w:after="0"/>
              <w:rPr>
                <w:sz w:val="17"/>
                <w:szCs w:val="17"/>
                <w:color w:val="auto"/>
              </w:rPr>
            </w:pP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Mortgage servicing rights, net</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21,554,050</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30,086,162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30,086,162</w:t>
            </w:r>
          </w:p>
        </w:tc>
      </w:tr>
      <w:tr>
        <w:trPr>
          <w:trHeight w:val="205"/>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5"/>
        </w:trPr>
        <w:tc>
          <w:tcPr>
            <w:tcW w:w="700" w:type="dxa"/>
            <w:vAlign w:val="bottom"/>
            <w:tcBorders>
              <w:bottom w:val="single" w:sz="8" w:color="auto"/>
            </w:tcBorders>
            <w:gridSpan w:val="2"/>
            <w:shd w:val="clear" w:color="auto" w:fill="CCEEFF"/>
          </w:tcPr>
          <w:p>
            <w:pPr>
              <w:spacing w:after="0" w:line="167" w:lineRule="exact"/>
              <w:rPr>
                <w:sz w:val="20"/>
                <w:szCs w:val="20"/>
                <w:color w:val="auto"/>
              </w:rPr>
            </w:pPr>
            <w:r>
              <w:rPr>
                <w:rFonts w:ascii="Arial" w:cs="Arial" w:eastAsia="Arial" w:hAnsi="Arial"/>
                <w:sz w:val="17"/>
                <w:szCs w:val="17"/>
                <w:color w:val="auto"/>
                <w:w w:val="97"/>
                <w:shd w:val="clear" w:color="auto" w:fill="CCEEFF"/>
              </w:rPr>
              <w:t>Liabilities</w:t>
            </w:r>
          </w:p>
        </w:tc>
        <w:tc>
          <w:tcPr>
            <w:tcW w:w="26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Bank and other loans payable</w:t>
            </w:r>
          </w:p>
        </w:tc>
        <w:tc>
          <w:tcPr>
            <w:tcW w:w="1360" w:type="dxa"/>
            <w:vAlign w:val="bottom"/>
            <w:gridSpan w:val="3"/>
          </w:tcPr>
          <w:p>
            <w:pPr>
              <w:jc w:val="right"/>
              <w:ind w:right="120"/>
              <w:spacing w:after="0"/>
              <w:rPr>
                <w:sz w:val="20"/>
                <w:szCs w:val="20"/>
                <w:color w:val="auto"/>
              </w:rPr>
            </w:pPr>
            <w:r>
              <w:rPr>
                <w:rFonts w:ascii="Arial" w:cs="Arial" w:eastAsia="Arial" w:hAnsi="Arial"/>
                <w:sz w:val="17"/>
                <w:szCs w:val="17"/>
                <w:color w:val="auto"/>
              </w:rPr>
              <w:t>$(151,451,152)</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w w:val="90"/>
              </w:rPr>
              <w:t>(151,451,152)</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$(151,451,152)</w:t>
            </w: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Policyholder account balances (4)</w:t>
            </w:r>
          </w:p>
        </w:tc>
        <w:tc>
          <w:tcPr>
            <w:tcW w:w="13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(47,448,620)</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(33,948,014)</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(33,948,014)</w:t>
            </w:r>
          </w:p>
        </w:tc>
      </w:tr>
      <w:tr>
        <w:trPr>
          <w:trHeight w:val="216"/>
        </w:trPr>
        <w:tc>
          <w:tcPr>
            <w:tcW w:w="3300" w:type="dxa"/>
            <w:vAlign w:val="bottom"/>
            <w:gridSpan w:val="3"/>
          </w:tcPr>
          <w:p>
            <w:pPr>
              <w:spacing w:after="0"/>
              <w:rPr>
                <w:sz w:val="20"/>
                <w:szCs w:val="20"/>
                <w:color w:val="auto"/>
              </w:rPr>
            </w:pPr>
            <w:r>
              <w:rPr>
                <w:rFonts w:ascii="Arial" w:cs="Arial" w:eastAsia="Arial" w:hAnsi="Arial"/>
                <w:sz w:val="17"/>
                <w:szCs w:val="17"/>
                <w:color w:val="auto"/>
              </w:rPr>
              <w:t>Future policy benefits - annuities (4)</w:t>
            </w:r>
          </w:p>
        </w:tc>
        <w:tc>
          <w:tcPr>
            <w:tcW w:w="1360" w:type="dxa"/>
            <w:vAlign w:val="bottom"/>
            <w:gridSpan w:val="3"/>
          </w:tcPr>
          <w:p>
            <w:pPr>
              <w:jc w:val="right"/>
              <w:ind w:right="120"/>
              <w:spacing w:after="0"/>
              <w:rPr>
                <w:sz w:val="20"/>
                <w:szCs w:val="20"/>
                <w:color w:val="auto"/>
              </w:rPr>
            </w:pPr>
            <w:r>
              <w:rPr>
                <w:rFonts w:ascii="Arial" w:cs="Arial" w:eastAsia="Arial" w:hAnsi="Arial"/>
                <w:sz w:val="17"/>
                <w:szCs w:val="17"/>
                <w:color w:val="auto"/>
              </w:rPr>
              <w:t>(98,569,032)</w:t>
            </w:r>
          </w:p>
        </w:tc>
        <w:tc>
          <w:tcPr>
            <w:tcW w:w="76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(97,549,438)</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(97,549,438)</w:t>
            </w:r>
          </w:p>
        </w:tc>
      </w:tr>
    </w:tbl>
    <w:p>
      <w:pPr>
        <w:spacing w:after="0" w:line="182" w:lineRule="exact"/>
        <w:rPr>
          <w:sz w:val="20"/>
          <w:szCs w:val="20"/>
          <w:color w:val="auto"/>
        </w:rPr>
      </w:pPr>
    </w:p>
    <w:p>
      <w:pPr>
        <w:ind w:left="1380" w:hanging="235"/>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Included in other investments and policy loans on the condensed consolidated balance sheet.</w:t>
      </w:r>
    </w:p>
    <w:p>
      <w:pPr>
        <w:spacing w:after="0" w:line="20" w:lineRule="exact"/>
        <w:rPr>
          <w:rFonts w:ascii="Arial" w:cs="Arial" w:eastAsia="Arial" w:hAnsi="Arial"/>
          <w:sz w:val="17"/>
          <w:szCs w:val="17"/>
          <w:color w:val="auto"/>
        </w:rPr>
      </w:pPr>
    </w:p>
    <w:p>
      <w:pPr>
        <w:ind w:left="1380" w:hanging="235"/>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Fixed maturity securities held to maturity</w:t>
      </w:r>
    </w:p>
    <w:p>
      <w:pPr>
        <w:spacing w:after="0" w:line="9" w:lineRule="exact"/>
        <w:rPr>
          <w:rFonts w:ascii="Arial" w:cs="Arial" w:eastAsia="Arial" w:hAnsi="Arial"/>
          <w:sz w:val="17"/>
          <w:szCs w:val="17"/>
          <w:color w:val="auto"/>
        </w:rPr>
      </w:pPr>
    </w:p>
    <w:p>
      <w:pPr>
        <w:ind w:left="1380" w:hanging="235"/>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Participation in mortgage loans held for investment (commercial)</w:t>
      </w:r>
    </w:p>
    <w:p>
      <w:pPr>
        <w:spacing w:after="0" w:line="9" w:lineRule="exact"/>
        <w:rPr>
          <w:rFonts w:ascii="Arial" w:cs="Arial" w:eastAsia="Arial" w:hAnsi="Arial"/>
          <w:sz w:val="17"/>
          <w:szCs w:val="17"/>
          <w:color w:val="auto"/>
        </w:rPr>
      </w:pPr>
    </w:p>
    <w:p>
      <w:pPr>
        <w:ind w:left="1380" w:hanging="235"/>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Included in future policy benefits and unpaid claims on the condensed consolidated balance sheet.</w:t>
      </w:r>
    </w:p>
    <w:p>
      <w:pPr>
        <w:sectPr>
          <w:pgSz w:w="11900" w:h="16838" w:orient="portrait"/>
          <w:cols w:equalWidth="0" w:num="1">
            <w:col w:w="11420"/>
          </w:cols>
          <w:pgMar w:left="240" w:top="131"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725360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04" w:lineRule="exact"/>
        <w:rPr>
          <w:sz w:val="20"/>
          <w:szCs w:val="20"/>
          <w:color w:val="auto"/>
        </w:rPr>
      </w:pPr>
    </w:p>
    <w:p>
      <w:pPr>
        <w:ind w:left="240" w:hanging="237"/>
        <w:spacing w:after="0"/>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carrying values and estimated fair values for such financial instruments, and their corresponding placement in the fair value hierarchy, are summarized as follows as of December 31, 2017:</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Total</w:t>
            </w:r>
          </w:p>
        </w:tc>
      </w:tr>
      <w:tr>
        <w:trPr>
          <w:trHeight w:val="205"/>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7"/>
                <w:szCs w:val="17"/>
                <w:color w:val="auto"/>
              </w:rPr>
              <w:t>Carrying</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Estimated</w:t>
            </w:r>
          </w:p>
        </w:tc>
      </w:tr>
      <w:tr>
        <w:trPr>
          <w:trHeight w:val="223"/>
        </w:trPr>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7"/>
                <w:szCs w:val="17"/>
                <w:color w:val="auto"/>
              </w:rPr>
              <w:t>Value</w:t>
            </w:r>
          </w:p>
        </w:tc>
        <w:tc>
          <w:tcPr>
            <w:tcW w:w="760" w:type="dxa"/>
            <w:vAlign w:val="bottom"/>
          </w:tcPr>
          <w:p>
            <w:pPr>
              <w:jc w:val="right"/>
              <w:spacing w:after="0"/>
              <w:rPr>
                <w:sz w:val="20"/>
                <w:szCs w:val="20"/>
                <w:color w:val="auto"/>
              </w:rPr>
            </w:pPr>
            <w:r>
              <w:rPr>
                <w:rFonts w:ascii="Arial" w:cs="Arial" w:eastAsia="Arial" w:hAnsi="Arial"/>
                <w:sz w:val="17"/>
                <w:szCs w:val="17"/>
                <w:color w:val="auto"/>
              </w:rPr>
              <w:t>Level 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114"/>
              <w:spacing w:after="0"/>
              <w:rPr>
                <w:sz w:val="20"/>
                <w:szCs w:val="20"/>
                <w:color w:val="auto"/>
              </w:rPr>
            </w:pPr>
            <w:r>
              <w:rPr>
                <w:rFonts w:ascii="Arial" w:cs="Arial" w:eastAsia="Arial" w:hAnsi="Arial"/>
                <w:sz w:val="17"/>
                <w:szCs w:val="17"/>
                <w:color w:val="auto"/>
              </w:rPr>
              <w:t>Level 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Level 3</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Fair Value</w:t>
            </w:r>
          </w:p>
        </w:tc>
      </w:tr>
      <w:tr>
        <w:trPr>
          <w:trHeight w:val="176"/>
        </w:trPr>
        <w:tc>
          <w:tcPr>
            <w:tcW w:w="46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color w:val="auto"/>
                <w:w w:val="86"/>
              </w:rPr>
              <w:t>Assets</w:t>
            </w:r>
          </w:p>
        </w:tc>
        <w:tc>
          <w:tcPr>
            <w:tcW w:w="284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Fixed maturity securities held to maturity</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$ 228,397,623</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233,806,219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7,692,190</w:t>
            </w: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$ 241,498,409</w:t>
            </w:r>
          </w:p>
        </w:tc>
        <w:tc>
          <w:tcPr>
            <w:tcW w:w="80" w:type="dxa"/>
            <w:vAlign w:val="bottom"/>
            <w:shd w:val="clear" w:color="auto" w:fill="CCEEFF"/>
          </w:tcPr>
          <w:p>
            <w:pPr>
              <w:spacing w:after="0"/>
              <w:rPr>
                <w:sz w:val="18"/>
                <w:szCs w:val="18"/>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Mortgage loans held for investment: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99,816,535</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106,050,169</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106,050,169</w:t>
            </w:r>
          </w:p>
        </w:tc>
        <w:tc>
          <w:tcPr>
            <w:tcW w:w="80" w:type="dxa"/>
            <w:vAlign w:val="bottom"/>
            <w:shd w:val="clear" w:color="auto" w:fill="CCEEFF"/>
          </w:tcPr>
          <w:p>
            <w:pPr>
              <w:spacing w:after="0"/>
              <w:rPr>
                <w:sz w:val="17"/>
                <w:szCs w:val="17"/>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Residential construction</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49,694,025</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49,694,025</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49,694,025</w:t>
            </w: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w:t>
            </w: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54,700,325</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56,473,156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56,473,156</w:t>
            </w:r>
          </w:p>
        </w:tc>
      </w:tr>
      <w:tr>
        <w:trPr>
          <w:trHeight w:val="26"/>
        </w:trPr>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Mortgage loans held for investment, net</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$ 204,210,885</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w w:val="95"/>
              </w:rPr>
              <w:t>212,217,350</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w w:val="91"/>
              </w:rPr>
              <w:t>$ 212,217,350</w:t>
            </w:r>
          </w:p>
        </w:tc>
        <w:tc>
          <w:tcPr>
            <w:tcW w:w="80" w:type="dxa"/>
            <w:vAlign w:val="bottom"/>
          </w:tcPr>
          <w:p>
            <w:pPr>
              <w:spacing w:after="0"/>
              <w:rPr>
                <w:sz w:val="17"/>
                <w:szCs w:val="17"/>
                <w:color w:val="auto"/>
              </w:rPr>
            </w:pP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Policy loans</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6,531,352</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6,531,352</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6,531,352</w:t>
            </w:r>
          </w:p>
        </w:tc>
        <w:tc>
          <w:tcPr>
            <w:tcW w:w="80" w:type="dxa"/>
            <w:vAlign w:val="bottom"/>
            <w:shd w:val="clear" w:color="auto" w:fill="CCEEFF"/>
          </w:tcPr>
          <w:p>
            <w:pPr>
              <w:spacing w:after="0"/>
              <w:rPr>
                <w:sz w:val="17"/>
                <w:szCs w:val="17"/>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Insurance assignments, net (1)</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35,455,098</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35,455,098</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35,455,098</w:t>
            </w: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Restricted assets (2)</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1,130,088</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1,152,324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1,152,324</w:t>
            </w:r>
          </w:p>
        </w:tc>
        <w:tc>
          <w:tcPr>
            <w:tcW w:w="80" w:type="dxa"/>
            <w:vAlign w:val="bottom"/>
            <w:shd w:val="clear" w:color="auto" w:fill="CCEEFF"/>
          </w:tcPr>
          <w:p>
            <w:pPr>
              <w:spacing w:after="0"/>
              <w:rPr>
                <w:sz w:val="17"/>
                <w:szCs w:val="17"/>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Restricted assets (3)</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1,701,811</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1,796,910</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1,796,910</w:t>
            </w:r>
          </w:p>
        </w:tc>
        <w:tc>
          <w:tcPr>
            <w:tcW w:w="80" w:type="dxa"/>
            <w:vAlign w:val="bottom"/>
          </w:tcPr>
          <w:p>
            <w:pPr>
              <w:spacing w:after="0"/>
              <w:rPr>
                <w:sz w:val="17"/>
                <w:szCs w:val="17"/>
                <w:color w:val="auto"/>
              </w:rPr>
            </w:pP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4"/>
              </w:rPr>
              <w:t>Cemetery perpetual care trust investments (2)</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943,211</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953,404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953,404</w:t>
            </w:r>
          </w:p>
        </w:tc>
        <w:tc>
          <w:tcPr>
            <w:tcW w:w="80" w:type="dxa"/>
            <w:vAlign w:val="bottom"/>
            <w:shd w:val="clear" w:color="auto" w:fill="CCEEFF"/>
          </w:tcPr>
          <w:p>
            <w:pPr>
              <w:spacing w:after="0"/>
              <w:rPr>
                <w:sz w:val="17"/>
                <w:szCs w:val="17"/>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w w:val="94"/>
              </w:rPr>
              <w:t>Cemetery perpetual care trust investments (3)</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4,128</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4,411</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4,411</w:t>
            </w: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Mortgage servicing rights, net</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21,376,937</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27,427,174</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27,427,174</w:t>
            </w:r>
          </w:p>
        </w:tc>
      </w:tr>
      <w:tr>
        <w:trPr>
          <w:trHeight w:val="205"/>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5"/>
        </w:trPr>
        <w:tc>
          <w:tcPr>
            <w:tcW w:w="700" w:type="dxa"/>
            <w:vAlign w:val="bottom"/>
            <w:tcBorders>
              <w:bottom w:val="single" w:sz="8" w:color="auto"/>
            </w:tcBorders>
            <w:gridSpan w:val="2"/>
            <w:shd w:val="clear" w:color="auto" w:fill="CCEEFF"/>
          </w:tcPr>
          <w:p>
            <w:pPr>
              <w:spacing w:after="0" w:line="167" w:lineRule="exact"/>
              <w:rPr>
                <w:sz w:val="20"/>
                <w:szCs w:val="20"/>
                <w:color w:val="auto"/>
              </w:rPr>
            </w:pPr>
            <w:r>
              <w:rPr>
                <w:rFonts w:ascii="Arial" w:cs="Arial" w:eastAsia="Arial" w:hAnsi="Arial"/>
                <w:sz w:val="17"/>
                <w:szCs w:val="17"/>
                <w:color w:val="auto"/>
                <w:w w:val="97"/>
                <w:shd w:val="clear" w:color="auto" w:fill="CCEEFF"/>
              </w:rPr>
              <w:t>Liabilities</w:t>
            </w:r>
          </w:p>
        </w:tc>
        <w:tc>
          <w:tcPr>
            <w:tcW w:w="26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Bank and other loans payable</w:t>
            </w:r>
          </w:p>
        </w:tc>
        <w:tc>
          <w:tcPr>
            <w:tcW w:w="1360" w:type="dxa"/>
            <w:vAlign w:val="bottom"/>
            <w:gridSpan w:val="3"/>
          </w:tcPr>
          <w:p>
            <w:pPr>
              <w:jc w:val="right"/>
              <w:ind w:right="120"/>
              <w:spacing w:after="0"/>
              <w:rPr>
                <w:sz w:val="20"/>
                <w:szCs w:val="20"/>
                <w:color w:val="auto"/>
              </w:rPr>
            </w:pPr>
            <w:r>
              <w:rPr>
                <w:rFonts w:ascii="Arial" w:cs="Arial" w:eastAsia="Arial" w:hAnsi="Arial"/>
                <w:sz w:val="17"/>
                <w:szCs w:val="17"/>
                <w:color w:val="auto"/>
              </w:rPr>
              <w:t>$(157,450,925)</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w w:val="90"/>
              </w:rPr>
              <w:t>(157,450,925)</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$(157,450,925)</w:t>
            </w: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Policyholder account balances (4)</w:t>
            </w:r>
          </w:p>
        </w:tc>
        <w:tc>
          <w:tcPr>
            <w:tcW w:w="13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(47,867,037)</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(34,557,111)</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(34,557,111)</w:t>
            </w:r>
          </w:p>
        </w:tc>
      </w:tr>
      <w:tr>
        <w:trPr>
          <w:trHeight w:val="216"/>
        </w:trPr>
        <w:tc>
          <w:tcPr>
            <w:tcW w:w="3300" w:type="dxa"/>
            <w:vAlign w:val="bottom"/>
            <w:gridSpan w:val="3"/>
          </w:tcPr>
          <w:p>
            <w:pPr>
              <w:spacing w:after="0"/>
              <w:rPr>
                <w:sz w:val="20"/>
                <w:szCs w:val="20"/>
                <w:color w:val="auto"/>
              </w:rPr>
            </w:pPr>
            <w:r>
              <w:rPr>
                <w:rFonts w:ascii="Arial" w:cs="Arial" w:eastAsia="Arial" w:hAnsi="Arial"/>
                <w:sz w:val="17"/>
                <w:szCs w:val="17"/>
                <w:color w:val="auto"/>
              </w:rPr>
              <w:t>Future policy benefits - annuities (4)</w:t>
            </w:r>
          </w:p>
        </w:tc>
        <w:tc>
          <w:tcPr>
            <w:tcW w:w="1360" w:type="dxa"/>
            <w:vAlign w:val="bottom"/>
            <w:gridSpan w:val="3"/>
          </w:tcPr>
          <w:p>
            <w:pPr>
              <w:jc w:val="right"/>
              <w:ind w:right="120"/>
              <w:spacing w:after="0"/>
              <w:rPr>
                <w:sz w:val="20"/>
                <w:szCs w:val="20"/>
                <w:color w:val="auto"/>
              </w:rPr>
            </w:pPr>
            <w:r>
              <w:rPr>
                <w:rFonts w:ascii="Arial" w:cs="Arial" w:eastAsia="Arial" w:hAnsi="Arial"/>
                <w:sz w:val="17"/>
                <w:szCs w:val="17"/>
                <w:color w:val="auto"/>
              </w:rPr>
              <w:t>(99,474,392)</w:t>
            </w:r>
          </w:p>
        </w:tc>
        <w:tc>
          <w:tcPr>
            <w:tcW w:w="76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(98,827,107)</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(98,827,107)</w:t>
            </w:r>
          </w:p>
        </w:tc>
      </w:tr>
    </w:tbl>
    <w:p>
      <w:pPr>
        <w:spacing w:after="0" w:line="182" w:lineRule="exact"/>
        <w:rPr>
          <w:sz w:val="20"/>
          <w:szCs w:val="20"/>
          <w:color w:val="auto"/>
        </w:rPr>
      </w:pPr>
    </w:p>
    <w:p>
      <w:pPr>
        <w:ind w:left="1380" w:hanging="235"/>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Included in other investments and policy loans on the condensed consolidated balance sheet.</w:t>
      </w:r>
    </w:p>
    <w:p>
      <w:pPr>
        <w:spacing w:after="0" w:line="20" w:lineRule="exact"/>
        <w:rPr>
          <w:rFonts w:ascii="Arial" w:cs="Arial" w:eastAsia="Arial" w:hAnsi="Arial"/>
          <w:sz w:val="17"/>
          <w:szCs w:val="17"/>
          <w:color w:val="auto"/>
        </w:rPr>
      </w:pPr>
    </w:p>
    <w:p>
      <w:pPr>
        <w:ind w:left="1380" w:hanging="235"/>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Fixed maturity securities held to maturity</w:t>
      </w:r>
    </w:p>
    <w:p>
      <w:pPr>
        <w:spacing w:after="0" w:line="9" w:lineRule="exact"/>
        <w:rPr>
          <w:rFonts w:ascii="Arial" w:cs="Arial" w:eastAsia="Arial" w:hAnsi="Arial"/>
          <w:sz w:val="17"/>
          <w:szCs w:val="17"/>
          <w:color w:val="auto"/>
        </w:rPr>
      </w:pPr>
    </w:p>
    <w:p>
      <w:pPr>
        <w:ind w:left="1380" w:hanging="235"/>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Participation in mortgage loans held for investment (commercial)</w:t>
      </w:r>
    </w:p>
    <w:p>
      <w:pPr>
        <w:spacing w:after="0" w:line="9" w:lineRule="exact"/>
        <w:rPr>
          <w:rFonts w:ascii="Arial" w:cs="Arial" w:eastAsia="Arial" w:hAnsi="Arial"/>
          <w:sz w:val="17"/>
          <w:szCs w:val="17"/>
          <w:color w:val="auto"/>
        </w:rPr>
      </w:pPr>
    </w:p>
    <w:p>
      <w:pPr>
        <w:ind w:left="1140" w:right="3760" w:firstLine="5"/>
        <w:spacing w:after="0" w:line="264" w:lineRule="auto"/>
        <w:tabs>
          <w:tab w:leader="none" w:pos="1382"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Included in future policy benefits and unpaid claims on the condensed consolidated balance sheet.</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The methods, assumptions and significant valuation techniques and inputs used to estimate the fair value of these financial instruments are summarized as follows:</w:t>
      </w:r>
    </w:p>
    <w:p>
      <w:pPr>
        <w:spacing w:after="0" w:line="2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Fixed Maturity Securities Held to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values of fixed maturity securities are based on quoted market prices, when available. For fixed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estimated fair value of the Company's mortgage loans held for investment is determined using various methods.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208" w:lineRule="exact"/>
        <w:rPr>
          <w:sz w:val="20"/>
          <w:szCs w:val="20"/>
          <w:color w:val="auto"/>
        </w:rPr>
      </w:pPr>
    </w:p>
    <w:p>
      <w:pPr>
        <w:ind w:left="620"/>
        <w:spacing w:after="0" w:line="346" w:lineRule="auto"/>
        <w:rPr>
          <w:sz w:val="20"/>
          <w:szCs w:val="20"/>
          <w:color w:val="auto"/>
        </w:rPr>
      </w:pPr>
      <w:r>
        <w:rPr>
          <w:rFonts w:ascii="Arial" w:cs="Arial" w:eastAsia="Arial" w:hAnsi="Arial"/>
          <w:sz w:val="15"/>
          <w:szCs w:val="15"/>
          <w:color w:val="auto"/>
        </w:rPr>
        <w:t>Residential – The estimated fair value is determined through a combination of discounted cash flows (estimating expected future cash flows of interest payments and discounting them using current interest rates from single family mortgages) and considering pricing of similar loans that were sold recently.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Residential Construction – These loans are primarily short in maturity accordingly, the estimated fair value is determined to be the carrying value.</w:t>
      </w:r>
    </w:p>
    <w:p>
      <w:pPr>
        <w:spacing w:after="0" w:line="278" w:lineRule="exact"/>
        <w:rPr>
          <w:sz w:val="20"/>
          <w:szCs w:val="20"/>
          <w:color w:val="auto"/>
        </w:rPr>
      </w:pPr>
    </w:p>
    <w:p>
      <w:pPr>
        <w:ind w:left="620"/>
        <w:spacing w:after="0" w:line="277" w:lineRule="auto"/>
        <w:rPr>
          <w:sz w:val="20"/>
          <w:szCs w:val="20"/>
          <w:color w:val="auto"/>
        </w:rPr>
      </w:pPr>
      <w:r>
        <w:rPr>
          <w:rFonts w:ascii="Arial" w:cs="Arial" w:eastAsia="Arial" w:hAnsi="Arial"/>
          <w:sz w:val="17"/>
          <w:szCs w:val="17"/>
          <w:color w:val="auto"/>
        </w:rPr>
        <w:t>Commercial – The estimated fair value is determined by estimating expected future cash flows of interest payments and discounting them using current interest rates for commercial mortgages.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7"/>
          <w:szCs w:val="17"/>
          <w:i w:val="1"/>
          <w:iCs w:val="1"/>
          <w:u w:val="single" w:color="auto"/>
          <w:color w:val="auto"/>
        </w:rPr>
        <w:t>Policy Loans</w:t>
      </w:r>
      <w:r>
        <w:rPr>
          <w:rFonts w:ascii="Arial" w:cs="Arial" w:eastAsia="Arial" w:hAnsi="Arial"/>
          <w:sz w:val="17"/>
          <w:szCs w:val="17"/>
          <w:color w:val="auto"/>
        </w:rPr>
        <w:t>: The carrying amounts reported in the accompanying condensed consolidated balance sheet for these financial instruments approximate their fair values</w:t>
      </w:r>
      <w:r>
        <w:rPr>
          <w:rFonts w:ascii="Arial" w:cs="Arial" w:eastAsia="Arial" w:hAnsi="Arial"/>
          <w:sz w:val="17"/>
          <w:szCs w:val="17"/>
          <w:i w:val="1"/>
          <w:iCs w:val="1"/>
          <w:color w:val="auto"/>
        </w:rPr>
        <w:t xml:space="preserve"> </w:t>
      </w:r>
      <w:r>
        <w:rPr>
          <w:rFonts w:ascii="Arial" w:cs="Arial" w:eastAsia="Arial" w:hAnsi="Arial"/>
          <w:sz w:val="17"/>
          <w:szCs w:val="17"/>
          <w:color w:val="auto"/>
        </w:rPr>
        <w:t>because they are fully collateralized by the cash surrender value of the underlying insurance policies.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i w:val="1"/>
          <w:iCs w:val="1"/>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March 31, 2018 (Unaudited)</w:t>
      </w:r>
    </w:p>
    <w:p>
      <w:pPr>
        <w:spacing w:after="0" w:line="204" w:lineRule="exact"/>
        <w:rPr>
          <w:sz w:val="20"/>
          <w:szCs w:val="20"/>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u w:val="single" w:color="auto"/>
          <w:color w:val="auto"/>
        </w:rPr>
        <w:t>Insurance Assignments, Net</w:t>
      </w:r>
      <w:r>
        <w:rPr>
          <w:rFonts w:ascii="Arial" w:cs="Arial" w:eastAsia="Arial" w:hAnsi="Arial"/>
          <w:sz w:val="17"/>
          <w:szCs w:val="17"/>
          <w:color w:val="auto"/>
        </w:rPr>
        <w:t>: These investments are primarily short in maturity, accordingly, the carrying amounts reported in the accompanying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 for these financial instruments approximate their fair values.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u w:val="single" w:color="auto"/>
          <w:color w:val="auto"/>
        </w:rPr>
        <w:t>Bank and Other Loans Payable</w:t>
      </w:r>
      <w:r>
        <w:rPr>
          <w:rFonts w:ascii="Arial" w:cs="Arial" w:eastAsia="Arial" w:hAnsi="Arial"/>
          <w:sz w:val="17"/>
          <w:szCs w:val="17"/>
          <w:color w:val="auto"/>
        </w:rPr>
        <w:t>: The carrying amounts reported in the accompanying condensed consolidated balance sheet for these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 their fair values due to their relatively short-term maturities and variable interest rates.</w:t>
      </w:r>
    </w:p>
    <w:p>
      <w:pPr>
        <w:spacing w:after="0" w:line="216" w:lineRule="exact"/>
        <w:rPr>
          <w:sz w:val="20"/>
          <w:szCs w:val="20"/>
          <w:color w:val="auto"/>
        </w:rPr>
      </w:pPr>
    </w:p>
    <w:p>
      <w:pPr>
        <w:jc w:val="both"/>
        <w:spacing w:after="0" w:line="306" w:lineRule="auto"/>
        <w:rPr>
          <w:sz w:val="20"/>
          <w:szCs w:val="20"/>
          <w:color w:val="auto"/>
        </w:rPr>
      </w:pPr>
      <w:r>
        <w:rPr>
          <w:rFonts w:ascii="Arial" w:cs="Arial" w:eastAsia="Arial" w:hAnsi="Arial"/>
          <w:sz w:val="15"/>
          <w:szCs w:val="15"/>
          <w:i w:val="1"/>
          <w:iCs w:val="1"/>
          <w:u w:val="single" w:color="auto"/>
          <w:color w:val="auto"/>
        </w:rPr>
        <w:t>Policyholder Account Balances and Future Policy Benefits-Annuities</w:t>
      </w:r>
      <w:r>
        <w:rPr>
          <w:rFonts w:ascii="Arial" w:cs="Arial" w:eastAsia="Arial" w:hAnsi="Arial"/>
          <w:sz w:val="15"/>
          <w:szCs w:val="15"/>
          <w:color w:val="auto"/>
        </w:rPr>
        <w:t>: Future policy benefit reserves for interest-sensitive insurance products are computed under a</w:t>
      </w:r>
      <w:r>
        <w:rPr>
          <w:rFonts w:ascii="Arial" w:cs="Arial" w:eastAsia="Arial" w:hAnsi="Arial"/>
          <w:sz w:val="15"/>
          <w:szCs w:val="15"/>
          <w:i w:val="1"/>
          <w:iCs w:val="1"/>
          <w:color w:val="auto"/>
        </w:rPr>
        <w:t xml:space="preserve"> </w:t>
      </w:r>
      <w:r>
        <w:rPr>
          <w:rFonts w:ascii="Arial" w:cs="Arial" w:eastAsia="Arial" w:hAnsi="Arial"/>
          <w:sz w:val="15"/>
          <w:szCs w:val="15"/>
          <w:color w:val="auto"/>
        </w:rPr>
        <w:t>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228" w:lineRule="exact"/>
        <w:rPr>
          <w:sz w:val="20"/>
          <w:szCs w:val="20"/>
          <w:color w:val="auto"/>
        </w:rPr>
      </w:pPr>
    </w:p>
    <w:p>
      <w:pPr>
        <w:ind w:left="240" w:hanging="237"/>
        <w:spacing w:after="0"/>
        <w:tabs>
          <w:tab w:leader="none" w:pos="24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Allowance for Doubtful Accounts</w:t>
      </w: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records an allowance and recognizes an expense for potential losses from other investments and receivables in accordance with generally accepted accounting principles.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00" w:lineRule="exact"/>
        <w:rPr>
          <w:sz w:val="20"/>
          <w:szCs w:val="20"/>
          <w:color w:val="auto"/>
        </w:rPr>
      </w:pPr>
    </w:p>
    <w:p>
      <w:pPr>
        <w:spacing w:after="0" w:line="312" w:lineRule="exact"/>
        <w:rPr>
          <w:sz w:val="20"/>
          <w:szCs w:val="20"/>
          <w:color w:val="auto"/>
        </w:rPr>
      </w:pPr>
    </w:p>
    <w:p>
      <w:pPr>
        <w:ind w:left="320" w:hanging="317"/>
        <w:spacing w:after="0"/>
        <w:tabs>
          <w:tab w:leader="none" w:pos="32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Derivative Instruments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Banking Derivatives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Loan Commitments</w:t>
      </w:r>
    </w:p>
    <w:p>
      <w:pPr>
        <w:spacing w:after="0" w:line="26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Forward Sale Commitments</w:t>
      </w:r>
    </w:p>
    <w:p>
      <w:pPr>
        <w:spacing w:after="0" w:line="2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23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Call and Put Options</w:t>
      </w:r>
    </w:p>
    <w:p>
      <w:pPr>
        <w:spacing w:after="0" w:line="27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recognizes a gain on the sale of the equity security enhanced by the value of the option that was sold. If the option expires unexercised, the Company realizes a gain from the sale of the option. In the event a put option is exercised, the Company acquires an equity security at the strike price of the option reduced by the value received from the sale of the put option. The equity security is then traded as a normal equity security in the Company's portfolio. The net changes in the fair value of call and put options are shown in current earnings as a component of gains (losses) on investments and other assets. Call and put options are shown in other liabilities and accrued expenses on the condensed consolidated balance sheets.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320" w:hanging="317"/>
        <w:spacing w:after="0"/>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Derivative Instruments</w:t>
      </w:r>
      <w:r>
        <w:rPr>
          <w:rFonts w:ascii="Arial" w:cs="Arial" w:eastAsia="Arial" w:hAnsi="Arial"/>
          <w:sz w:val="17"/>
          <w:szCs w:val="17"/>
          <w:color w:val="auto"/>
        </w:rPr>
        <w:t xml:space="preserve"> (Continued)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notional amount and fair value of derivatives as of March 31, 2018 and December 31, 2017.</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20" w:type="dxa"/>
            <w:vAlign w:val="bottom"/>
            <w:gridSpan w:val="15"/>
          </w:tcPr>
          <w:p>
            <w:pPr>
              <w:jc w:val="right"/>
              <w:ind w:right="980"/>
              <w:spacing w:after="0"/>
              <w:rPr>
                <w:sz w:val="20"/>
                <w:szCs w:val="20"/>
                <w:color w:val="auto"/>
              </w:rPr>
            </w:pPr>
            <w:r>
              <w:rPr>
                <w:rFonts w:ascii="Arial" w:cs="Arial" w:eastAsia="Arial" w:hAnsi="Arial"/>
                <w:sz w:val="17"/>
                <w:szCs w:val="17"/>
                <w:color w:val="auto"/>
              </w:rPr>
              <w:t>Fair Values and Notional Values of Derivative Instruments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7"/>
                <w:szCs w:val="17"/>
                <w:color w:val="auto"/>
                <w:w w:val="91"/>
              </w:rPr>
              <w:t>March 31, 2018</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Borders>
              <w:bottom w:val="single" w:sz="8" w:color="auto"/>
            </w:tcBorders>
            <w:gridSpan w:val="7"/>
          </w:tcPr>
          <w:p>
            <w:pPr>
              <w:jc w:val="center"/>
              <w:ind w:left="654"/>
              <w:spacing w:after="0"/>
              <w:rPr>
                <w:sz w:val="20"/>
                <w:szCs w:val="20"/>
                <w:color w:val="auto"/>
              </w:rPr>
            </w:pPr>
            <w:r>
              <w:rPr>
                <w:rFonts w:ascii="Arial" w:cs="Arial" w:eastAsia="Arial" w:hAnsi="Arial"/>
                <w:sz w:val="17"/>
                <w:szCs w:val="17"/>
                <w:color w:val="auto"/>
                <w:w w:val="89"/>
              </w:rPr>
              <w:t>December 31, 2017</w:t>
            </w: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3"/>
        </w:trPr>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94"/>
              <w:spacing w:after="0" w:line="193" w:lineRule="exact"/>
              <w:rPr>
                <w:sz w:val="20"/>
                <w:szCs w:val="20"/>
                <w:color w:val="auto"/>
              </w:rPr>
            </w:pPr>
            <w:r>
              <w:rPr>
                <w:rFonts w:ascii="Arial" w:cs="Arial" w:eastAsia="Arial" w:hAnsi="Arial"/>
                <w:sz w:val="17"/>
                <w:szCs w:val="17"/>
                <w:color w:val="auto"/>
              </w:rPr>
              <w:t>Notional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93" w:lineRule="exact"/>
              <w:rPr>
                <w:sz w:val="20"/>
                <w:szCs w:val="20"/>
                <w:color w:val="auto"/>
              </w:rPr>
            </w:pPr>
            <w:r>
              <w:rPr>
                <w:rFonts w:ascii="Arial" w:cs="Arial" w:eastAsia="Arial" w:hAnsi="Arial"/>
                <w:sz w:val="17"/>
                <w:szCs w:val="17"/>
                <w:color w:val="auto"/>
                <w:w w:val="91"/>
              </w:rPr>
              <w:t>Asset Fair</w:t>
            </w:r>
          </w:p>
        </w:tc>
        <w:tc>
          <w:tcPr>
            <w:tcW w:w="900" w:type="dxa"/>
            <w:vAlign w:val="bottom"/>
            <w:gridSpan w:val="2"/>
          </w:tcPr>
          <w:p>
            <w:pPr>
              <w:spacing w:after="0" w:line="193" w:lineRule="exact"/>
              <w:rPr>
                <w:sz w:val="20"/>
                <w:szCs w:val="20"/>
                <w:color w:val="auto"/>
              </w:rPr>
            </w:pPr>
            <w:r>
              <w:rPr>
                <w:rFonts w:ascii="Arial" w:cs="Arial" w:eastAsia="Arial" w:hAnsi="Arial"/>
                <w:sz w:val="17"/>
                <w:szCs w:val="17"/>
                <w:color w:val="auto"/>
                <w:w w:val="96"/>
              </w:rPr>
              <w:t>Liability Fair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ind w:left="180"/>
              <w:spacing w:after="0" w:line="193" w:lineRule="exact"/>
              <w:rPr>
                <w:sz w:val="20"/>
                <w:szCs w:val="20"/>
                <w:color w:val="auto"/>
              </w:rPr>
            </w:pPr>
            <w:r>
              <w:rPr>
                <w:rFonts w:ascii="Arial" w:cs="Arial" w:eastAsia="Arial" w:hAnsi="Arial"/>
                <w:sz w:val="17"/>
                <w:szCs w:val="17"/>
                <w:color w:val="auto"/>
              </w:rPr>
              <w:t>Notional</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260"/>
              <w:spacing w:after="0" w:line="193" w:lineRule="exact"/>
              <w:rPr>
                <w:sz w:val="20"/>
                <w:szCs w:val="20"/>
                <w:color w:val="auto"/>
              </w:rPr>
            </w:pPr>
            <w:r>
              <w:rPr>
                <w:rFonts w:ascii="Arial" w:cs="Arial" w:eastAsia="Arial" w:hAnsi="Arial"/>
                <w:sz w:val="17"/>
                <w:szCs w:val="17"/>
                <w:color w:val="auto"/>
                <w:w w:val="91"/>
              </w:rPr>
              <w:t>Asset Fair</w:t>
            </w:r>
          </w:p>
        </w:tc>
        <w:tc>
          <w:tcPr>
            <w:tcW w:w="920" w:type="dxa"/>
            <w:vAlign w:val="bottom"/>
            <w:gridSpan w:val="2"/>
          </w:tcPr>
          <w:p>
            <w:pPr>
              <w:spacing w:after="0" w:line="193" w:lineRule="exact"/>
              <w:rPr>
                <w:sz w:val="20"/>
                <w:szCs w:val="20"/>
                <w:color w:val="auto"/>
              </w:rPr>
            </w:pPr>
            <w:r>
              <w:rPr>
                <w:rFonts w:ascii="Arial" w:cs="Arial" w:eastAsia="Arial" w:hAnsi="Arial"/>
                <w:sz w:val="17"/>
                <w:szCs w:val="17"/>
                <w:color w:val="auto"/>
                <w:w w:val="99"/>
              </w:rPr>
              <w:t>Liability Fair</w:t>
            </w:r>
          </w:p>
        </w:tc>
        <w:tc>
          <w:tcPr>
            <w:tcW w:w="80" w:type="dxa"/>
            <w:vAlign w:val="bottom"/>
          </w:tcPr>
          <w:p>
            <w:pPr>
              <w:spacing w:after="0"/>
              <w:rPr>
                <w:sz w:val="16"/>
                <w:szCs w:val="16"/>
                <w:color w:val="auto"/>
              </w:rPr>
            </w:pPr>
          </w:p>
        </w:tc>
      </w:tr>
      <w:tr>
        <w:trPr>
          <w:trHeight w:val="223"/>
        </w:trPr>
        <w:tc>
          <w:tcPr>
            <w:tcW w:w="2620" w:type="dxa"/>
            <w:vAlign w:val="bottom"/>
            <w:gridSpan w:val="3"/>
          </w:tcPr>
          <w:p>
            <w:pPr>
              <w:ind w:left="460"/>
              <w:spacing w:after="0"/>
              <w:rPr>
                <w:sz w:val="20"/>
                <w:szCs w:val="20"/>
                <w:color w:val="auto"/>
              </w:rPr>
            </w:pPr>
            <w:r>
              <w:rPr>
                <w:rFonts w:ascii="Arial" w:cs="Arial" w:eastAsia="Arial" w:hAnsi="Arial"/>
                <w:sz w:val="17"/>
                <w:szCs w:val="17"/>
                <w:color w:val="auto"/>
              </w:rPr>
              <w:t>Balance Sheet Location</w:t>
            </w:r>
          </w:p>
        </w:tc>
        <w:tc>
          <w:tcPr>
            <w:tcW w:w="940" w:type="dxa"/>
            <w:vAlign w:val="bottom"/>
          </w:tcPr>
          <w:p>
            <w:pPr>
              <w:jc w:val="right"/>
              <w:ind w:right="114"/>
              <w:spacing w:after="0"/>
              <w:rPr>
                <w:sz w:val="20"/>
                <w:szCs w:val="20"/>
                <w:color w:val="auto"/>
              </w:rPr>
            </w:pPr>
            <w:r>
              <w:rPr>
                <w:rFonts w:ascii="Arial" w:cs="Arial" w:eastAsia="Arial" w:hAnsi="Arial"/>
                <w:sz w:val="17"/>
                <w:szCs w:val="17"/>
                <w:color w:val="auto"/>
              </w:rPr>
              <w:t>Amount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Value</w:t>
            </w:r>
          </w:p>
        </w:tc>
        <w:tc>
          <w:tcPr>
            <w:tcW w:w="16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Value</w:t>
            </w:r>
          </w:p>
        </w:tc>
        <w:tc>
          <w:tcPr>
            <w:tcW w:w="80" w:type="dxa"/>
            <w:vAlign w:val="bottom"/>
          </w:tcPr>
          <w:p>
            <w:pPr>
              <w:spacing w:after="0"/>
              <w:rPr>
                <w:sz w:val="19"/>
                <w:szCs w:val="19"/>
                <w:color w:val="auto"/>
              </w:rPr>
            </w:pPr>
          </w:p>
        </w:tc>
        <w:tc>
          <w:tcPr>
            <w:tcW w:w="1040" w:type="dxa"/>
            <w:vAlign w:val="bottom"/>
            <w:gridSpan w:val="2"/>
          </w:tcPr>
          <w:p>
            <w:pPr>
              <w:ind w:left="200"/>
              <w:spacing w:after="0"/>
              <w:rPr>
                <w:sz w:val="20"/>
                <w:szCs w:val="20"/>
                <w:color w:val="auto"/>
              </w:rPr>
            </w:pPr>
            <w:r>
              <w:rPr>
                <w:rFonts w:ascii="Arial" w:cs="Arial" w:eastAsia="Arial" w:hAnsi="Arial"/>
                <w:sz w:val="17"/>
                <w:szCs w:val="17"/>
                <w:color w:val="auto"/>
              </w:rPr>
              <w:t>Amount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7"/>
                <w:szCs w:val="17"/>
                <w:color w:val="auto"/>
                <w:w w:val="87"/>
              </w:rPr>
              <w:t>Value</w:t>
            </w:r>
          </w:p>
        </w:tc>
        <w:tc>
          <w:tcPr>
            <w:tcW w:w="1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Value</w:t>
            </w:r>
          </w:p>
        </w:tc>
      </w:tr>
      <w:tr>
        <w:trPr>
          <w:trHeight w:val="193"/>
        </w:trPr>
        <w:tc>
          <w:tcPr>
            <w:tcW w:w="2520" w:type="dxa"/>
            <w:vAlign w:val="bottom"/>
            <w:tcBorders>
              <w:top w:val="single" w:sz="8" w:color="auto"/>
            </w:tcBorders>
            <w:gridSpan w:val="2"/>
          </w:tcPr>
          <w:p>
            <w:pPr>
              <w:spacing w:after="0" w:line="193" w:lineRule="exact"/>
              <w:rPr>
                <w:sz w:val="20"/>
                <w:szCs w:val="20"/>
                <w:color w:val="auto"/>
              </w:rPr>
            </w:pPr>
            <w:r>
              <w:rPr>
                <w:rFonts w:ascii="Arial" w:cs="Arial" w:eastAsia="Arial" w:hAnsi="Arial"/>
                <w:sz w:val="17"/>
                <w:szCs w:val="17"/>
                <w:color w:val="auto"/>
                <w:w w:val="86"/>
              </w:rPr>
              <w:t>Derivatives not designated as hedging</w:t>
            </w: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1140" w:type="dxa"/>
            <w:vAlign w:val="bottom"/>
          </w:tcPr>
          <w:p>
            <w:pPr>
              <w:spacing w:after="0"/>
              <w:rPr>
                <w:sz w:val="20"/>
                <w:szCs w:val="20"/>
                <w:color w:val="auto"/>
              </w:rPr>
            </w:pPr>
            <w:r>
              <w:rPr>
                <w:rFonts w:ascii="Arial" w:cs="Arial" w:eastAsia="Arial" w:hAnsi="Arial"/>
                <w:sz w:val="17"/>
                <w:szCs w:val="17"/>
                <w:color w:val="auto"/>
              </w:rPr>
              <w:t>instruments: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1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Loan</w:t>
            </w:r>
          </w:p>
        </w:tc>
        <w:tc>
          <w:tcPr>
            <w:tcW w:w="1480" w:type="dxa"/>
            <w:vAlign w:val="bottom"/>
            <w:gridSpan w:val="2"/>
            <w:shd w:val="clear" w:color="auto" w:fill="CCEEFF"/>
          </w:tcPr>
          <w:p>
            <w:pPr>
              <w:jc w:val="center"/>
              <w:spacing w:after="0" w:line="194" w:lineRule="exact"/>
              <w:rPr>
                <w:sz w:val="20"/>
                <w:szCs w:val="20"/>
                <w:color w:val="auto"/>
              </w:rPr>
            </w:pPr>
            <w:r>
              <w:rPr>
                <w:rFonts w:ascii="Arial" w:cs="Arial" w:eastAsia="Arial" w:hAnsi="Arial"/>
                <w:sz w:val="17"/>
                <w:szCs w:val="17"/>
                <w:color w:val="auto"/>
                <w:w w:val="86"/>
              </w:rPr>
              <w:t>Other assets and</w:t>
            </w: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commitments</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5"/>
              </w:rPr>
              <w:t>Other liabilities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$170,365,863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2,786,371</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348,824</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8"/>
              </w:rPr>
              <w:t>$105,679,107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2,032,782</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36,193</w:t>
            </w:r>
          </w:p>
        </w:tc>
      </w:tr>
      <w:tr>
        <w:trPr>
          <w:trHeight w:val="205"/>
        </w:trPr>
        <w:tc>
          <w:tcPr>
            <w:tcW w:w="1140" w:type="dxa"/>
            <w:vAlign w:val="bottom"/>
          </w:tcPr>
          <w:p>
            <w:pPr>
              <w:spacing w:after="0"/>
              <w:rPr>
                <w:sz w:val="20"/>
                <w:szCs w:val="20"/>
                <w:color w:val="auto"/>
              </w:rPr>
            </w:pPr>
            <w:r>
              <w:rPr>
                <w:rFonts w:ascii="Arial" w:cs="Arial" w:eastAsia="Arial" w:hAnsi="Arial"/>
                <w:sz w:val="17"/>
                <w:szCs w:val="17"/>
                <w:color w:val="auto"/>
              </w:rPr>
              <w:t>Call options</w:t>
            </w:r>
          </w:p>
        </w:tc>
        <w:tc>
          <w:tcPr>
            <w:tcW w:w="1480" w:type="dxa"/>
            <w:vAlign w:val="bottom"/>
            <w:gridSpan w:val="2"/>
          </w:tcPr>
          <w:p>
            <w:pPr>
              <w:jc w:val="center"/>
              <w:spacing w:after="0"/>
              <w:rPr>
                <w:sz w:val="20"/>
                <w:szCs w:val="20"/>
                <w:color w:val="auto"/>
              </w:rPr>
            </w:pPr>
            <w:r>
              <w:rPr>
                <w:rFonts w:ascii="Arial" w:cs="Arial" w:eastAsia="Arial" w:hAnsi="Arial"/>
                <w:sz w:val="17"/>
                <w:szCs w:val="17"/>
                <w:color w:val="auto"/>
                <w:w w:val="95"/>
              </w:rPr>
              <w:t>Other liabilities</w:t>
            </w:r>
          </w:p>
        </w:tc>
        <w:tc>
          <w:tcPr>
            <w:tcW w:w="940" w:type="dxa"/>
            <w:vAlign w:val="bottom"/>
          </w:tcPr>
          <w:p>
            <w:pPr>
              <w:jc w:val="right"/>
              <w:spacing w:after="0"/>
              <w:rPr>
                <w:sz w:val="20"/>
                <w:szCs w:val="20"/>
                <w:color w:val="auto"/>
              </w:rPr>
            </w:pPr>
            <w:r>
              <w:rPr>
                <w:rFonts w:ascii="Arial" w:cs="Arial" w:eastAsia="Arial" w:hAnsi="Arial"/>
                <w:sz w:val="17"/>
                <w:szCs w:val="17"/>
                <w:color w:val="auto"/>
              </w:rPr>
              <w:t>1,266,050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13,277</w:t>
            </w: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1,488,550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64,689</w:t>
            </w:r>
          </w:p>
        </w:tc>
      </w:tr>
      <w:tr>
        <w:trPr>
          <w:trHeight w:val="205"/>
        </w:trPr>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Put options</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5"/>
              </w:rPr>
              <w:t>Other liabilities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5,128,950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128,598</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2,265,900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20,568</w:t>
            </w:r>
          </w:p>
        </w:tc>
      </w:tr>
      <w:tr>
        <w:trPr>
          <w:trHeight w:val="26"/>
        </w:trPr>
        <w:tc>
          <w:tcPr>
            <w:tcW w:w="1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1140" w:type="dxa"/>
            <w:vAlign w:val="bottom"/>
          </w:tcPr>
          <w:p>
            <w:pPr>
              <w:spacing w:after="0"/>
              <w:rPr>
                <w:sz w:val="20"/>
                <w:szCs w:val="20"/>
                <w:color w:val="auto"/>
              </w:rPr>
            </w:pPr>
            <w:r>
              <w:rPr>
                <w:rFonts w:ascii="Arial" w:cs="Arial" w:eastAsia="Arial" w:hAnsi="Arial"/>
                <w:sz w:val="17"/>
                <w:szCs w:val="17"/>
                <w:color w:val="auto"/>
              </w:rPr>
              <w:t>Total</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176,760,863</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2,786,371</w:t>
            </w:r>
          </w:p>
        </w:tc>
        <w:tc>
          <w:tcPr>
            <w:tcW w:w="1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490,699</w:t>
            </w:r>
          </w:p>
        </w:tc>
        <w:tc>
          <w:tcPr>
            <w:tcW w:w="1120" w:type="dxa"/>
            <w:vAlign w:val="bottom"/>
            <w:gridSpan w:val="3"/>
          </w:tcPr>
          <w:p>
            <w:pPr>
              <w:jc w:val="right"/>
              <w:ind w:right="80"/>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109,433,557</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2,032,782</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121,450</w:t>
            </w:r>
          </w:p>
        </w:tc>
        <w:tc>
          <w:tcPr>
            <w:tcW w:w="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gains and losses on derivatives for the periods presented.</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8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4"/>
          </w:tcPr>
          <w:p>
            <w:pPr>
              <w:jc w:val="right"/>
              <w:ind w:right="194"/>
              <w:spacing w:after="0"/>
              <w:rPr>
                <w:sz w:val="20"/>
                <w:szCs w:val="20"/>
                <w:color w:val="auto"/>
              </w:rPr>
            </w:pPr>
            <w:r>
              <w:rPr>
                <w:rFonts w:ascii="Arial" w:cs="Arial" w:eastAsia="Arial" w:hAnsi="Arial"/>
                <w:sz w:val="17"/>
                <w:szCs w:val="17"/>
                <w:color w:val="auto"/>
                <w:w w:val="95"/>
              </w:rPr>
              <w:t>Three Months Ended</w:t>
            </w:r>
          </w:p>
        </w:tc>
        <w:tc>
          <w:tcPr>
            <w:tcW w:w="80" w:type="dxa"/>
            <w:vAlign w:val="bottom"/>
          </w:tcPr>
          <w:p>
            <w:pPr>
              <w:spacing w:after="0"/>
              <w:rPr>
                <w:sz w:val="17"/>
                <w:szCs w:val="17"/>
                <w:color w:val="auto"/>
              </w:rPr>
            </w:pPr>
          </w:p>
        </w:tc>
      </w:tr>
      <w:tr>
        <w:trPr>
          <w:trHeight w:val="223"/>
        </w:trPr>
        <w:tc>
          <w:tcPr>
            <w:tcW w:w="28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7"/>
                <w:szCs w:val="17"/>
                <w:color w:val="auto"/>
              </w:rPr>
              <w:t>March 31</w:t>
            </w:r>
          </w:p>
        </w:tc>
        <w:tc>
          <w:tcPr>
            <w:tcW w:w="80" w:type="dxa"/>
            <w:vAlign w:val="bottom"/>
          </w:tcPr>
          <w:p>
            <w:pPr>
              <w:spacing w:after="0"/>
              <w:rPr>
                <w:sz w:val="19"/>
                <w:szCs w:val="19"/>
                <w:color w:val="auto"/>
              </w:rPr>
            </w:pPr>
          </w:p>
        </w:tc>
      </w:tr>
      <w:tr>
        <w:trPr>
          <w:trHeight w:val="211"/>
        </w:trPr>
        <w:tc>
          <w:tcPr>
            <w:tcW w:w="2800" w:type="dxa"/>
            <w:vAlign w:val="bottom"/>
            <w:tcBorders>
              <w:bottom w:val="single" w:sz="8" w:color="auto"/>
            </w:tcBorders>
          </w:tcPr>
          <w:p>
            <w:pPr>
              <w:ind w:left="1380"/>
              <w:spacing w:after="0"/>
              <w:rPr>
                <w:sz w:val="20"/>
                <w:szCs w:val="20"/>
                <w:color w:val="auto"/>
              </w:rPr>
            </w:pPr>
            <w:r>
              <w:rPr>
                <w:rFonts w:ascii="Arial" w:cs="Arial" w:eastAsia="Arial" w:hAnsi="Arial"/>
                <w:sz w:val="17"/>
                <w:szCs w:val="17"/>
                <w:color w:val="auto"/>
              </w:rPr>
              <w:t>Derivative</w:t>
            </w:r>
          </w:p>
        </w:tc>
        <w:tc>
          <w:tcPr>
            <w:tcW w:w="4160" w:type="dxa"/>
            <w:vAlign w:val="bottom"/>
            <w:tcBorders>
              <w:bottom w:val="single" w:sz="8" w:color="auto"/>
            </w:tcBorders>
          </w:tcPr>
          <w:p>
            <w:pPr>
              <w:ind w:left="1960"/>
              <w:spacing w:after="0"/>
              <w:rPr>
                <w:sz w:val="20"/>
                <w:szCs w:val="20"/>
                <w:color w:val="auto"/>
              </w:rPr>
            </w:pPr>
            <w:r>
              <w:rPr>
                <w:rFonts w:ascii="Arial" w:cs="Arial" w:eastAsia="Arial" w:hAnsi="Arial"/>
                <w:sz w:val="17"/>
                <w:szCs w:val="17"/>
                <w:color w:val="auto"/>
              </w:rPr>
              <w:t>Classification</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r>
      <w:tr>
        <w:trPr>
          <w:trHeight w:val="245"/>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Loan commitments</w:t>
            </w:r>
          </w:p>
        </w:tc>
        <w:tc>
          <w:tcPr>
            <w:tcW w:w="41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Mortgage fee income</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440,958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2,167,593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28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Call and put options</w:t>
            </w:r>
          </w:p>
        </w:tc>
        <w:tc>
          <w:tcPr>
            <w:tcW w:w="41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Gains on investments and other assets</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79,171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134,563</w:t>
            </w:r>
          </w:p>
        </w:tc>
        <w:tc>
          <w:tcPr>
            <w:tcW w:w="80" w:type="dxa"/>
            <w:vAlign w:val="bottom"/>
            <w:shd w:val="clear" w:color="auto" w:fill="CCEEFF"/>
          </w:tcPr>
          <w:p>
            <w:pPr>
              <w:spacing w:after="0"/>
              <w:rPr>
                <w:sz w:val="19"/>
                <w:szCs w:val="19"/>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Reinsurance, Commitments and Contingencies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Reinsurance</w:t>
      </w:r>
    </w:p>
    <w:p>
      <w:pPr>
        <w:spacing w:after="0" w:line="27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Company follows the procedure of reinsuring risks in excess of a specified limit, which ranges from $25,000 to $100,000. The Company is liable for these amounts in the event such reinsurers are unable to pay their portion of the claims. The Company has also assumed insurance from other companies.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Loan Loss Settlements</w:t>
      </w: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Future loan losses can be extremely difficult to estimate. However, management believes that the Company's reserve methodology and its current practice of property preservation allow it to estimate its potential losses on loans sold. The estimated liability for indemnification losses is included in other liabilities and accrued expenses and, as of March 31, 2018 and December 31, 2017, the balances were $2,912,000 and $2,572,000,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Loan Loss Litigation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Lehman Brothers Holdings Litigation – Delaware and New York</w:t>
      </w:r>
    </w:p>
    <w:p>
      <w:pPr>
        <w:spacing w:after="0" w:line="273"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In January 2014, Lehman Brothers Holdings, Inc. ("Lehman Holdings") entered into a settlement with the Federal National Mortgage Association (Fannie Mae) concerning the mortgage loan claims that Fannie Mae had asserted against Lehman Holdings, which were based on alleged breaches of certain representations and warranties by Lehman Holdings in the mortgage loans it had sold to Fannie Mae. Lehman Holdings acquired these loans from Aurora Bank, FSB, formerly known as Lehman Brothers Bank, FSB, which in turn purchased the loans from certain residential mortgage loan originators, including SecurityNational Mortgage. A settlement based on similar circumstances was entered into between Lehman Holdings and the Federal Home Loan Mortgage Corporation (Freddie Mac) in February 2014.</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Lehman Holdings filed a motion in May 2014 with the U.S. Bankruptcy Court of the Southern District of New York to require the mortgage loan originators, including SecurityNational Mortgage, to engage in non-binding mediations of their alleged indemnification claims against the mortgage loan originators relative to the Fannie Mae and Freddie Mac settlements with Lehman Holdings. The mediation was not successful in resolving any issues between SecurityNational Mortgage and Lehman Holdings.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300" w:hanging="297"/>
        <w:spacing w:after="0"/>
        <w:tabs>
          <w:tab w:leader="none" w:pos="30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Reinsurance, Commitments and Contingencies</w:t>
      </w:r>
      <w:r>
        <w:rPr>
          <w:rFonts w:ascii="Arial" w:cs="Arial" w:eastAsia="Arial" w:hAnsi="Arial"/>
          <w:sz w:val="17"/>
          <w:szCs w:val="17"/>
          <w:color w:val="auto"/>
        </w:rPr>
        <w:t xml:space="preserve"> (Continued)</w:t>
      </w:r>
    </w:p>
    <w:p>
      <w:pPr>
        <w:spacing w:after="0" w:line="2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January 26, 2016, SecurityNational Mortgage filed a declaratory judgment action against Lehman Holdings in the Superior Court for the State of Delaware. In the Delaware action, SecurityNational Mortgage asserted its right to obtain a declaration of rights in that there are allegedly millions of dollars in dispute with Lehman Holdings pertaining to approximately 136 loans. SecurityNational Mortgage sought a declaratory judgment as to its rights as it contends that it has no liability to Lehman Holdings as a result of Lehman Holdings' settlements with Fannie Mae and Freddie Mac. Lehman Holdings filed a motion in the Delaware court seeking to stay or dismiss the declaratory judgment action. On August 24, 2016, the Court ruled that it would exercise its discretion to decline jurisdiction over the action and granted Lehman Holdings' motion to dismiss.</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February 3, 2016, Lehman Holdings filed an adversary proceeding against approximately 150 mortgage loan originators, including SecurityNational Mortgage, in the U.S. Bankruptcy Court of the Southern District of New York seeking a declaration of rights similar in nature to the declaratory judgment that SecurityNational Mortgage sought in its Delaware lawsuit, and for damages relating to the alleged obligations of the defendants under the indemnification provisions of the alleged agreements, in amounts to be determined at trial, including interest, attorneys' fees and costs incurred by Lehman Holdings in enforcing the obligations of the defendants. No response was required to be filed relative to the Complaint or the Amended Complaint dated March 7, 2016. A Case Management Order was entered on November 1, 2016.</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December 27, 2016, pursuant to the Case Management Order, Lehman Holdings filed a Second Amended Complaint against SecurityNational Mortgage, which eliminates the declaratory judgment claim but retains a similar claim for damages as in the Complaint. The case is presently in a motion period. Many of the defendants, including SecurityNational Mortgage, filed a joint motion in the case asserting that the Bankruptcy Court does not have subject matter jurisdiction concerning the matter and that venue is improper. Lehman Holdings' response memorandum was filed on May 31, 2017 and a reply memorandum of the defendants filing the motion was filed on July 14, 2017. A hearing date for the motion is set for June 12, 2018. No Answer to the Second Amended Complaint is required to be filed by SecurityNational Mortgage pending further order of the Court. SecurityNational Mortgage denies that it has any liability to Lehman Holdings and intends to vigorously protect and defend its position.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Contingencies and Commitments</w:t>
      </w: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has entered into commitments to fund construction and land development loans and has also provided financing for land acquisition and development. As of March 31, 2018, the Company's commitments were approximately $82,523,000 for these loans, of which $54,254,000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5.50% to 8.00% per annum. Maturities range between six and eighteen months.</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is a defendant in various other legal actions arising from the normal conduct of business. Management believes that none of the actions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320" w:hanging="317"/>
        <w:spacing w:after="0"/>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Mortgage Servicing Rights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The Company initially records these MSRs at fair value as discussed in Note 8.</w:t>
      </w:r>
    </w:p>
    <w:p>
      <w:pPr>
        <w:spacing w:after="0" w:line="267"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The Company's subsequent accounting for MSRs is based on the class of MSRs. The Company has identified two classes of MSRs: MSRs backed by mortgage loans with initial term of 30 years and MSRs backed by mortgage loans with initial term of 15 years. The Company distinguishes between these classes of MSRs due to their differing sensitivities to change in value as the result of changes in market. 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gridSpan w:val="2"/>
          </w:tcPr>
          <w:p>
            <w:pPr>
              <w:jc w:val="right"/>
              <w:ind w:right="2774"/>
              <w:spacing w:after="0"/>
              <w:rPr>
                <w:sz w:val="20"/>
                <w:szCs w:val="20"/>
                <w:color w:val="auto"/>
              </w:rPr>
            </w:pPr>
            <w:r>
              <w:rPr>
                <w:rFonts w:ascii="Arial" w:cs="Arial" w:eastAsia="Arial" w:hAnsi="Arial"/>
                <w:sz w:val="17"/>
                <w:szCs w:val="17"/>
                <w:color w:val="auto"/>
                <w:w w:val="92"/>
              </w:rPr>
              <w:t>The following is a summary of the MSR activity for the periods presented.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00"/>
        </w:trPr>
        <w:tc>
          <w:tcPr>
            <w:tcW w:w="11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As of</w:t>
            </w:r>
          </w:p>
        </w:tc>
        <w:tc>
          <w:tcPr>
            <w:tcW w:w="1140" w:type="dxa"/>
            <w:vAlign w:val="bottom"/>
          </w:tcPr>
          <w:p>
            <w:pPr>
              <w:spacing w:after="0"/>
              <w:rPr>
                <w:sz w:val="24"/>
                <w:szCs w:val="24"/>
                <w:color w:val="auto"/>
              </w:rPr>
            </w:pPr>
          </w:p>
        </w:tc>
      </w:tr>
      <w:tr>
        <w:trPr>
          <w:trHeight w:val="205"/>
        </w:trPr>
        <w:tc>
          <w:tcPr>
            <w:tcW w:w="114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7"/>
                <w:szCs w:val="17"/>
                <w:color w:val="auto"/>
                <w:w w:val="97"/>
              </w:rPr>
              <w:t>As of</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December</w:t>
            </w: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March 31</w:t>
            </w:r>
          </w:p>
        </w:tc>
        <w:tc>
          <w:tcPr>
            <w:tcW w:w="10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114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89"/>
              </w:rPr>
              <w:t>2018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5"/>
        </w:trPr>
        <w:tc>
          <w:tcPr>
            <w:tcW w:w="114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Amortized cost: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Balance before valuation allowance at beginning of year</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21,376,937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18,872,362</w:t>
            </w: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MSR additions resulting from loan sales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997,497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6,085,352</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Amortization (1)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(820,384)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8"/>
              </w:rPr>
              <w:t>(3,580,777)</w:t>
            </w:r>
          </w:p>
        </w:tc>
        <w:tc>
          <w:tcPr>
            <w:tcW w:w="1140" w:type="dxa"/>
            <w:vAlign w:val="bottom"/>
          </w:tcPr>
          <w:p>
            <w:pPr>
              <w:spacing w:after="0"/>
              <w:rPr>
                <w:sz w:val="17"/>
                <w:szCs w:val="17"/>
                <w:color w:val="auto"/>
              </w:rPr>
            </w:pPr>
          </w:p>
        </w:tc>
      </w:tr>
      <w:tr>
        <w:trPr>
          <w:trHeight w:val="211"/>
        </w:trPr>
        <w:tc>
          <w:tcPr>
            <w:tcW w:w="114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7"/>
                <w:szCs w:val="17"/>
                <w:color w:val="auto"/>
                <w:w w:val="97"/>
              </w:rPr>
              <w:t>Application of valuation allowance to write down MSRs with other than temporary impairment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1"/>
        </w:trPr>
        <w:tc>
          <w:tcPr>
            <w:tcW w:w="1140" w:type="dxa"/>
            <w:vAlign w:val="bottom"/>
          </w:tcPr>
          <w:p>
            <w:pPr>
              <w:spacing w:after="0"/>
              <w:rPr>
                <w:sz w:val="18"/>
                <w:szCs w:val="18"/>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before valuation allowance at end of period</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21,554,050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21,376,937</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 for impairment of MSRs: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Balance at beginning of year</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7"/>
        </w:trPr>
        <w:tc>
          <w:tcPr>
            <w:tcW w:w="1140" w:type="dxa"/>
            <w:vAlign w:val="bottom"/>
          </w:tcPr>
          <w:p>
            <w:pPr>
              <w:spacing w:after="0"/>
              <w:rPr>
                <w:sz w:val="22"/>
                <w:szCs w:val="2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05"/>
        </w:trPr>
        <w:tc>
          <w:tcPr>
            <w:tcW w:w="114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7"/>
                <w:szCs w:val="17"/>
                <w:color w:val="auto"/>
                <w:w w:val="97"/>
              </w:rPr>
              <w:t>Application of valuation allowance to write down MSRs with other than temporary impairment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1"/>
        </w:trPr>
        <w:tc>
          <w:tcPr>
            <w:tcW w:w="114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68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1140" w:type="dxa"/>
            <w:vAlign w:val="bottom"/>
          </w:tcPr>
          <w:p>
            <w:pPr>
              <w:spacing w:after="0"/>
              <w:rPr>
                <w:sz w:val="21"/>
                <w:szCs w:val="21"/>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Mortgage servicing rights, net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21,554,050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21,376,937</w:t>
            </w:r>
          </w:p>
        </w:tc>
        <w:tc>
          <w:tcPr>
            <w:tcW w:w="1140" w:type="dxa"/>
            <w:vAlign w:val="bottom"/>
          </w:tcPr>
          <w:p>
            <w:pPr>
              <w:spacing w:after="0"/>
              <w:rPr>
                <w:sz w:val="21"/>
                <w:szCs w:val="21"/>
                <w:color w:val="auto"/>
              </w:rPr>
            </w:pPr>
          </w:p>
        </w:tc>
      </w:tr>
      <w:tr>
        <w:trPr>
          <w:trHeight w:val="197"/>
        </w:trPr>
        <w:tc>
          <w:tcPr>
            <w:tcW w:w="1140" w:type="dxa"/>
            <w:vAlign w:val="bottom"/>
          </w:tcPr>
          <w:p>
            <w:pPr>
              <w:spacing w:after="0"/>
              <w:rPr>
                <w:sz w:val="17"/>
                <w:szCs w:val="17"/>
                <w:color w:val="auto"/>
              </w:rPr>
            </w:pPr>
          </w:p>
        </w:tc>
        <w:tc>
          <w:tcPr>
            <w:tcW w:w="68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1140" w:type="dxa"/>
            <w:vAlign w:val="bottom"/>
          </w:tcPr>
          <w:p>
            <w:pPr>
              <w:spacing w:after="0"/>
              <w:rPr>
                <w:sz w:val="21"/>
                <w:szCs w:val="21"/>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Estimated fair value of MSRs at end of period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30,086,162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27,427,174</w:t>
            </w:r>
          </w:p>
        </w:tc>
        <w:tc>
          <w:tcPr>
            <w:tcW w:w="1140" w:type="dxa"/>
            <w:vAlign w:val="bottom"/>
          </w:tcPr>
          <w:p>
            <w:pPr>
              <w:spacing w:after="0"/>
              <w:rPr>
                <w:sz w:val="21"/>
                <w:szCs w:val="21"/>
                <w:color w:val="auto"/>
              </w:rPr>
            </w:pPr>
          </w:p>
        </w:tc>
      </w:tr>
      <w:tr>
        <w:trPr>
          <w:trHeight w:val="401"/>
        </w:trPr>
        <w:tc>
          <w:tcPr>
            <w:tcW w:w="1140" w:type="dxa"/>
            <w:vAlign w:val="bottom"/>
          </w:tcPr>
          <w:p>
            <w:pPr>
              <w:spacing w:after="0"/>
              <w:rPr>
                <w:sz w:val="24"/>
                <w:szCs w:val="24"/>
                <w:color w:val="auto"/>
              </w:rPr>
            </w:pPr>
          </w:p>
        </w:tc>
        <w:tc>
          <w:tcPr>
            <w:tcW w:w="68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(1) Included in other expenses on the condensed consolidated statements of earnings</w:t>
            </w: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837"/>
        </w:trPr>
        <w:tc>
          <w:tcPr>
            <w:tcW w:w="7960" w:type="dxa"/>
            <w:vAlign w:val="bottom"/>
            <w:gridSpan w:val="2"/>
          </w:tcPr>
          <w:p>
            <w:pPr>
              <w:jc w:val="right"/>
              <w:ind w:right="2094"/>
              <w:spacing w:after="0"/>
              <w:rPr>
                <w:sz w:val="20"/>
                <w:szCs w:val="20"/>
                <w:color w:val="auto"/>
              </w:rPr>
            </w:pPr>
            <w:r>
              <w:rPr>
                <w:rFonts w:ascii="Arial" w:cs="Arial" w:eastAsia="Arial" w:hAnsi="Arial"/>
                <w:sz w:val="14"/>
                <w:szCs w:val="14"/>
                <w:color w:val="auto"/>
              </w:rPr>
              <w:t>42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
        </w:trPr>
        <w:tc>
          <w:tcPr>
            <w:tcW w:w="1140" w:type="dxa"/>
            <w:vAlign w:val="bottom"/>
            <w:tcBorders>
              <w:bottom w:val="single" w:sz="8" w:color="auto"/>
            </w:tcBorders>
          </w:tcPr>
          <w:p>
            <w:pPr>
              <w:spacing w:after="0"/>
              <w:rPr>
                <w:sz w:val="3"/>
                <w:szCs w:val="3"/>
                <w:color w:val="auto"/>
              </w:rPr>
            </w:pPr>
          </w:p>
        </w:tc>
        <w:tc>
          <w:tcPr>
            <w:tcW w:w="68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3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80" w:type="dxa"/>
            <w:vAlign w:val="bottom"/>
            <w:gridSpan w:val="4"/>
          </w:tcPr>
          <w:p>
            <w:pPr>
              <w:spacing w:after="0"/>
              <w:rPr>
                <w:sz w:val="20"/>
                <w:szCs w:val="20"/>
                <w:color w:val="auto"/>
              </w:rPr>
            </w:pPr>
            <w:r>
              <w:rPr>
                <w:rFonts w:ascii="Arial" w:cs="Arial" w:eastAsia="Arial" w:hAnsi="Arial"/>
                <w:sz w:val="17"/>
                <w:szCs w:val="17"/>
                <w:color w:val="auto"/>
              </w:rPr>
              <w:t>12) Mortgage Servicing Rights (Continued)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9280" w:type="dxa"/>
            <w:vAlign w:val="bottom"/>
            <w:gridSpan w:val="4"/>
          </w:tcPr>
          <w:p>
            <w:pPr>
              <w:spacing w:after="0"/>
              <w:rPr>
                <w:sz w:val="20"/>
                <w:szCs w:val="20"/>
                <w:color w:val="auto"/>
              </w:rPr>
            </w:pPr>
            <w:r>
              <w:rPr>
                <w:rFonts w:ascii="Arial" w:cs="Arial" w:eastAsia="Arial" w:hAnsi="Arial"/>
                <w:sz w:val="17"/>
                <w:szCs w:val="17"/>
                <w:color w:val="auto"/>
                <w:w w:val="98"/>
              </w:rPr>
              <w:t>The following table summarizes the Company's estimate of future amortization of its existing MSRs carried at amortized cost:</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1"/>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Estimated</w:t>
            </w:r>
          </w:p>
        </w:tc>
      </w:tr>
      <w:tr>
        <w:trPr>
          <w:trHeight w:val="205"/>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7"/>
                <w:szCs w:val="17"/>
                <w:color w:val="auto"/>
                <w:w w:val="95"/>
              </w:rPr>
              <w:t>MSR</w:t>
            </w: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7"/>
                <w:szCs w:val="17"/>
                <w:color w:val="auto"/>
                <w:w w:val="97"/>
              </w:rPr>
              <w:t>Amortization</w:t>
            </w:r>
          </w:p>
        </w:tc>
      </w:tr>
      <w:tr>
        <w:trPr>
          <w:trHeight w:val="205"/>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7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4,091,450</w:t>
            </w:r>
          </w:p>
        </w:tc>
        <w:tc>
          <w:tcPr>
            <w:tcW w:w="80" w:type="dxa"/>
            <w:vAlign w:val="bottom"/>
            <w:shd w:val="clear" w:color="auto" w:fill="CCEEFF"/>
          </w:tcPr>
          <w:p>
            <w:pPr>
              <w:spacing w:after="0"/>
              <w:rPr>
                <w:sz w:val="17"/>
                <w:szCs w:val="17"/>
                <w:color w:val="auto"/>
              </w:rPr>
            </w:pPr>
          </w:p>
        </w:tc>
      </w:tr>
      <w:tr>
        <w:trPr>
          <w:trHeight w:val="205"/>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Arial" w:cs="Arial" w:eastAsia="Arial" w:hAnsi="Arial"/>
                <w:sz w:val="17"/>
                <w:szCs w:val="17"/>
                <w:color w:val="auto"/>
              </w:rPr>
              <w:t>2019</w:t>
            </w:r>
          </w:p>
        </w:tc>
        <w:tc>
          <w:tcPr>
            <w:tcW w:w="7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4,091,450</w:t>
            </w:r>
          </w:p>
        </w:tc>
        <w:tc>
          <w:tcPr>
            <w:tcW w:w="80" w:type="dxa"/>
            <w:vAlign w:val="bottom"/>
          </w:tcPr>
          <w:p>
            <w:pPr>
              <w:spacing w:after="0"/>
              <w:rPr>
                <w:sz w:val="17"/>
                <w:szCs w:val="17"/>
                <w:color w:val="auto"/>
              </w:rPr>
            </w:pPr>
          </w:p>
        </w:tc>
      </w:tr>
      <w:tr>
        <w:trPr>
          <w:trHeight w:val="205"/>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7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4,091,450</w:t>
            </w:r>
          </w:p>
        </w:tc>
        <w:tc>
          <w:tcPr>
            <w:tcW w:w="80" w:type="dxa"/>
            <w:vAlign w:val="bottom"/>
            <w:shd w:val="clear" w:color="auto" w:fill="CCEEFF"/>
          </w:tcPr>
          <w:p>
            <w:pPr>
              <w:spacing w:after="0"/>
              <w:rPr>
                <w:sz w:val="17"/>
                <w:szCs w:val="17"/>
                <w:color w:val="auto"/>
              </w:rPr>
            </w:pPr>
          </w:p>
        </w:tc>
      </w:tr>
      <w:tr>
        <w:trPr>
          <w:trHeight w:val="205"/>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Arial" w:cs="Arial" w:eastAsia="Arial" w:hAnsi="Arial"/>
                <w:sz w:val="17"/>
                <w:szCs w:val="17"/>
                <w:color w:val="auto"/>
              </w:rPr>
              <w:t>2021</w:t>
            </w:r>
          </w:p>
        </w:tc>
        <w:tc>
          <w:tcPr>
            <w:tcW w:w="7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4,091,303</w:t>
            </w:r>
          </w:p>
        </w:tc>
        <w:tc>
          <w:tcPr>
            <w:tcW w:w="80" w:type="dxa"/>
            <w:vAlign w:val="bottom"/>
          </w:tcPr>
          <w:p>
            <w:pPr>
              <w:spacing w:after="0"/>
              <w:rPr>
                <w:sz w:val="17"/>
                <w:szCs w:val="17"/>
                <w:color w:val="auto"/>
              </w:rPr>
            </w:pPr>
          </w:p>
        </w:tc>
      </w:tr>
      <w:tr>
        <w:trPr>
          <w:trHeight w:val="205"/>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7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3,269,025</w:t>
            </w:r>
          </w:p>
        </w:tc>
        <w:tc>
          <w:tcPr>
            <w:tcW w:w="80" w:type="dxa"/>
            <w:vAlign w:val="bottom"/>
            <w:shd w:val="clear" w:color="auto" w:fill="CCEEFF"/>
          </w:tcPr>
          <w:p>
            <w:pPr>
              <w:spacing w:after="0"/>
              <w:rPr>
                <w:sz w:val="17"/>
                <w:szCs w:val="17"/>
                <w:color w:val="auto"/>
              </w:rPr>
            </w:pPr>
          </w:p>
        </w:tc>
      </w:tr>
      <w:tr>
        <w:trPr>
          <w:trHeight w:val="211"/>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1,919,372</w:t>
            </w:r>
          </w:p>
        </w:tc>
        <w:tc>
          <w:tcPr>
            <w:tcW w:w="80" w:type="dxa"/>
            <w:vAlign w:val="bottom"/>
          </w:tcPr>
          <w:p>
            <w:pPr>
              <w:spacing w:after="0"/>
              <w:rPr>
                <w:sz w:val="18"/>
                <w:szCs w:val="18"/>
                <w:color w:val="auto"/>
              </w:rPr>
            </w:pPr>
          </w:p>
        </w:tc>
      </w:tr>
      <w:tr>
        <w:trPr>
          <w:trHeight w:val="245"/>
        </w:trPr>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$ 21,554,050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Company collected the following contractual servicing fee income and late fee income as reported in other revenues on the condensed consolidated statement of earnings: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5"/>
          </w:tcPr>
          <w:p>
            <w:pPr>
              <w:ind w:left="140"/>
              <w:spacing w:after="0"/>
              <w:rPr>
                <w:sz w:val="20"/>
                <w:szCs w:val="20"/>
                <w:color w:val="auto"/>
              </w:rPr>
            </w:pPr>
            <w:r>
              <w:rPr>
                <w:rFonts w:ascii="Arial" w:cs="Arial" w:eastAsia="Arial" w:hAnsi="Arial"/>
                <w:sz w:val="17"/>
                <w:szCs w:val="17"/>
                <w:color w:val="auto"/>
              </w:rPr>
              <w:t>Three Months Ended</w:t>
            </w:r>
          </w:p>
        </w:tc>
      </w:tr>
      <w:tr>
        <w:trPr>
          <w:trHeight w:val="223"/>
        </w:trPr>
        <w:tc>
          <w:tcPr>
            <w:tcW w:w="7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5"/>
          </w:tcPr>
          <w:p>
            <w:pPr>
              <w:ind w:left="520"/>
              <w:spacing w:after="0"/>
              <w:rPr>
                <w:sz w:val="20"/>
                <w:szCs w:val="20"/>
                <w:color w:val="auto"/>
              </w:rPr>
            </w:pPr>
            <w:r>
              <w:rPr>
                <w:rFonts w:ascii="Arial" w:cs="Arial" w:eastAsia="Arial" w:hAnsi="Arial"/>
                <w:sz w:val="17"/>
                <w:szCs w:val="17"/>
                <w:color w:val="auto"/>
              </w:rPr>
              <w:t>March 31</w:t>
            </w:r>
          </w:p>
        </w:tc>
      </w:tr>
      <w:tr>
        <w:trPr>
          <w:trHeight w:val="211"/>
        </w:trPr>
        <w:tc>
          <w:tcPr>
            <w:tcW w:w="70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color w:val="auto"/>
              </w:rPr>
              <w:t>2018</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Contractual servicing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1,876,883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1,835,873</w:t>
            </w:r>
          </w:p>
        </w:tc>
        <w:tc>
          <w:tcPr>
            <w:tcW w:w="80" w:type="dxa"/>
            <w:vAlign w:val="bottom"/>
            <w:shd w:val="clear" w:color="auto" w:fill="CCEEFF"/>
          </w:tcPr>
          <w:p>
            <w:pPr>
              <w:spacing w:after="0"/>
              <w:rPr>
                <w:sz w:val="17"/>
                <w:szCs w:val="17"/>
                <w:color w:val="auto"/>
              </w:rPr>
            </w:pPr>
          </w:p>
        </w:tc>
      </w:tr>
      <w:tr>
        <w:trPr>
          <w:trHeight w:val="211"/>
        </w:trPr>
        <w:tc>
          <w:tcPr>
            <w:tcW w:w="7060" w:type="dxa"/>
            <w:vAlign w:val="bottom"/>
          </w:tcPr>
          <w:p>
            <w:pPr>
              <w:spacing w:after="0"/>
              <w:rPr>
                <w:sz w:val="20"/>
                <w:szCs w:val="20"/>
                <w:color w:val="auto"/>
              </w:rPr>
            </w:pPr>
            <w:r>
              <w:rPr>
                <w:rFonts w:ascii="Arial" w:cs="Arial" w:eastAsia="Arial" w:hAnsi="Arial"/>
                <w:sz w:val="17"/>
                <w:szCs w:val="17"/>
                <w:color w:val="auto"/>
              </w:rPr>
              <w:t>Late fees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111,748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86,338</w:t>
            </w:r>
          </w:p>
        </w:tc>
      </w:tr>
      <w:tr>
        <w:trPr>
          <w:trHeight w:val="245"/>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1,988,631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1,922,211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unpaid principal balances ("UPB") of the servicing portfolio for the periods presented:</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674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7"/>
              </w:rPr>
              <w:t>As of</w:t>
            </w:r>
          </w:p>
        </w:tc>
        <w:tc>
          <w:tcPr>
            <w:tcW w:w="116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As of</w:t>
            </w:r>
          </w:p>
        </w:tc>
      </w:tr>
      <w:tr>
        <w:trPr>
          <w:trHeight w:val="205"/>
        </w:trPr>
        <w:tc>
          <w:tcPr>
            <w:tcW w:w="674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March 31,</w:t>
            </w:r>
          </w:p>
        </w:tc>
        <w:tc>
          <w:tcPr>
            <w:tcW w:w="116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December 31</w:t>
            </w:r>
          </w:p>
        </w:tc>
      </w:tr>
      <w:tr>
        <w:trPr>
          <w:trHeight w:val="223"/>
        </w:trPr>
        <w:tc>
          <w:tcPr>
            <w:tcW w:w="674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2018</w:t>
            </w:r>
          </w:p>
        </w:tc>
        <w:tc>
          <w:tcPr>
            <w:tcW w:w="18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2017</w:t>
            </w:r>
          </w:p>
        </w:tc>
        <w:tc>
          <w:tcPr>
            <w:tcW w:w="80" w:type="dxa"/>
            <w:vAlign w:val="bottom"/>
          </w:tcPr>
          <w:p>
            <w:pPr>
              <w:spacing w:after="0"/>
              <w:rPr>
                <w:sz w:val="19"/>
                <w:szCs w:val="19"/>
                <w:color w:val="auto"/>
              </w:rPr>
            </w:pPr>
          </w:p>
        </w:tc>
      </w:tr>
      <w:tr>
        <w:trPr>
          <w:trHeight w:val="205"/>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Servicing UPB</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$2,941,337,111</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$2,924,868,843</w:t>
            </w:r>
          </w:p>
        </w:tc>
        <w:tc>
          <w:tcPr>
            <w:tcW w:w="8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key assumptions were used in determining MSR value:</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7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Prepayment</w:t>
            </w: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Average</w:t>
            </w:r>
          </w:p>
        </w:tc>
        <w:tc>
          <w:tcPr>
            <w:tcW w:w="920" w:type="dxa"/>
            <w:vAlign w:val="bottom"/>
          </w:tcPr>
          <w:p>
            <w:pPr>
              <w:jc w:val="right"/>
              <w:ind w:right="74"/>
              <w:spacing w:after="0"/>
              <w:rPr>
                <w:sz w:val="20"/>
                <w:szCs w:val="20"/>
                <w:color w:val="auto"/>
              </w:rPr>
            </w:pPr>
            <w:r>
              <w:rPr>
                <w:rFonts w:ascii="Arial" w:cs="Arial" w:eastAsia="Arial" w:hAnsi="Arial"/>
                <w:sz w:val="17"/>
                <w:szCs w:val="17"/>
                <w:color w:val="auto"/>
              </w:rPr>
              <w:t>Discount</w:t>
            </w:r>
          </w:p>
        </w:tc>
        <w:tc>
          <w:tcPr>
            <w:tcW w:w="80" w:type="dxa"/>
            <w:vAlign w:val="bottom"/>
          </w:tcPr>
          <w:p>
            <w:pPr>
              <w:spacing w:after="0"/>
              <w:rPr>
                <w:sz w:val="17"/>
                <w:szCs w:val="17"/>
                <w:color w:val="auto"/>
              </w:rPr>
            </w:pPr>
          </w:p>
        </w:tc>
      </w:tr>
      <w:tr>
        <w:trPr>
          <w:trHeight w:val="223"/>
        </w:trPr>
        <w:tc>
          <w:tcPr>
            <w:tcW w:w="7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Speeds</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Life (Years)</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Rate</w:t>
            </w:r>
          </w:p>
        </w:tc>
        <w:tc>
          <w:tcPr>
            <w:tcW w:w="80" w:type="dxa"/>
            <w:vAlign w:val="bottom"/>
          </w:tcPr>
          <w:p>
            <w:pPr>
              <w:spacing w:after="0"/>
              <w:rPr>
                <w:sz w:val="19"/>
                <w:szCs w:val="19"/>
                <w:color w:val="auto"/>
              </w:rPr>
            </w:pPr>
          </w:p>
        </w:tc>
      </w:tr>
      <w:tr>
        <w:trPr>
          <w:trHeight w:val="205"/>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w w:val="92"/>
              </w:rPr>
              <w:t>March 31,</w:t>
            </w:r>
          </w:p>
        </w:tc>
        <w:tc>
          <w:tcPr>
            <w:tcW w:w="5180" w:type="dxa"/>
            <w:vAlign w:val="bottom"/>
            <w:shd w:val="clear" w:color="auto" w:fill="CCEEFF"/>
          </w:tcPr>
          <w:p>
            <w:pPr>
              <w:ind w:left="40"/>
              <w:spacing w:after="0"/>
              <w:rPr>
                <w:sz w:val="20"/>
                <w:szCs w:val="20"/>
                <w:color w:val="auto"/>
              </w:rPr>
            </w:pPr>
            <w:r>
              <w:rPr>
                <w:rFonts w:ascii="Arial" w:cs="Arial" w:eastAsia="Arial" w:hAnsi="Arial"/>
                <w:sz w:val="17"/>
                <w:szCs w:val="17"/>
                <w:color w:val="auto"/>
              </w:rPr>
              <w:t>2017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80" w:type="dxa"/>
            <w:vAlign w:val="bottom"/>
            <w:shd w:val="clear" w:color="auto" w:fill="CCEEFF"/>
          </w:tcPr>
          <w:p>
            <w:pPr>
              <w:spacing w:after="0"/>
              <w:rPr>
                <w:sz w:val="17"/>
                <w:szCs w:val="17"/>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7"/>
                <w:szCs w:val="17"/>
                <w:color w:val="auto"/>
                <w:w w:val="89"/>
              </w:rPr>
              <w:t>December</w:t>
            </w:r>
          </w:p>
        </w:tc>
        <w:tc>
          <w:tcPr>
            <w:tcW w:w="5180" w:type="dxa"/>
            <w:vAlign w:val="bottom"/>
          </w:tcPr>
          <w:p>
            <w:pPr>
              <w:ind w:left="40"/>
              <w:spacing w:after="0"/>
              <w:rPr>
                <w:sz w:val="20"/>
                <w:szCs w:val="20"/>
                <w:color w:val="auto"/>
              </w:rPr>
            </w:pPr>
            <w:r>
              <w:rPr>
                <w:rFonts w:ascii="Arial" w:cs="Arial" w:eastAsia="Arial" w:hAnsi="Arial"/>
                <w:sz w:val="17"/>
                <w:szCs w:val="17"/>
                <w:color w:val="auto"/>
              </w:rPr>
              <w:t>31, 2017</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3.67%</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6.34</w:t>
            </w:r>
          </w:p>
        </w:tc>
        <w:tc>
          <w:tcPr>
            <w:tcW w:w="920" w:type="dxa"/>
            <w:vAlign w:val="bottom"/>
          </w:tcPr>
          <w:p>
            <w:pPr>
              <w:jc w:val="right"/>
              <w:spacing w:after="0"/>
              <w:rPr>
                <w:sz w:val="20"/>
                <w:szCs w:val="20"/>
                <w:color w:val="auto"/>
              </w:rPr>
            </w:pPr>
            <w:r>
              <w:rPr>
                <w:rFonts w:ascii="Arial" w:cs="Arial" w:eastAsia="Arial" w:hAnsi="Arial"/>
                <w:sz w:val="17"/>
                <w:szCs w:val="17"/>
                <w:color w:val="auto"/>
              </w:rPr>
              <w:t>10.01</w:t>
            </w:r>
          </w:p>
        </w:tc>
        <w:tc>
          <w:tcPr>
            <w:tcW w:w="80" w:type="dxa"/>
            <w:vAlign w:val="bottom"/>
          </w:tcPr>
          <w:p>
            <w:pPr>
              <w:spacing w:after="0"/>
              <w:rPr>
                <w:sz w:val="18"/>
                <w:szCs w:val="18"/>
                <w:color w:val="auto"/>
              </w:rPr>
            </w:pPr>
          </w:p>
        </w:tc>
      </w:tr>
    </w:tbl>
    <w:p>
      <w:pPr>
        <w:spacing w:after="0" w:line="247" w:lineRule="exact"/>
        <w:rPr>
          <w:sz w:val="20"/>
          <w:szCs w:val="20"/>
          <w:color w:val="auto"/>
        </w:rPr>
      </w:pPr>
    </w:p>
    <w:p>
      <w:pPr>
        <w:ind w:left="320" w:hanging="317"/>
        <w:spacing w:after="0"/>
        <w:tabs>
          <w:tab w:leader="none" w:pos="320" w:val="left"/>
        </w:tabs>
        <w:numPr>
          <w:ilvl w:val="0"/>
          <w:numId w:val="41"/>
        </w:numPr>
        <w:rPr>
          <w:rFonts w:ascii="Arial" w:cs="Arial" w:eastAsia="Arial" w:hAnsi="Arial"/>
          <w:sz w:val="21"/>
          <w:szCs w:val="21"/>
          <w:color w:val="auto"/>
        </w:rPr>
      </w:pPr>
      <w:r>
        <w:rPr>
          <w:rFonts w:ascii="Arial" w:cs="Arial" w:eastAsia="Arial" w:hAnsi="Arial"/>
          <w:sz w:val="17"/>
          <w:szCs w:val="17"/>
          <w:u w:val="single" w:color="auto"/>
          <w:color w:val="auto"/>
        </w:rPr>
        <w:t>Income Taxes</w:t>
      </w:r>
    </w:p>
    <w:p>
      <w:pPr>
        <w:spacing w:after="0" w:line="25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Company's overall effective tax rate for the three months ended March 31, 2018 and 2017 was 20.1% and 35.8%, respectively, which resulted in a provision for income taxes of $4,261,000 and $1,038,000, respectively. The Company's effective tax rates differ from the U.S. federal statutory rate of 21% largely due to its provision for state income taxes. The effective tax rate in the current period decreased when compared to the prior year period largely due to the Tax Cuts and Jobs Act reduction of the federal statutory rate from 35% to 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80" w:hanging="277"/>
        <w:spacing w:after="0"/>
        <w:tabs>
          <w:tab w:leader="none" w:pos="28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Revenues from Contracts with Customers</w:t>
      </w: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See Note 2 regarding the adoption of ASU No. 2014-09. The Company's cemetery and mortuary revenues are the only revenues recognized from contracts with customers, thus they are the only revenues subject to ASU No. 2014-09.</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Pre-need contract sales of funeral services and caskets - revenue and costs associated with the sales of pre-need funeral services and caskets are deferred until the services are performed or the caskets are delivered.</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Sales of cemetery interment rights (cemetery burial property) - revenue and costs associated with the sale of cemetery interment rights are recognized in accordance with the retail land sales provisions based on GAAP. Under GAAP, recognition of revenue and associated costs from constructed cemetery property must be deferred until 10% of the sales price has been collected.</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Pre-need contract sales of cemetery merchandise (primarily markers and vaults) - revenue and costs associated with the sale of pre-need cemetery merchandise is deferred until the merchandise is delivered.</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Pre-need contract sales of cemetery services (primarily merchandise delivery and installation fees) - revenue and costs associated with the sales of pre-need cemetery services are deferred until the services are performed.</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Prearranged funeral and pre-need cemetery customer acquisition costs - costs incurred related to obtaining new pre-need contract cemetery and prearranged funeral services are accounted for under the guidance of the provisions based on GAAP. Obtaining costs, which include only costs that vary with and are primarily related to the acquisition of new pre-need cemetery and prearranged funeral services, are deferred until the merchandise is delivered or services are performed.</w:t>
      </w:r>
    </w:p>
    <w:p>
      <w:pPr>
        <w:spacing w:after="0" w:line="191" w:lineRule="exact"/>
        <w:rPr>
          <w:sz w:val="20"/>
          <w:szCs w:val="20"/>
          <w:color w:val="auto"/>
        </w:rPr>
      </w:pPr>
    </w:p>
    <w:p>
      <w:pPr>
        <w:jc w:val="both"/>
        <w:spacing w:after="0" w:line="211" w:lineRule="exact"/>
        <w:rPr>
          <w:sz w:val="20"/>
          <w:szCs w:val="20"/>
          <w:color w:val="auto"/>
        </w:rPr>
      </w:pPr>
      <w:r>
        <w:rPr>
          <w:rFonts w:ascii="Arial" w:cs="Arial" w:eastAsia="Arial" w:hAnsi="Arial"/>
          <w:sz w:val="17"/>
          <w:szCs w:val="17"/>
          <w:color w:val="auto"/>
        </w:rPr>
        <w:t>Revenues and costs for at</w:t>
      </w:r>
      <w:r>
        <w:rPr>
          <w:rFonts w:ascii="MS PGothic" w:cs="MS PGothic" w:eastAsia="MS PGothic" w:hAnsi="MS PGothic"/>
          <w:sz w:val="17"/>
          <w:szCs w:val="17"/>
          <w:color w:val="auto"/>
        </w:rPr>
        <w:t>‑</w:t>
      </w:r>
      <w:r>
        <w:rPr>
          <w:rFonts w:ascii="Arial" w:cs="Arial" w:eastAsia="Arial" w:hAnsi="Arial"/>
          <w:sz w:val="17"/>
          <w:szCs w:val="17"/>
          <w:color w:val="auto"/>
        </w:rPr>
        <w:t>need sales are recorded when a valid contract exists, the services are performed, collection is reasonably assured and there are no significant obligations remaining.</w:t>
      </w:r>
    </w:p>
    <w:p>
      <w:pPr>
        <w:sectPr>
          <w:pgSz w:w="11900" w:h="16838" w:orient="portrait"/>
          <w:cols w:equalWidth="0" w:num="1">
            <w:col w:w="11420"/>
          </w:cols>
          <w:pgMar w:left="240" w:top="127" w:right="23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disaggregates revenue for the Company's cemetery and mortuary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40"/>
        <w:spacing w:after="0"/>
        <w:rPr>
          <w:sz w:val="20"/>
          <w:szCs w:val="20"/>
          <w:color w:val="auto"/>
        </w:rPr>
      </w:pPr>
      <w:r>
        <w:rPr>
          <w:rFonts w:ascii="Arial" w:cs="Arial" w:eastAsia="Arial" w:hAnsi="Arial"/>
          <w:sz w:val="17"/>
          <w:szCs w:val="17"/>
          <w:b w:val="1"/>
          <w:bCs w:val="1"/>
          <w:color w:val="auto"/>
        </w:rPr>
        <w:t>Major goods/service lines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At-need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-122555</wp:posOffset>
            </wp:positionV>
            <wp:extent cx="5802630" cy="130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02630" cy="13017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7"/>
          <w:szCs w:val="17"/>
          <w:color w:val="auto"/>
        </w:rPr>
        <w:t>Pre-need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23495</wp:posOffset>
            </wp:positionV>
            <wp:extent cx="580263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02630" cy="1631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40"/>
        <w:spacing w:after="0"/>
        <w:rPr>
          <w:sz w:val="20"/>
          <w:szCs w:val="20"/>
          <w:color w:val="auto"/>
        </w:rPr>
      </w:pPr>
      <w:r>
        <w:rPr>
          <w:rFonts w:ascii="Arial" w:cs="Arial" w:eastAsia="Arial" w:hAnsi="Arial"/>
          <w:sz w:val="17"/>
          <w:szCs w:val="17"/>
          <w:b w:val="1"/>
          <w:bCs w:val="1"/>
          <w:color w:val="auto"/>
        </w:rPr>
        <w:t>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-111760</wp:posOffset>
            </wp:positionV>
            <wp:extent cx="5802630" cy="130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02630" cy="13017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Goods transferred at a point in time</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Services transferred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-122555</wp:posOffset>
            </wp:positionV>
            <wp:extent cx="5802630" cy="146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02630" cy="146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Three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Months</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Ended</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7848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8485" cy="16510"/>
                    </a:xfrm>
                    <a:prstGeom prst="rect">
                      <a:avLst/>
                    </a:prstGeom>
                    <a:noFill/>
                  </pic:spPr>
                </pic:pic>
              </a:graphicData>
            </a:graphic>
          </wp:anchor>
        </w:drawing>
      </w:r>
    </w:p>
    <w:p>
      <w:pPr>
        <w:spacing w:after="0" w:line="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57848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8485" cy="16510"/>
                    </a:xfrm>
                    <a:prstGeom prst="rect">
                      <a:avLst/>
                    </a:prstGeom>
                    <a:noFill/>
                  </pic:spPr>
                </pic:pic>
              </a:graphicData>
            </a:graphic>
          </wp:anchor>
        </w:drawing>
      </w:r>
    </w:p>
    <w:p>
      <w:pPr>
        <w:spacing w:after="0" w:line="221" w:lineRule="exact"/>
        <w:rPr>
          <w:sz w:val="20"/>
          <w:szCs w:val="20"/>
          <w:color w:val="auto"/>
        </w:rPr>
      </w:pPr>
    </w:p>
    <w:p>
      <w:pPr>
        <w:ind w:left="220" w:hanging="218"/>
        <w:spacing w:after="0"/>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2,737,625</w:t>
      </w:r>
    </w:p>
    <w:p>
      <w:pPr>
        <w:spacing w:after="0" w:line="43"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495,104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57848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8485" cy="16510"/>
                    </a:xfrm>
                    <a:prstGeom prst="rect">
                      <a:avLst/>
                    </a:prstGeom>
                    <a:noFill/>
                  </pic:spPr>
                </pic:pic>
              </a:graphicData>
            </a:graphic>
          </wp:anchor>
        </w:drawing>
      </w:r>
    </w:p>
    <w:p>
      <w:pPr>
        <w:spacing w:after="0" w:line="27"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u w:val="single" w:color="auto"/>
          <w:color w:val="auto"/>
        </w:rPr>
        <w:t>$</w:t>
      </w:r>
      <w:r>
        <w:rPr>
          <w:sz w:val="20"/>
          <w:szCs w:val="20"/>
          <w:color w:val="auto"/>
        </w:rPr>
        <w:tab/>
      </w:r>
      <w:r>
        <w:rPr>
          <w:rFonts w:ascii="Arial" w:cs="Arial" w:eastAsia="Arial" w:hAnsi="Arial"/>
          <w:sz w:val="15"/>
          <w:szCs w:val="15"/>
          <w:u w:val="single" w:color="auto"/>
          <w:color w:val="auto"/>
        </w:rPr>
        <w:t>3,232,729</w:t>
      </w:r>
    </w:p>
    <w:p>
      <w:pPr>
        <w:spacing w:after="0" w:line="200" w:lineRule="exact"/>
        <w:rPr>
          <w:sz w:val="20"/>
          <w:szCs w:val="20"/>
          <w:color w:val="auto"/>
        </w:rPr>
      </w:pPr>
    </w:p>
    <w:p>
      <w:pPr>
        <w:spacing w:after="0" w:line="272" w:lineRule="exact"/>
        <w:rPr>
          <w:sz w:val="20"/>
          <w:szCs w:val="20"/>
          <w:color w:val="auto"/>
        </w:rPr>
      </w:pPr>
    </w:p>
    <w:p>
      <w:pPr>
        <w:ind w:left="220" w:hanging="218"/>
        <w:spacing w:after="0"/>
        <w:tabs>
          <w:tab w:leader="none" w:pos="2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2,072,481</w:t>
      </w:r>
    </w:p>
    <w:p>
      <w:pPr>
        <w:spacing w:after="0" w:line="43" w:lineRule="exact"/>
        <w:rPr>
          <w:rFonts w:ascii="Arial" w:cs="Arial" w:eastAsia="Arial" w:hAnsi="Arial"/>
          <w:sz w:val="15"/>
          <w:szCs w:val="15"/>
          <w:color w:val="auto"/>
        </w:rPr>
      </w:pPr>
    </w:p>
    <w:p>
      <w:pPr>
        <w:ind w:left="220"/>
        <w:spacing w:after="0"/>
        <w:rPr>
          <w:rFonts w:ascii="Arial" w:cs="Arial" w:eastAsia="Arial" w:hAnsi="Arial"/>
          <w:sz w:val="15"/>
          <w:szCs w:val="15"/>
          <w:color w:val="auto"/>
        </w:rPr>
      </w:pPr>
      <w:r>
        <w:rPr>
          <w:rFonts w:ascii="Arial" w:cs="Arial" w:eastAsia="Arial" w:hAnsi="Arial"/>
          <w:sz w:val="15"/>
          <w:szCs w:val="15"/>
          <w:color w:val="auto"/>
        </w:rPr>
        <w:t>1,160,248</w:t>
      </w:r>
    </w:p>
    <w:p>
      <w:pPr>
        <w:spacing w:after="0" w:line="47"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u w:val="single" w:color="auto"/>
          <w:color w:val="auto"/>
        </w:rPr>
        <w:t>$</w:t>
      </w:r>
      <w:r>
        <w:rPr>
          <w:sz w:val="20"/>
          <w:szCs w:val="20"/>
          <w:color w:val="auto"/>
        </w:rPr>
        <w:tab/>
      </w:r>
      <w:r>
        <w:rPr>
          <w:rFonts w:ascii="Arial" w:cs="Arial" w:eastAsia="Arial" w:hAnsi="Arial"/>
          <w:sz w:val="15"/>
          <w:szCs w:val="15"/>
          <w:u w:val="single" w:color="auto"/>
          <w:color w:val="auto"/>
        </w:rPr>
        <w:t>3,232,729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38735</wp:posOffset>
            </wp:positionV>
            <wp:extent cx="5784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84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720"/>
            <w:col w:w="2140"/>
          </w:cols>
          <w:pgMar w:left="240" w:top="127" w:right="239" w:bottom="1440" w:gutter="0" w:footer="0" w:header="0"/>
          <w:type w:val="continuous"/>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725360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44" w:name="page45"/>
    <w:bookmarkEnd w:id="44"/>
    <w:p>
      <w:pPr>
        <w:jc w:val="center"/>
        <w:ind w:right="-19"/>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March 31, 2018 (Unaudited)</w:t>
      </w:r>
    </w:p>
    <w:p>
      <w:pPr>
        <w:spacing w:after="0" w:line="255" w:lineRule="exact"/>
        <w:rPr>
          <w:sz w:val="20"/>
          <w:szCs w:val="20"/>
          <w:color w:val="auto"/>
        </w:rPr>
      </w:pPr>
    </w:p>
    <w:p>
      <w:pPr>
        <w:ind w:left="280" w:hanging="277"/>
        <w:spacing w:after="0"/>
        <w:tabs>
          <w:tab w:leader="none" w:pos="28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Revenues from Contracts with Customers</w:t>
      </w:r>
      <w:r>
        <w:rPr>
          <w:rFonts w:ascii="Arial" w:cs="Arial" w:eastAsia="Arial" w:hAnsi="Arial"/>
          <w:sz w:val="17"/>
          <w:szCs w:val="17"/>
          <w:color w:val="auto"/>
        </w:rPr>
        <w:t xml:space="preserve"> (Continued)</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reconciles revenues from cemetery and mortuary contracts to Note 7 – Business Segment Information for the three months ended March 31, 2018:</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6"/>
          </w:tcPr>
          <w:p>
            <w:pPr>
              <w:ind w:left="540"/>
              <w:spacing w:after="0"/>
              <w:rPr>
                <w:sz w:val="20"/>
                <w:szCs w:val="20"/>
                <w:color w:val="auto"/>
              </w:rPr>
            </w:pPr>
            <w:r>
              <w:rPr>
                <w:rFonts w:ascii="Arial" w:cs="Arial" w:eastAsia="Arial" w:hAnsi="Arial"/>
                <w:sz w:val="17"/>
                <w:szCs w:val="17"/>
                <w:color w:val="auto"/>
                <w:w w:val="97"/>
              </w:rPr>
              <w:t>Cemetery/Mortuary</w:t>
            </w:r>
          </w:p>
        </w:tc>
      </w:tr>
      <w:tr>
        <w:trPr>
          <w:trHeight w:val="223"/>
        </w:trPr>
        <w:tc>
          <w:tcPr>
            <w:tcW w:w="114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7"/>
                <w:szCs w:val="17"/>
                <w:color w:val="auto"/>
              </w:rPr>
              <w:t>Segment</w:t>
            </w:r>
          </w:p>
        </w:tc>
      </w:tr>
      <w:tr>
        <w:trPr>
          <w:trHeight w:val="205"/>
        </w:trPr>
        <w:tc>
          <w:tcPr>
            <w:tcW w:w="114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mortuary and cemetery sales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3,232,729</w:t>
            </w:r>
          </w:p>
        </w:tc>
        <w:tc>
          <w:tcPr>
            <w:tcW w:w="8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Gains on investments and other assets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409,088</w:t>
            </w:r>
          </w:p>
        </w:tc>
        <w:tc>
          <w:tcPr>
            <w:tcW w:w="8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88,078</w:t>
            </w:r>
          </w:p>
        </w:tc>
      </w:tr>
      <w:tr>
        <w:trPr>
          <w:trHeight w:val="211"/>
        </w:trPr>
        <w:tc>
          <w:tcPr>
            <w:tcW w:w="11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Other revenues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7"/>
                <w:szCs w:val="17"/>
                <w:color w:val="auto"/>
              </w:rPr>
              <w:t>45,850</w:t>
            </w:r>
          </w:p>
        </w:tc>
      </w:tr>
      <w:tr>
        <w:trPr>
          <w:trHeight w:val="245"/>
        </w:trPr>
        <w:tc>
          <w:tcPr>
            <w:tcW w:w="114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3,775,745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52"/>
        </w:trPr>
        <w:tc>
          <w:tcPr>
            <w:tcW w:w="8200" w:type="dxa"/>
            <w:vAlign w:val="bottom"/>
            <w:gridSpan w:val="4"/>
          </w:tcPr>
          <w:p>
            <w:pPr>
              <w:spacing w:after="0"/>
              <w:rPr>
                <w:sz w:val="20"/>
                <w:szCs w:val="20"/>
                <w:color w:val="auto"/>
              </w:rPr>
            </w:pPr>
            <w:r>
              <w:rPr>
                <w:rFonts w:ascii="Arial" w:cs="Arial" w:eastAsia="Arial" w:hAnsi="Arial"/>
                <w:sz w:val="17"/>
                <w:szCs w:val="17"/>
                <w:color w:val="auto"/>
                <w:w w:val="91"/>
              </w:rPr>
              <w:t>The opening and closing balances of the Company's receivables, contract assets and contract liabilities are as follows: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9"/>
        </w:trPr>
        <w:tc>
          <w:tcPr>
            <w:tcW w:w="11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60" w:type="dxa"/>
            <w:vAlign w:val="bottom"/>
            <w:gridSpan w:val="8"/>
          </w:tcPr>
          <w:p>
            <w:pPr>
              <w:jc w:val="center"/>
              <w:ind w:right="1000"/>
              <w:spacing w:after="0"/>
              <w:rPr>
                <w:sz w:val="20"/>
                <w:szCs w:val="20"/>
                <w:color w:val="auto"/>
              </w:rPr>
            </w:pPr>
            <w:r>
              <w:rPr>
                <w:rFonts w:ascii="Arial" w:cs="Arial" w:eastAsia="Arial" w:hAnsi="Arial"/>
                <w:sz w:val="17"/>
                <w:szCs w:val="17"/>
                <w:color w:val="auto"/>
                <w:w w:val="90"/>
              </w:rPr>
              <w:t>Contract Balances</w:t>
            </w:r>
          </w:p>
        </w:tc>
      </w:tr>
      <w:tr>
        <w:trPr>
          <w:trHeight w:val="193"/>
        </w:trPr>
        <w:tc>
          <w:tcPr>
            <w:tcW w:w="11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100" w:type="dxa"/>
            <w:vAlign w:val="bottom"/>
            <w:tcBorders>
              <w:top w:val="single" w:sz="8" w:color="auto"/>
            </w:tcBorders>
            <w:gridSpan w:val="2"/>
          </w:tcPr>
          <w:p>
            <w:pPr>
              <w:ind w:left="40"/>
              <w:spacing w:after="0" w:line="193" w:lineRule="exact"/>
              <w:rPr>
                <w:sz w:val="20"/>
                <w:szCs w:val="20"/>
                <w:color w:val="auto"/>
              </w:rPr>
            </w:pPr>
            <w:r>
              <w:rPr>
                <w:rFonts w:ascii="Arial" w:cs="Arial" w:eastAsia="Arial" w:hAnsi="Arial"/>
                <w:sz w:val="17"/>
                <w:szCs w:val="17"/>
                <w:color w:val="auto"/>
              </w:rPr>
              <w:t>Receivables</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jc w:val="center"/>
              <w:ind w:right="180"/>
              <w:spacing w:after="0" w:line="193" w:lineRule="exact"/>
              <w:rPr>
                <w:sz w:val="20"/>
                <w:szCs w:val="20"/>
                <w:color w:val="auto"/>
              </w:rPr>
            </w:pPr>
            <w:r>
              <w:rPr>
                <w:rFonts w:ascii="Arial" w:cs="Arial" w:eastAsia="Arial" w:hAnsi="Arial"/>
                <w:sz w:val="17"/>
                <w:szCs w:val="17"/>
                <w:color w:val="auto"/>
                <w:w w:val="90"/>
              </w:rPr>
              <w:t>Contract</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color w:val="auto"/>
                <w:w w:val="93"/>
              </w:rPr>
              <w:t>Contract</w:t>
            </w:r>
          </w:p>
        </w:tc>
        <w:tc>
          <w:tcPr>
            <w:tcW w:w="80" w:type="dxa"/>
            <w:vAlign w:val="bottom"/>
          </w:tcPr>
          <w:p>
            <w:pPr>
              <w:spacing w:after="0"/>
              <w:rPr>
                <w:sz w:val="16"/>
                <w:szCs w:val="16"/>
                <w:color w:val="auto"/>
              </w:rPr>
            </w:pPr>
          </w:p>
        </w:tc>
      </w:tr>
      <w:tr>
        <w:trPr>
          <w:trHeight w:val="223"/>
        </w:trPr>
        <w:tc>
          <w:tcPr>
            <w:tcW w:w="114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920" w:type="dxa"/>
            <w:vAlign w:val="bottom"/>
          </w:tcPr>
          <w:p>
            <w:pPr>
              <w:jc w:val="right"/>
              <w:ind w:right="274"/>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7"/>
                <w:szCs w:val="17"/>
                <w:color w:val="auto"/>
                <w:w w:val="91"/>
              </w:rPr>
              <w:t>Asset (2)</w:t>
            </w:r>
          </w:p>
        </w:tc>
        <w:tc>
          <w:tcPr>
            <w:tcW w:w="10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7"/>
                <w:szCs w:val="17"/>
                <w:color w:val="auto"/>
              </w:rPr>
              <w:t>Liability (2)</w:t>
            </w:r>
          </w:p>
        </w:tc>
      </w:tr>
      <w:tr>
        <w:trPr>
          <w:trHeight w:val="205"/>
        </w:trPr>
        <w:tc>
          <w:tcPr>
            <w:tcW w:w="114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Opening (1/1/2018)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2,742,765</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856,479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$ 13,729,547</w:t>
            </w:r>
          </w:p>
        </w:tc>
        <w:tc>
          <w:tcPr>
            <w:tcW w:w="80" w:type="dxa"/>
            <w:vAlign w:val="bottom"/>
            <w:shd w:val="clear" w:color="auto" w:fill="CCEEFF"/>
          </w:tcPr>
          <w:p>
            <w:pPr>
              <w:spacing w:after="0"/>
              <w:rPr>
                <w:sz w:val="17"/>
                <w:szCs w:val="17"/>
                <w:color w:val="auto"/>
              </w:rPr>
            </w:pPr>
          </w:p>
        </w:tc>
      </w:tr>
      <w:tr>
        <w:trPr>
          <w:trHeight w:val="211"/>
        </w:trPr>
        <w:tc>
          <w:tcPr>
            <w:tcW w:w="11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Closing (3/31/2018)</w:t>
            </w:r>
          </w:p>
        </w:tc>
        <w:tc>
          <w:tcPr>
            <w:tcW w:w="920" w:type="dxa"/>
            <w:vAlign w:val="bottom"/>
          </w:tcPr>
          <w:p>
            <w:pPr>
              <w:jc w:val="right"/>
              <w:spacing w:after="0"/>
              <w:rPr>
                <w:sz w:val="20"/>
                <w:szCs w:val="20"/>
                <w:color w:val="auto"/>
              </w:rPr>
            </w:pPr>
            <w:r>
              <w:rPr>
                <w:rFonts w:ascii="Arial" w:cs="Arial" w:eastAsia="Arial" w:hAnsi="Arial"/>
                <w:sz w:val="17"/>
                <w:szCs w:val="17"/>
                <w:color w:val="auto"/>
              </w:rPr>
              <w:t>2,595,611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731,626</w:t>
            </w:r>
          </w:p>
        </w:tc>
        <w:tc>
          <w:tcPr>
            <w:tcW w:w="1100" w:type="dxa"/>
            <w:vAlign w:val="bottom"/>
            <w:gridSpan w:val="3"/>
          </w:tcPr>
          <w:p>
            <w:pPr>
              <w:jc w:val="right"/>
              <w:ind w:right="80"/>
              <w:spacing w:after="0"/>
              <w:rPr>
                <w:sz w:val="20"/>
                <w:szCs w:val="20"/>
                <w:color w:val="auto"/>
              </w:rPr>
            </w:pPr>
            <w:r>
              <w:rPr>
                <w:rFonts w:ascii="Arial" w:cs="Arial" w:eastAsia="Arial" w:hAnsi="Arial"/>
                <w:sz w:val="17"/>
                <w:szCs w:val="17"/>
                <w:color w:val="auto"/>
              </w:rPr>
              <w:t>12,882,550</w:t>
            </w:r>
          </w:p>
        </w:tc>
      </w:tr>
      <w:tr>
        <w:trPr>
          <w:trHeight w:val="245"/>
        </w:trPr>
        <w:tc>
          <w:tcPr>
            <w:tcW w:w="114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Increase/(decrease)</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(147,154)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(124,853)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(846,997)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ind w:left="1380" w:hanging="235"/>
        <w:spacing w:after="0"/>
        <w:tabs>
          <w:tab w:leader="none" w:pos="1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Included in Receivables, net on the condensed consolidated balance sheets</w:t>
      </w:r>
    </w:p>
    <w:p>
      <w:pPr>
        <w:spacing w:after="0" w:line="20" w:lineRule="exact"/>
        <w:rPr>
          <w:rFonts w:ascii="Arial" w:cs="Arial" w:eastAsia="Arial" w:hAnsi="Arial"/>
          <w:sz w:val="17"/>
          <w:szCs w:val="17"/>
          <w:color w:val="auto"/>
        </w:rPr>
      </w:pPr>
    </w:p>
    <w:p>
      <w:pPr>
        <w:ind w:left="1140" w:right="1820" w:firstLine="5"/>
        <w:spacing w:after="0" w:line="264" w:lineRule="auto"/>
        <w:tabs>
          <w:tab w:leader="none" w:pos="138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contract asset and liability are netted together in Deferred pre-need cemetery and mortuary contract revenues on the condensed consolidated balance sheets.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amount of revenue recognized for the three months ended March 31, 2018 that was included in the opening contract liability balance was $724,771.</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Company's operations over the last several years generally reflect three trends or events which the Company expects to continue: (i) increased attention to "niche" insurance products, such as the Company's funeral plan policies and traditional whole life products; (ii) emphasis on cemetery and mortuary business; and (iii) capitalizing on relatively low interest rates by originating mortgage loans.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Operations</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 funeral plan is a small face value life insurance policy that generally has face coverage of up to $25,000.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following table shows the condensed financial results of the insurance operations for three months ended March 31, 2018 and 2017. See Note 7 to the condensed consolidated financial statements.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jc w:val="center"/>
              <w:ind w:right="380"/>
              <w:spacing w:after="0"/>
              <w:rPr>
                <w:sz w:val="20"/>
                <w:szCs w:val="20"/>
                <w:color w:val="auto"/>
              </w:rPr>
            </w:pPr>
            <w:r>
              <w:rPr>
                <w:rFonts w:ascii="Arial" w:cs="Arial" w:eastAsia="Arial" w:hAnsi="Arial"/>
                <w:sz w:val="17"/>
                <w:szCs w:val="17"/>
                <w:color w:val="auto"/>
                <w:w w:val="90"/>
              </w:rPr>
              <w:t>Three months ended March 31</w:t>
            </w:r>
          </w:p>
        </w:tc>
      </w:tr>
      <w:tr>
        <w:trPr>
          <w:trHeight w:val="223"/>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7"/>
          </w:tcPr>
          <w:p>
            <w:pPr>
              <w:jc w:val="center"/>
              <w:ind w:right="380"/>
              <w:spacing w:after="0"/>
              <w:rPr>
                <w:sz w:val="20"/>
                <w:szCs w:val="20"/>
                <w:color w:val="auto"/>
              </w:rPr>
            </w:pPr>
            <w:r>
              <w:rPr>
                <w:rFonts w:ascii="Arial" w:cs="Arial" w:eastAsia="Arial" w:hAnsi="Arial"/>
                <w:sz w:val="17"/>
                <w:szCs w:val="17"/>
                <w:color w:val="auto"/>
                <w:w w:val="91"/>
              </w:rPr>
              <w:t>(in thousands of dollars)</w:t>
            </w:r>
          </w:p>
        </w:tc>
      </w:tr>
      <w:tr>
        <w:trPr>
          <w:trHeight w:val="193"/>
        </w:trPr>
        <w:tc>
          <w:tcPr>
            <w:tcW w:w="58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w w:val="96"/>
              </w:rPr>
              <w:t>% Increase</w:t>
            </w:r>
          </w:p>
        </w:tc>
        <w:tc>
          <w:tcPr>
            <w:tcW w:w="200" w:type="dxa"/>
            <w:vAlign w:val="bottom"/>
          </w:tcPr>
          <w:p>
            <w:pPr>
              <w:spacing w:after="0"/>
              <w:rPr>
                <w:sz w:val="16"/>
                <w:szCs w:val="16"/>
                <w:color w:val="auto"/>
              </w:rPr>
            </w:pPr>
          </w:p>
        </w:tc>
      </w:tr>
      <w:tr>
        <w:trPr>
          <w:trHeight w:val="223"/>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4"/>
              <w:spacing w:after="0"/>
              <w:rPr>
                <w:sz w:val="20"/>
                <w:szCs w:val="20"/>
                <w:color w:val="auto"/>
              </w:rPr>
            </w:pPr>
            <w:r>
              <w:rPr>
                <w:rFonts w:ascii="Arial" w:cs="Arial" w:eastAsia="Arial" w:hAnsi="Arial"/>
                <w:sz w:val="17"/>
                <w:szCs w:val="17"/>
                <w:color w:val="auto"/>
                <w:w w:val="89"/>
              </w:rPr>
              <w:t>2017</w:t>
            </w:r>
          </w:p>
        </w:tc>
        <w:tc>
          <w:tcPr>
            <w:tcW w:w="1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w w:val="99"/>
              </w:rPr>
              <w:t>(Decrease)</w:t>
            </w:r>
          </w:p>
        </w:tc>
      </w:tr>
      <w:tr>
        <w:trPr>
          <w:trHeight w:val="205"/>
        </w:trPr>
        <w:tc>
          <w:tcPr>
            <w:tcW w:w="5840" w:type="dxa"/>
            <w:vAlign w:val="bottom"/>
          </w:tcPr>
          <w:p>
            <w:pPr>
              <w:spacing w:after="0"/>
              <w:rPr>
                <w:sz w:val="20"/>
                <w:szCs w:val="20"/>
                <w:color w:val="auto"/>
              </w:rPr>
            </w:pPr>
            <w:r>
              <w:rPr>
                <w:rFonts w:ascii="Arial" w:cs="Arial" w:eastAsia="Arial" w:hAnsi="Arial"/>
                <w:sz w:val="17"/>
                <w:szCs w:val="17"/>
                <w:color w:val="auto"/>
              </w:rPr>
              <w:t>Revenues from external customers</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Insurance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17,357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w:t>
            </w:r>
          </w:p>
        </w:tc>
      </w:tr>
      <w:tr>
        <w:trPr>
          <w:trHeight w:val="205"/>
        </w:trPr>
        <w:tc>
          <w:tcPr>
            <w:tcW w:w="5840" w:type="dxa"/>
            <w:vAlign w:val="bottom"/>
          </w:tcPr>
          <w:p>
            <w:pPr>
              <w:ind w:left="180"/>
              <w:spacing w:after="0"/>
              <w:rPr>
                <w:sz w:val="20"/>
                <w:szCs w:val="20"/>
                <w:color w:val="auto"/>
              </w:rPr>
            </w:pPr>
            <w:r>
              <w:rPr>
                <w:rFonts w:ascii="Arial" w:cs="Arial" w:eastAsia="Arial" w:hAnsi="Arial"/>
                <w:sz w:val="17"/>
                <w:szCs w:val="17"/>
                <w:color w:val="auto"/>
              </w:rPr>
              <w:t>Net investment income</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9,778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8,774</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r>
      <w:tr>
        <w:trPr>
          <w:trHeight w:val="205"/>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Gains on investments and other assets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21,860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37151%</w:t>
            </w:r>
          </w:p>
        </w:tc>
      </w:tr>
      <w:tr>
        <w:trPr>
          <w:trHeight w:val="205"/>
        </w:trPr>
        <w:tc>
          <w:tcPr>
            <w:tcW w:w="5840" w:type="dxa"/>
            <w:vAlign w:val="bottom"/>
          </w:tcPr>
          <w:p>
            <w:pPr>
              <w:ind w:left="18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412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87</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374%</w:t>
            </w:r>
          </w:p>
        </w:tc>
      </w:tr>
      <w:tr>
        <w:trPr>
          <w:trHeight w:val="26"/>
        </w:trPr>
        <w:tc>
          <w:tcPr>
            <w:tcW w:w="5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25"/>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50,860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26,159</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94%</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840" w:type="dxa"/>
            <w:vAlign w:val="bottom"/>
          </w:tcPr>
          <w:p>
            <w:pPr>
              <w:spacing w:after="0"/>
              <w:rPr>
                <w:sz w:val="20"/>
                <w:szCs w:val="20"/>
                <w:color w:val="auto"/>
              </w:rPr>
            </w:pPr>
            <w:r>
              <w:rPr>
                <w:rFonts w:ascii="Arial" w:cs="Arial" w:eastAsia="Arial" w:hAnsi="Arial"/>
                <w:sz w:val="17"/>
                <w:szCs w:val="17"/>
                <w:color w:val="auto"/>
              </w:rPr>
              <w:t>Intersegment revenue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2,408</w:t>
            </w:r>
          </w:p>
        </w:tc>
        <w:tc>
          <w:tcPr>
            <w:tcW w:w="18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2,989</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(19%)</w:t>
            </w:r>
          </w:p>
        </w:tc>
      </w:tr>
      <w:tr>
        <w:trPr>
          <w:trHeight w:val="20"/>
        </w:trPr>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1499%</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Intersegment revenues are primarily interest income from the warehouse line provided to SecurityNational Mortgage Company ("SecurityNational Mortgage"). Profitability in the three months ended March 31, 2018 has increased due to the realized gain on the sale of Dry Creek at East Village Apartments, increases in investment income and increases in insurance premiums. These increases were partially offset by increases in benefits and expenses.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Cemetery and Mortuary Operations</w:t>
      </w:r>
    </w:p>
    <w:p>
      <w:pPr>
        <w:spacing w:after="0" w:line="27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sells mortuary services and products through its eight mortuaries in Utah. The Company also sells cemetery products and services through its five cemeteries in Utah and one cemetery in San Diego County, California.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following table shows the condensed financial results of the cemetery and mortuary operations for the three months ended March 31, 2018 and 2017. See Note 7 to the condensed consolidated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46" w:name="page47"/>
    <w:bookmarkEnd w:id="46"/>
    <w:tbl>
      <w:tblPr>
        <w:tblLayout w:type="fixed"/>
        <w:tblInd w:w="114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jc w:val="center"/>
              <w:ind w:right="380"/>
              <w:spacing w:after="0"/>
              <w:rPr>
                <w:sz w:val="20"/>
                <w:szCs w:val="20"/>
                <w:color w:val="auto"/>
              </w:rPr>
            </w:pPr>
            <w:r>
              <w:rPr>
                <w:rFonts w:ascii="Arial" w:cs="Arial" w:eastAsia="Arial" w:hAnsi="Arial"/>
                <w:sz w:val="17"/>
                <w:szCs w:val="17"/>
                <w:color w:val="auto"/>
                <w:w w:val="90"/>
              </w:rPr>
              <w:t>Three months ended March 31</w:t>
            </w:r>
          </w:p>
        </w:tc>
      </w:tr>
      <w:tr>
        <w:trPr>
          <w:trHeight w:val="223"/>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7"/>
          </w:tcPr>
          <w:p>
            <w:pPr>
              <w:jc w:val="center"/>
              <w:ind w:right="380"/>
              <w:spacing w:after="0"/>
              <w:rPr>
                <w:sz w:val="20"/>
                <w:szCs w:val="20"/>
                <w:color w:val="auto"/>
              </w:rPr>
            </w:pPr>
            <w:r>
              <w:rPr>
                <w:rFonts w:ascii="Arial" w:cs="Arial" w:eastAsia="Arial" w:hAnsi="Arial"/>
                <w:sz w:val="17"/>
                <w:szCs w:val="17"/>
                <w:color w:val="auto"/>
                <w:w w:val="91"/>
              </w:rPr>
              <w:t>(in thousands of dollars)</w:t>
            </w:r>
          </w:p>
        </w:tc>
      </w:tr>
      <w:tr>
        <w:trPr>
          <w:trHeight w:val="193"/>
        </w:trPr>
        <w:tc>
          <w:tcPr>
            <w:tcW w:w="58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80"/>
              <w:spacing w:after="0" w:line="193" w:lineRule="exact"/>
              <w:rPr>
                <w:sz w:val="20"/>
                <w:szCs w:val="20"/>
                <w:color w:val="auto"/>
              </w:rPr>
            </w:pPr>
            <w:r>
              <w:rPr>
                <w:rFonts w:ascii="Arial" w:cs="Arial" w:eastAsia="Arial" w:hAnsi="Arial"/>
                <w:sz w:val="17"/>
                <w:szCs w:val="17"/>
                <w:color w:val="auto"/>
                <w:w w:val="96"/>
              </w:rPr>
              <w:t>% Increase</w:t>
            </w:r>
          </w:p>
        </w:tc>
        <w:tc>
          <w:tcPr>
            <w:tcW w:w="200" w:type="dxa"/>
            <w:vAlign w:val="bottom"/>
          </w:tcPr>
          <w:p>
            <w:pPr>
              <w:spacing w:after="0"/>
              <w:rPr>
                <w:sz w:val="16"/>
                <w:szCs w:val="16"/>
                <w:color w:val="auto"/>
              </w:rPr>
            </w:pPr>
          </w:p>
        </w:tc>
      </w:tr>
      <w:tr>
        <w:trPr>
          <w:trHeight w:val="223"/>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4"/>
              <w:spacing w:after="0"/>
              <w:rPr>
                <w:sz w:val="20"/>
                <w:szCs w:val="20"/>
                <w:color w:val="auto"/>
              </w:rPr>
            </w:pPr>
            <w:r>
              <w:rPr>
                <w:rFonts w:ascii="Arial" w:cs="Arial" w:eastAsia="Arial" w:hAnsi="Arial"/>
                <w:sz w:val="17"/>
                <w:szCs w:val="17"/>
                <w:color w:val="auto"/>
                <w:w w:val="89"/>
              </w:rPr>
              <w:t>2017</w:t>
            </w:r>
          </w:p>
        </w:tc>
        <w:tc>
          <w:tcPr>
            <w:tcW w:w="18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7"/>
                <w:szCs w:val="17"/>
                <w:color w:val="auto"/>
              </w:rPr>
              <w:t>(Decrease)</w:t>
            </w:r>
          </w:p>
        </w:tc>
      </w:tr>
      <w:tr>
        <w:trPr>
          <w:trHeight w:val="205"/>
        </w:trPr>
        <w:tc>
          <w:tcPr>
            <w:tcW w:w="5840" w:type="dxa"/>
            <w:vAlign w:val="bottom"/>
          </w:tcPr>
          <w:p>
            <w:pPr>
              <w:spacing w:after="0"/>
              <w:rPr>
                <w:sz w:val="20"/>
                <w:szCs w:val="20"/>
                <w:color w:val="auto"/>
              </w:rPr>
            </w:pPr>
            <w:r>
              <w:rPr>
                <w:rFonts w:ascii="Arial" w:cs="Arial" w:eastAsia="Arial" w:hAnsi="Arial"/>
                <w:sz w:val="17"/>
                <w:szCs w:val="17"/>
                <w:color w:val="auto"/>
              </w:rPr>
              <w:t>Revenues from external customers</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Mortuary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5"/>
        </w:trPr>
        <w:tc>
          <w:tcPr>
            <w:tcW w:w="5840" w:type="dxa"/>
            <w:vAlign w:val="bottom"/>
          </w:tcPr>
          <w:p>
            <w:pPr>
              <w:ind w:left="180"/>
              <w:spacing w:after="0"/>
              <w:rPr>
                <w:sz w:val="20"/>
                <w:szCs w:val="20"/>
                <w:color w:val="auto"/>
              </w:rPr>
            </w:pPr>
            <w:r>
              <w:rPr>
                <w:rFonts w:ascii="Arial" w:cs="Arial" w:eastAsia="Arial" w:hAnsi="Arial"/>
                <w:sz w:val="17"/>
                <w:szCs w:val="17"/>
                <w:color w:val="auto"/>
              </w:rPr>
              <w:t>Cemetery revenues</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1,951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2,131</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(8%)</w:t>
            </w:r>
          </w:p>
        </w:tc>
      </w:tr>
      <w:tr>
        <w:trPr>
          <w:trHeight w:val="205"/>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538%</w:t>
            </w:r>
          </w:p>
        </w:tc>
      </w:tr>
      <w:tr>
        <w:trPr>
          <w:trHeight w:val="26"/>
        </w:trPr>
        <w:tc>
          <w:tcPr>
            <w:tcW w:w="58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5"/>
        </w:trPr>
        <w:tc>
          <w:tcPr>
            <w:tcW w:w="5840" w:type="dxa"/>
            <w:vAlign w:val="bottom"/>
          </w:tcPr>
          <w:p>
            <w:pPr>
              <w:ind w:left="18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3,776</w:t>
            </w:r>
          </w:p>
        </w:tc>
        <w:tc>
          <w:tcPr>
            <w:tcW w:w="18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3,605</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r>
      <w:tr>
        <w:trPr>
          <w:trHeight w:val="20"/>
        </w:trPr>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Included in other revenue is rental income from residential and commercial properties purchased from Security National Life. Memorial Estates purchased these properties from financing provided by Security National Life. The rental income is offset by property insurance, taxes and maintenance expenses. Memorial Estates has recorded depreciation on these properties of $154,000 and $170,000 for the three months ended March 31, 2018 and 2017, respectively. Profitability in the three months ended March 31, 2018 has increased due to the realized gain on the sale of real estate.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Operations</w:t>
      </w:r>
    </w:p>
    <w:p>
      <w:pPr>
        <w:spacing w:after="0" w:line="27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wholly owned subsidiaries, SecurityNational Mortgage and EverLEND Mortgage Company (formerly known as Green Street Mortgage Services, Inc.),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and unaffiliated financial institutions.</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30% of its loan origination volume. These mortgage loans are serviced by either SecurityNational Mortgage or an approved third-party sub-servicer.</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For the three months March 31, 2018 and 2017, SecurityNational Mortgage originated 2,368 loans ($471,508,000 total volume) and 2,985 loans ($568,846,000 total volume), respectively. For the three months March 31, 2018 and 2017, EverLEND Mortgage originated 31 loans ($8,446,000 total volume) and one loan ($310,000 total volume), respectively.</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following table shows the condensed financial results of the mortgage operations for the three months ended March 31, 2018 and 2017. See Note 7 to the condensed consolidated financial statements.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jc w:val="center"/>
              <w:ind w:right="380"/>
              <w:spacing w:after="0"/>
              <w:rPr>
                <w:sz w:val="20"/>
                <w:szCs w:val="20"/>
                <w:color w:val="auto"/>
              </w:rPr>
            </w:pPr>
            <w:r>
              <w:rPr>
                <w:rFonts w:ascii="Arial" w:cs="Arial" w:eastAsia="Arial" w:hAnsi="Arial"/>
                <w:sz w:val="17"/>
                <w:szCs w:val="17"/>
                <w:color w:val="auto"/>
                <w:w w:val="90"/>
              </w:rPr>
              <w:t>Three months ended March 31</w:t>
            </w:r>
          </w:p>
        </w:tc>
      </w:tr>
      <w:tr>
        <w:trPr>
          <w:trHeight w:val="223"/>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7"/>
          </w:tcPr>
          <w:p>
            <w:pPr>
              <w:jc w:val="center"/>
              <w:ind w:right="380"/>
              <w:spacing w:after="0"/>
              <w:rPr>
                <w:sz w:val="20"/>
                <w:szCs w:val="20"/>
                <w:color w:val="auto"/>
              </w:rPr>
            </w:pPr>
            <w:r>
              <w:rPr>
                <w:rFonts w:ascii="Arial" w:cs="Arial" w:eastAsia="Arial" w:hAnsi="Arial"/>
                <w:sz w:val="17"/>
                <w:szCs w:val="17"/>
                <w:color w:val="auto"/>
                <w:w w:val="91"/>
              </w:rPr>
              <w:t>(in thousands of dollars)</w:t>
            </w:r>
          </w:p>
        </w:tc>
      </w:tr>
      <w:tr>
        <w:trPr>
          <w:trHeight w:val="193"/>
        </w:trPr>
        <w:tc>
          <w:tcPr>
            <w:tcW w:w="58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80"/>
              <w:spacing w:after="0" w:line="193" w:lineRule="exact"/>
              <w:rPr>
                <w:sz w:val="20"/>
                <w:szCs w:val="20"/>
                <w:color w:val="auto"/>
              </w:rPr>
            </w:pPr>
            <w:r>
              <w:rPr>
                <w:rFonts w:ascii="Arial" w:cs="Arial" w:eastAsia="Arial" w:hAnsi="Arial"/>
                <w:sz w:val="17"/>
                <w:szCs w:val="17"/>
                <w:color w:val="auto"/>
                <w:w w:val="96"/>
              </w:rPr>
              <w:t>% Increase</w:t>
            </w:r>
          </w:p>
        </w:tc>
        <w:tc>
          <w:tcPr>
            <w:tcW w:w="200" w:type="dxa"/>
            <w:vAlign w:val="bottom"/>
          </w:tcPr>
          <w:p>
            <w:pPr>
              <w:spacing w:after="0"/>
              <w:rPr>
                <w:sz w:val="16"/>
                <w:szCs w:val="16"/>
                <w:color w:val="auto"/>
              </w:rPr>
            </w:pPr>
          </w:p>
        </w:tc>
      </w:tr>
      <w:tr>
        <w:trPr>
          <w:trHeight w:val="223"/>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4"/>
              <w:spacing w:after="0"/>
              <w:rPr>
                <w:sz w:val="20"/>
                <w:szCs w:val="20"/>
                <w:color w:val="auto"/>
              </w:rPr>
            </w:pPr>
            <w:r>
              <w:rPr>
                <w:rFonts w:ascii="Arial" w:cs="Arial" w:eastAsia="Arial" w:hAnsi="Arial"/>
                <w:sz w:val="17"/>
                <w:szCs w:val="17"/>
                <w:color w:val="auto"/>
                <w:w w:val="89"/>
              </w:rPr>
              <w:t>2017</w:t>
            </w:r>
          </w:p>
        </w:tc>
        <w:tc>
          <w:tcPr>
            <w:tcW w:w="18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7"/>
                <w:szCs w:val="17"/>
                <w:color w:val="auto"/>
              </w:rPr>
              <w:t>(Decrease)</w:t>
            </w:r>
          </w:p>
        </w:tc>
      </w:tr>
      <w:tr>
        <w:trPr>
          <w:trHeight w:val="205"/>
        </w:trPr>
        <w:tc>
          <w:tcPr>
            <w:tcW w:w="5840" w:type="dxa"/>
            <w:vAlign w:val="bottom"/>
          </w:tcPr>
          <w:p>
            <w:pPr>
              <w:spacing w:after="0"/>
              <w:rPr>
                <w:sz w:val="20"/>
                <w:szCs w:val="20"/>
                <w:color w:val="auto"/>
              </w:rPr>
            </w:pPr>
            <w:r>
              <w:rPr>
                <w:rFonts w:ascii="Arial" w:cs="Arial" w:eastAsia="Arial" w:hAnsi="Arial"/>
                <w:sz w:val="17"/>
                <w:szCs w:val="17"/>
                <w:color w:val="auto"/>
              </w:rPr>
              <w:t>Revenues from external customers</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from loan originations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14,872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05"/>
        </w:trPr>
        <w:tc>
          <w:tcPr>
            <w:tcW w:w="5840" w:type="dxa"/>
            <w:vAlign w:val="bottom"/>
          </w:tcPr>
          <w:p>
            <w:pPr>
              <w:ind w:left="180"/>
              <w:spacing w:after="0"/>
              <w:rPr>
                <w:sz w:val="20"/>
                <w:szCs w:val="20"/>
                <w:color w:val="auto"/>
              </w:rPr>
            </w:pPr>
            <w:r>
              <w:rPr>
                <w:rFonts w:ascii="Arial" w:cs="Arial" w:eastAsia="Arial" w:hAnsi="Arial"/>
                <w:sz w:val="17"/>
                <w:szCs w:val="17"/>
                <w:color w:val="auto"/>
              </w:rPr>
              <w:t>Secondary gains from investors</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15,578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26,194</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(41%)</w:t>
            </w:r>
          </w:p>
        </w:tc>
      </w:tr>
      <w:tr>
        <w:trPr>
          <w:trHeight w:val="26"/>
        </w:trPr>
        <w:tc>
          <w:tcPr>
            <w:tcW w:w="5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25"/>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27,440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41,066</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840" w:type="dxa"/>
            <w:vAlign w:val="bottom"/>
          </w:tcPr>
          <w:p>
            <w:pPr>
              <w:spacing w:after="0"/>
              <w:rPr>
                <w:sz w:val="20"/>
                <w:szCs w:val="20"/>
                <w:color w:val="auto"/>
              </w:rPr>
            </w:pPr>
            <w:r>
              <w:rPr>
                <w:rFonts w:ascii="Arial" w:cs="Arial" w:eastAsia="Arial" w:hAnsi="Arial"/>
                <w:sz w:val="17"/>
                <w:szCs w:val="17"/>
                <w:color w:val="auto"/>
              </w:rPr>
              <w:t>Earnings before income taxes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(3,385)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655</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(617%)</w:t>
            </w:r>
          </w:p>
        </w:tc>
      </w:tr>
      <w:tr>
        <w:trPr>
          <w:trHeight w:val="20"/>
        </w:trPr>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decrease in earnings for the three months ended March 31, 2018 was due to a reduction in mortgage loan originations and refinancings, and subsequent sales into the secondary market.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auto"/>
        </w:rPr>
        <w:t>Mortgage Loan Loss Settlements</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Future mortgage loan losses can be extremely difficult to estimate. However, management believes that the Company's reserve methodology and its current practice of property preservation allow it to estimate its potential losses on mortgage loans sold. The estimated liability for indemnification losses was included in other liabilities and accrued expenses and, as of March 31, 2018 and December 31, 2017, the balances were $2,912,000 and $2,572,000,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Mortgage Loan Loss Litigation</w:t>
      </w:r>
    </w:p>
    <w:p>
      <w:pPr>
        <w:spacing w:after="0" w:line="181" w:lineRule="exact"/>
        <w:rPr>
          <w:sz w:val="20"/>
          <w:szCs w:val="20"/>
          <w:color w:val="auto"/>
        </w:rPr>
      </w:pPr>
    </w:p>
    <w:p>
      <w:pPr>
        <w:ind w:right="640"/>
        <w:spacing w:after="0" w:line="276" w:lineRule="auto"/>
        <w:rPr>
          <w:sz w:val="20"/>
          <w:szCs w:val="20"/>
          <w:color w:val="auto"/>
        </w:rPr>
      </w:pPr>
      <w:r>
        <w:rPr>
          <w:rFonts w:ascii="Arial" w:cs="Arial" w:eastAsia="Arial" w:hAnsi="Arial"/>
          <w:sz w:val="21"/>
          <w:szCs w:val="21"/>
          <w:color w:val="auto"/>
        </w:rPr>
        <w:t>For a description of the litigation involving SecurityNational Mortgage and Lehman Brothers Holdings, see Part I, Item 1. Notes to Condensed Consolidated Financial Statements (unaudited) in Note 11.</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March 31, 2018 Compared to Three Months Ended March 31, 2017</w:t>
      </w: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Total revenues increased by $11,247,000, or 15.9%, to $82,076,000 for the three months ended March 31, 2018, from $70,829,000 for the comparable period in 2017. Contributing to this increase in total revenues was a $21,876,000 increase in gains on investments and other assets, a $1,453,000 increase in insurance premiums and other considerations, a $1,058,000 increase in net investment income, a $449,000 increase in other revenues, and a $52,000 decrease in other than temporary impairments on investments. This increase in total revenues was partially offset by a $13,515,000 decrease in mortgage fee income, and a $126,000 decrease in net mortuary and cemetery sales.</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Insurance premiums and other considerations increased by $1,453,000, or 8.4%, to $18,810,000 for the three months ended March 31, 2018, from $17,357,000 for the comparable period in 2017. This increase was primarily due to an increase in renewal premiums and an increase in first year premiums as a result of increased insurance sales.</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Net investment income increased by $1,058,000, or 11.7%, to $10,074,000 for the three months ended March 31, 2018, from $9,016,000 for the comparable period in 2017. This increase was primarily attributable to a $1,121,000 increase in mortgage loan interest, a $496,000 increase in insurance assignment income, a $105,000 increase in fixed maturity securities income, an $46,000 increase interest on cash and cash equivalents, a $46,000 increase in income from other investments, and a $4,000 increase in equity securities income. This increase was partially offset by a $522,000 increase in investment expenses, a $224,000 decrease in rental income from real estate owned, and a $14,000 decrease in policy loan income.</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Net mortuary and cemetery sales decreased by $126,000, or 3.8%, to $3,233,000 for the three months ended March 31, 2018, from $3,359,000 for the comparable period in 2017. This decrease was primarily due to a decrease in preneed sales and at-need sales of the cemetery operations.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Gains on investments and other assets increased by $21,876,000, or 15,052.4%, to $22,021,000 in gains for the three months ended March 31, 2018, from $145,000 in gains for the comparable period in 2017. This increase in realized gains on investments and other assets was primarily attributable to a gain of $22,252,000 realized on the sale of Dry Creek at East Village Apartments, and a $274,000 increase in gains on other assets due to the sale of various other residential real estate properties. This increase was partially offset by a $283,000 increase in realized losses on fixed maturity securities, and a $367,000 increase in losses on equity securities mostly attributable to decreases in the fair value of these securities. Due to the adoption of Accounting Standards Update ("ASU") 2016-01, these changes in fair value are now recognized in earnings instead of other comprehensive income. See the discussion of the adoption of this ASU in Note 2 of the notes to condensed consolidated financial statements.</w:t>
      </w:r>
    </w:p>
    <w:p>
      <w:pPr>
        <w:spacing w:after="0" w:line="235"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Mortgage fee income decreased by $13,515,000, or 34.7%, to $25,460,000, for the three months ended March 31, 2018, from $38,975,000 for the comparable period in 2017. This decrease was primarily due to a decline in mortgage loan originations that was indicative of the mortgage loan industry as a whole. The decline in mortgage loan originations was primarily caused by a shortage of available new housing for mortgage loan origination transactions, and the decline in mortgage loan refinancings was primarily caused by recent increases in interest rates on mortgage loans. Additionally, the decline in mortgage originations and refinancings by SecurityNational Mortgage has resulted in a decline in fees earned from third-party investors that purchase mortgage loans from SecurityNational Mortgage.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7"/>
          <w:szCs w:val="17"/>
          <w:color w:val="auto"/>
        </w:rPr>
        <w:t>Other revenues increased by $449,000, or 22.1%, to $2,477,000 for the three months ended March 31, 2018, from $2,028,000 for the comparable period in 2017. This increase was due to an increase in mortgage servicing fees.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Total benefits and expenses were $60,889,000, or 74.2% of total revenues, for the three months ended March 31, 2018, as compared to $67,932,000, or 95.9% of total revenues, for the comparable period in 2017.</w:t>
      </w:r>
    </w:p>
    <w:p>
      <w:pPr>
        <w:spacing w:after="0" w:line="2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Death benefits, surrenders and other policy benefits, and future policy benefits increased by an aggregate of $783,000 or 5.1%, to $16,003,000 for the three months ended March 31, 2018, from $15,220,000 for the comparable period in 2017. This increase was primarily the result of a $813,000 increase in death benefits and a $17,000 increase in future policy benefits. This increase was partially offset by a $47,000 decrease in surrender and other policy benefits.</w:t>
      </w:r>
    </w:p>
    <w:p>
      <w:pPr>
        <w:spacing w:after="0" w:line="20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Amortization of deferred policy and pre-need acquisition costs and value of business acquired increased by $846,000, or 37.4%, to $3,110,000 for the three months ended March 31, 2018, from $2,264,000 for the comparable period in 2017. This increase was primarily due to an increase in insurance sales expenses.</w:t>
      </w:r>
    </w:p>
    <w:p>
      <w:pPr>
        <w:spacing w:after="0" w:line="19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Selling, general and administrative expenses decreased by $9,172,000, or 18.8%, to $39,499,000 for the three months ended March 31, 2018, from $48,671,000 for the comparable period in 2017. This decrease was primarily the result of a $5,072,000 decrease in commissions due to the decline in mortgage loan originations, a $2,023,000 decrease in personnel expenses, a $850,000 decrease in costs related to funding mortgage loans, a $536,000 decrease in other expenses, a $281,000 decrease in advertising, a $261,000 decrease in rent and rent related expenses, and a $149,000 decrease in depreciation on property and equipment.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increased by $508,000, or 40.5%, to $1,762,000 for the three months ended March 31, 2018, from $1,254,000 for the comparable period in 2017.</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This increase was primarily due to an increase in interest expense on mortgage warehouse lines and interest expense on bank loans for real estate held for investment.</w:t>
      </w: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7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maturity of held to maturity investments or sale of other investments. The mortgage subsidiaries realize cash flow from fees generated by originating and refinancing mortgage loans, and fees earned from mortgage loans held for sale that are sold to investors.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and debt service, and to meet current operating expenses.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three months March 31, 2018 and 2017, the Company's operations provided cash of $8,713,000 and $30,431,000, respectively. This decrease was due primarily to a decline in cash collected on loans held for sale.</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Company's liability for future policy benefits is expected to be paid out over the long-term due to the Company's market niche of selling funeral plans. Funeral plans are small face value life insurance that will pay the costs and expenses incurred at the time of a person's death. A person generally will keep these policies in force and will not surrender them prior to a person's death. Because of the long-term nature of these liabilities, the Company is able to hold to maturity its bonds, real estate and mortgage loans, thus reducing the risk of having to liquidate these long-term investments as a result of any sudden changes in fair values.</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attempts to match the duration of invested assets with its policyholder and cemetery and mortuary liabilities. The Company may sell investments other than those held to maturity in the portfolio to help in this timing. The Company purchases short-term investments on a temporary basis to meet the expectations of short-term requirements of the Company's products. The Company's investment philosophy is intended to provide a rate of return that will persist during the expected duration of policyholder and cemetery and mortuary liabilities regardless of future interest rate movements.</w:t>
      </w:r>
    </w:p>
    <w:p>
      <w:pPr>
        <w:spacing w:after="0" w:line="216" w:lineRule="exact"/>
        <w:rPr>
          <w:sz w:val="20"/>
          <w:szCs w:val="20"/>
          <w:color w:val="auto"/>
        </w:rPr>
      </w:pPr>
    </w:p>
    <w:p>
      <w:pPr>
        <w:jc w:val="both"/>
        <w:spacing w:after="0" w:line="207" w:lineRule="exact"/>
        <w:rPr>
          <w:sz w:val="20"/>
          <w:szCs w:val="20"/>
          <w:color w:val="auto"/>
        </w:rPr>
      </w:pPr>
      <w:r>
        <w:rPr>
          <w:rFonts w:ascii="Arial" w:cs="Arial" w:eastAsia="Arial" w:hAnsi="Arial"/>
          <w:sz w:val="17"/>
          <w:szCs w:val="17"/>
          <w:color w:val="auto"/>
        </w:rPr>
        <w:t>The Company's investment policy is to invest predominantly in fixed maturity securities, real estate, mortgage loans, and warehousing of mortgage loans on a short-term basis before selling the loans to investors in accordance with the requirements and laws governing the life insurance subsidiaries. Bonds owned by the insurance subsidiaries amounted to $230,850,000 and $227,774,000 as of March 31, 2018 and December 31, 2017, respectively. This represents 38.7% and 35.1% of the total investments as of March 31, 2018 and December 31, 2017, respectively. Generally, all bonds owned by the life insurance subsidiaries are rated by the National Association of Insurance Commissioners. Under this rating system, there are six categories used for rating bonds. At March 31, 2018, 5.2% (or $12,031,000) and at December 31, 2017, 5.4% (or $12,293,000) of the Company's total bond investments were invested in bonds in rating categories three through six, which were considered non</w:t>
      </w:r>
      <w:r>
        <w:rPr>
          <w:rFonts w:ascii="MS PGothic" w:cs="MS PGothic" w:eastAsia="MS PGothic" w:hAnsi="MS PGothic"/>
          <w:sz w:val="17"/>
          <w:szCs w:val="17"/>
          <w:color w:val="auto"/>
        </w:rPr>
        <w:t>‑</w:t>
      </w:r>
      <w:r>
        <w:rPr>
          <w:rFonts w:ascii="Arial" w:cs="Arial" w:eastAsia="Arial" w:hAnsi="Arial"/>
          <w:sz w:val="17"/>
          <w:szCs w:val="17"/>
          <w:color w:val="auto"/>
        </w:rPr>
        <w:t>investment grade.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7"/>
          <w:szCs w:val="17"/>
          <w:color w:val="auto"/>
        </w:rPr>
        <w:t>The Company has classified its fixed income securities as held to maturity. Notwithstanding, business conditions may develop in the future which may indicate a need for a higher level of liquidity in the investment portfolio. In that event, the Company believes it could sell short-term investment grade securities before liquidating higher yielding longer-term securities.</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is subject to risk-based capital guidelines established by statutory regulators requiring minimum capital levels based on the perceived risk of assets, liabilities, disintermediation, and business risk. At March 31, 2018 and December 31, 2017, the life insurance subsidiaries were in compliance with the regulatory criteria.</w:t>
      </w:r>
    </w:p>
    <w:p>
      <w:pPr>
        <w:spacing w:after="0" w:line="228" w:lineRule="exact"/>
        <w:rPr>
          <w:sz w:val="20"/>
          <w:szCs w:val="20"/>
          <w:color w:val="auto"/>
        </w:rPr>
      </w:pPr>
    </w:p>
    <w:p>
      <w:pPr>
        <w:jc w:val="both"/>
        <w:spacing w:after="0" w:line="346" w:lineRule="auto"/>
        <w:rPr>
          <w:sz w:val="20"/>
          <w:szCs w:val="20"/>
          <w:color w:val="auto"/>
        </w:rPr>
      </w:pPr>
      <w:r>
        <w:rPr>
          <w:rFonts w:ascii="Arial" w:cs="Arial" w:eastAsia="Arial" w:hAnsi="Arial"/>
          <w:sz w:val="15"/>
          <w:szCs w:val="15"/>
          <w:color w:val="auto"/>
        </w:rPr>
        <w:t>The Company's total capitalization of stockholders' equity, bank and other loans payable was $317,356,000 as of March 31, 2018, as compared to $306,019,000 as of December 31, 2017. Stockholders' equity as a percent of total capitalization was 52.3% and 48.5% as of March 31, 2018 and December 31, 2017,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Lapse rates measure the amount of insurance terminated during a particular period. The Company's lapse rate for life insurance in 2017 was 10.6% as compared to a rate of 9.6% for 2016. The 2018 lapse rate to date has been approximately the same as 2017.</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At March 31, 2018, the statutory capital and surplus of the Company's life insurance subsidiaries was $56,375,000. The life insurance subsidiaries cannot pay a dividend to its parent company without approval of state insurance regulatory authorities.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the Company is not required to provide information typically disclosed under this item.</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Disclosure Controls and Procedures</w:t>
      </w:r>
    </w:p>
    <w:p>
      <w:pPr>
        <w:spacing w:after="0" w:line="26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As of March 31, 2018,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March 31, 2018,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Changes in Internal Control over Financial Reporting</w:t>
      </w: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There have been no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r>
        <w:rPr>
          <w:rFonts w:ascii="Arial" w:cs="Arial" w:eastAsia="Arial" w:hAnsi="Arial"/>
          <w:sz w:val="17"/>
          <w:szCs w:val="17"/>
          <w:color w:val="auto"/>
        </w:rPr>
        <w:t>.</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the litigation involving SecurityNational Mortgage Company ("Security National Mortgage") and Lehman Brothers Holdings, see Part I, Item 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Notes to Condensed Consolidated Financial Statements (unaudited) in Note 11.</w:t>
      </w: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Item 1A.  Risk Factors.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the Company is not required to provide information typically disclosed under this item.</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 and Use of Proceeds from Registered Securities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Dry Creek at East Village Apartments</w:t>
      </w:r>
    </w:p>
    <w:p>
      <w:pPr>
        <w:spacing w:after="0" w:line="27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March 29, 2018, the Company through its wholly owned subsidiary, Security National Life Insurance Company ("Security National Life"), completed the sale of the Dry Creek at East Village ("Dry Creek") apartments to a subsidiary of Dinapoli Capital Partners, LLC ("Dinapoli Capital") pursuant to the terms of the Purchase and Sale Agreement, dated February 14, 2018, between Security National Life and Dinapoli Capital. The purchase price paid for the Dry Creek apartments was $57,000,000. From the proceeds that Security National Life received from the sale of the apartment complex, $26,802,904 was used to pay off an existing loan at Zions First National Bank, N.A., which was secured by a security interest in the apartment complex. A brokerage commission of $285,000 and legal fees and related costs were also paid from the purchase proceeds. The Company's book basis in Dry Creek was approximately $34,400,000, and the Company has recognized the gain net of tax effects from the sale in the first quarter of 2018.</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Dry Creek apartments consist of 282 units, with a mixture of one, two, and three-bedroom units. The construction of Dry Creek was completed in December 2015. As of December 31, 2017, the apartments were 95% leased. Also, rental rates in the market had increased by 9.8% over pro forma rents, and effective (achieved) rates net of concessions increased. The Company had owned the land for the development since 1991, when the Company purchased the land, along with the cemetery and mortuary that are adjacent to the property. The Company continues to operate the cemetery and mortuary. The Company may use the net proceeds from the sale of the Dry Creek apartments to invest in residential and commercial real estate projects. This may include the possible use of a Section 1031 real property exchange transaction.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 Financial Statements Schedules and Reports on Form 8-K.</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(a)(1)</w:t>
      </w:r>
      <w:r>
        <w:rPr>
          <w:sz w:val="20"/>
          <w:szCs w:val="20"/>
          <w:color w:val="auto"/>
        </w:rPr>
        <w:tab/>
      </w:r>
      <w:r>
        <w:rPr>
          <w:rFonts w:ascii="Arial" w:cs="Arial" w:eastAsia="Arial" w:hAnsi="Arial"/>
          <w:sz w:val="17"/>
          <w:szCs w:val="17"/>
          <w:u w:val="single" w:color="auto"/>
          <w:color w:val="auto"/>
        </w:rPr>
        <w:t>Financial Statements</w:t>
      </w:r>
    </w:p>
    <w:p>
      <w:pPr>
        <w:spacing w:after="0" w:line="2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"Table of Contents – Part I – Financial Information" under page 2 above</w:t>
      </w:r>
    </w:p>
    <w:p>
      <w:pPr>
        <w:spacing w:after="0" w:line="26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(a)(2)</w:t>
      </w:r>
      <w:r>
        <w:rPr>
          <w:sz w:val="20"/>
          <w:szCs w:val="20"/>
          <w:color w:val="auto"/>
        </w:rPr>
        <w:tab/>
      </w:r>
      <w:r>
        <w:rPr>
          <w:rFonts w:ascii="Arial" w:cs="Arial" w:eastAsia="Arial" w:hAnsi="Arial"/>
          <w:sz w:val="17"/>
          <w:szCs w:val="17"/>
          <w:u w:val="single" w:color="auto"/>
          <w:color w:val="auto"/>
        </w:rPr>
        <w:t>Financial Statement Schedules</w:t>
      </w:r>
    </w:p>
    <w:p>
      <w:pPr>
        <w:spacing w:after="0" w:line="2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67" w:lineRule="exact"/>
        <w:rPr>
          <w:sz w:val="20"/>
          <w:szCs w:val="20"/>
          <w:color w:val="auto"/>
        </w:rPr>
      </w:pPr>
    </w:p>
    <w:p>
      <w:pPr>
        <w:ind w:left="620"/>
        <w:spacing w:after="0" w:line="211" w:lineRule="exact"/>
        <w:rPr>
          <w:sz w:val="20"/>
          <w:szCs w:val="20"/>
          <w:color w:val="auto"/>
        </w:rPr>
      </w:pPr>
      <w:r>
        <w:rPr>
          <w:rFonts w:ascii="Arial" w:cs="Arial" w:eastAsia="Arial" w:hAnsi="Arial"/>
          <w:sz w:val="17"/>
          <w:szCs w:val="17"/>
          <w:color w:val="auto"/>
        </w:rPr>
        <w:t>All other schedules to the consolidated financial statements required by Article 7 of Regulation S</w:t>
      </w:r>
      <w:r>
        <w:rPr>
          <w:rFonts w:ascii="MS PGothic" w:cs="MS PGothic" w:eastAsia="MS PGothic" w:hAnsi="MS PGothic"/>
          <w:sz w:val="17"/>
          <w:szCs w:val="17"/>
          <w:color w:val="auto"/>
        </w:rPr>
        <w:t>‑</w:t>
      </w:r>
      <w:r>
        <w:rPr>
          <w:rFonts w:ascii="Arial" w:cs="Arial" w:eastAsia="Arial" w:hAnsi="Arial"/>
          <w:sz w:val="17"/>
          <w:szCs w:val="17"/>
          <w:color w:val="auto"/>
        </w:rPr>
        <w:t>X are not required under the related instructions or are inapplicable and therefore have been omitted.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5"/>
        </w:trPr>
        <w:tc>
          <w:tcPr>
            <w:tcW w:w="480" w:type="dxa"/>
            <w:vAlign w:val="bottom"/>
            <w:gridSpan w:val="2"/>
          </w:tcPr>
          <w:p>
            <w:pPr>
              <w:spacing w:after="0"/>
              <w:rPr>
                <w:sz w:val="20"/>
                <w:szCs w:val="20"/>
                <w:color w:val="auto"/>
              </w:rPr>
            </w:pPr>
            <w:r>
              <w:rPr>
                <w:rFonts w:ascii="Arial" w:cs="Arial" w:eastAsia="Arial" w:hAnsi="Arial"/>
                <w:sz w:val="17"/>
                <w:szCs w:val="17"/>
                <w:color w:val="auto"/>
              </w:rPr>
              <w:t>(a)(3)</w:t>
            </w:r>
          </w:p>
        </w:tc>
        <w:tc>
          <w:tcPr>
            <w:tcW w:w="1220" w:type="dxa"/>
            <w:vAlign w:val="bottom"/>
            <w:gridSpan w:val="3"/>
          </w:tcPr>
          <w:p>
            <w:pPr>
              <w:spacing w:after="0"/>
              <w:rPr>
                <w:sz w:val="20"/>
                <w:szCs w:val="20"/>
                <w:color w:val="auto"/>
              </w:rPr>
            </w:pPr>
            <w:r>
              <w:rPr>
                <w:rFonts w:ascii="Arial" w:cs="Arial" w:eastAsia="Arial" w:hAnsi="Arial"/>
                <w:sz w:val="17"/>
                <w:szCs w:val="17"/>
                <w:color w:val="auto"/>
              </w:rPr>
              <w:t>Exhibits</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940" w:type="dxa"/>
            <w:vAlign w:val="bottom"/>
            <w:gridSpan w:val="12"/>
          </w:tcPr>
          <w:p>
            <w:pPr>
              <w:ind w:left="140"/>
              <w:spacing w:after="0" w:line="196" w:lineRule="exact"/>
              <w:rPr>
                <w:sz w:val="20"/>
                <w:szCs w:val="20"/>
                <w:color w:val="auto"/>
              </w:rPr>
            </w:pPr>
            <w:r>
              <w:rPr>
                <w:rFonts w:ascii="Arial" w:cs="Arial" w:eastAsia="Arial" w:hAnsi="Arial"/>
                <w:sz w:val="17"/>
                <w:szCs w:val="17"/>
                <w:color w:val="auto"/>
              </w:rPr>
              <w:t>The following Exhibits are filed herewith pursuant to Rule 601 of Regulation S</w:t>
            </w:r>
            <w:r>
              <w:rPr>
                <w:rFonts w:ascii="MS PGothic" w:cs="MS PGothic" w:eastAsia="MS PGothic" w:hAnsi="MS PGothic"/>
                <w:sz w:val="17"/>
                <w:szCs w:val="17"/>
                <w:color w:val="auto"/>
              </w:rPr>
              <w:t>‑</w:t>
            </w:r>
            <w:r>
              <w:rPr>
                <w:rFonts w:ascii="Arial" w:cs="Arial" w:eastAsia="Arial" w:hAnsi="Arial"/>
                <w:sz w:val="17"/>
                <w:szCs w:val="17"/>
                <w:color w:val="auto"/>
              </w:rPr>
              <w:t>K or are incorporated by reference to previous filings.</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6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7"/>
                <w:szCs w:val="17"/>
                <w:color w:val="auto"/>
              </w:rPr>
              <w:t>3.1</w:t>
            </w:r>
          </w:p>
        </w:tc>
        <w:tc>
          <w:tcPr>
            <w:tcW w:w="5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960" w:type="dxa"/>
            <w:vAlign w:val="bottom"/>
            <w:tcBorders>
              <w:bottom w:val="single" w:sz="8" w:color="0000EE"/>
            </w:tcBorders>
            <w:gridSpan w:val="8"/>
            <w:shd w:val="clear" w:color="auto" w:fill="CCEEFF"/>
          </w:tcPr>
          <w:p>
            <w:pPr>
              <w:spacing w:after="0" w:line="167" w:lineRule="exact"/>
              <w:rPr>
                <w:rFonts w:ascii="Arial" w:cs="Arial" w:eastAsia="Arial" w:hAnsi="Arial"/>
                <w:sz w:val="17"/>
                <w:szCs w:val="17"/>
                <w:color w:val="0000EE"/>
                <w:w w:val="92"/>
              </w:rPr>
            </w:pPr>
            <w:hyperlink r:id="rId62">
              <w:r>
                <w:rPr>
                  <w:rFonts w:ascii="Arial" w:cs="Arial" w:eastAsia="Arial" w:hAnsi="Arial"/>
                  <w:sz w:val="17"/>
                  <w:szCs w:val="17"/>
                  <w:color w:val="0000EE"/>
                  <w:w w:val="92"/>
                </w:rPr>
                <w:t>Articles of Amendment and Restatement to Articles of Incorporation (9)</w:t>
              </w:r>
            </w:hyperlink>
          </w:p>
        </w:tc>
        <w:tc>
          <w:tcPr>
            <w:tcW w:w="5120" w:type="dxa"/>
            <w:vAlign w:val="bottom"/>
            <w:tcBorders>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 w:type="dxa"/>
            <w:vAlign w:val="bottom"/>
          </w:tcPr>
          <w:p>
            <w:pPr>
              <w:spacing w:after="0" w:line="167" w:lineRule="exact"/>
              <w:rPr>
                <w:sz w:val="20"/>
                <w:szCs w:val="20"/>
                <w:color w:val="auto"/>
              </w:rPr>
            </w:pPr>
            <w:r>
              <w:rPr>
                <w:rFonts w:ascii="Arial" w:cs="Arial" w:eastAsia="Arial" w:hAnsi="Arial"/>
                <w:sz w:val="17"/>
                <w:szCs w:val="17"/>
                <w:color w:val="auto"/>
              </w:rPr>
              <w:t>3.2</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80" w:type="dxa"/>
            <w:vAlign w:val="bottom"/>
            <w:gridSpan w:val="10"/>
          </w:tcPr>
          <w:p>
            <w:pPr>
              <w:spacing w:after="0" w:line="167" w:lineRule="exact"/>
              <w:rPr>
                <w:rFonts w:ascii="Arial" w:cs="Arial" w:eastAsia="Arial" w:hAnsi="Arial"/>
                <w:sz w:val="17"/>
                <w:szCs w:val="17"/>
                <w:color w:val="0000EE"/>
              </w:rPr>
            </w:pPr>
            <w:hyperlink r:id="rId63">
              <w:r>
                <w:rPr>
                  <w:rFonts w:ascii="Arial" w:cs="Arial" w:eastAsia="Arial" w:hAnsi="Arial"/>
                  <w:sz w:val="17"/>
                  <w:szCs w:val="17"/>
                  <w:color w:val="0000EE"/>
                </w:rPr>
                <w:t>Amended and Restated Bylaws (11)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4.1</w:t>
            </w: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80" w:type="dxa"/>
            <w:vAlign w:val="bottom"/>
            <w:gridSpan w:val="10"/>
            <w:shd w:val="clear" w:color="auto" w:fill="CCEEFF"/>
          </w:tcPr>
          <w:p>
            <w:pPr>
              <w:spacing w:after="0"/>
              <w:rPr>
                <w:sz w:val="20"/>
                <w:szCs w:val="20"/>
                <w:color w:val="auto"/>
              </w:rPr>
            </w:pPr>
            <w:r>
              <w:rPr>
                <w:rFonts w:ascii="Arial" w:cs="Arial" w:eastAsia="Arial" w:hAnsi="Arial"/>
                <w:sz w:val="17"/>
                <w:szCs w:val="17"/>
                <w:color w:val="auto"/>
              </w:rPr>
              <w:t>Specimen Class A Stock Certificate (1)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4.2</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80" w:type="dxa"/>
            <w:vAlign w:val="bottom"/>
            <w:gridSpan w:val="10"/>
          </w:tcPr>
          <w:p>
            <w:pPr>
              <w:spacing w:after="0"/>
              <w:rPr>
                <w:sz w:val="20"/>
                <w:szCs w:val="20"/>
                <w:color w:val="auto"/>
              </w:rPr>
            </w:pPr>
            <w:r>
              <w:rPr>
                <w:rFonts w:ascii="Arial" w:cs="Arial" w:eastAsia="Arial" w:hAnsi="Arial"/>
                <w:sz w:val="17"/>
                <w:szCs w:val="17"/>
                <w:color w:val="auto"/>
              </w:rPr>
              <w:t>Specimen Class C Stock Certificate (1)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4.3</w:t>
            </w: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80" w:type="dxa"/>
            <w:vAlign w:val="bottom"/>
            <w:gridSpan w:val="10"/>
            <w:shd w:val="clear" w:color="auto" w:fill="CCEEFF"/>
          </w:tcPr>
          <w:p>
            <w:pPr>
              <w:spacing w:after="0"/>
              <w:rPr>
                <w:sz w:val="20"/>
                <w:szCs w:val="20"/>
                <w:color w:val="auto"/>
              </w:rPr>
            </w:pPr>
            <w:r>
              <w:rPr>
                <w:rFonts w:ascii="Arial" w:cs="Arial" w:eastAsia="Arial" w:hAnsi="Arial"/>
                <w:sz w:val="17"/>
                <w:szCs w:val="17"/>
                <w:color w:val="auto"/>
              </w:rPr>
              <w:t>Specimen Preferred Stock Certificate and Certificate of Designation of Preferred Stock (1)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 w:type="dxa"/>
            <w:vAlign w:val="bottom"/>
          </w:tcPr>
          <w:p>
            <w:pPr>
              <w:spacing w:after="0" w:line="167" w:lineRule="exact"/>
              <w:rPr>
                <w:sz w:val="20"/>
                <w:szCs w:val="20"/>
                <w:color w:val="auto"/>
              </w:rPr>
            </w:pPr>
            <w:r>
              <w:rPr>
                <w:rFonts w:ascii="Arial" w:cs="Arial" w:eastAsia="Arial" w:hAnsi="Arial"/>
                <w:sz w:val="17"/>
                <w:szCs w:val="17"/>
                <w:color w:val="auto"/>
              </w:rPr>
              <w:t>7.1</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80" w:type="dxa"/>
            <w:vAlign w:val="bottom"/>
            <w:gridSpan w:val="10"/>
          </w:tcPr>
          <w:p>
            <w:pPr>
              <w:spacing w:after="0" w:line="167" w:lineRule="exact"/>
              <w:rPr>
                <w:rFonts w:ascii="Arial" w:cs="Arial" w:eastAsia="Arial" w:hAnsi="Arial"/>
                <w:sz w:val="17"/>
                <w:szCs w:val="17"/>
                <w:color w:val="0000EE"/>
              </w:rPr>
            </w:pPr>
            <w:hyperlink r:id="rId64">
              <w:r>
                <w:rPr>
                  <w:rFonts w:ascii="Arial" w:cs="Arial" w:eastAsia="Arial" w:hAnsi="Arial"/>
                  <w:sz w:val="17"/>
                  <w:szCs w:val="17"/>
                  <w:color w:val="0000EE"/>
                </w:rPr>
                <w:t>Letter from Eide Bailly, LLP (10)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10.1</w:t>
            </w: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80" w:type="dxa"/>
            <w:vAlign w:val="bottom"/>
            <w:gridSpan w:val="10"/>
            <w:shd w:val="clear" w:color="auto" w:fill="CCEEFF"/>
          </w:tcPr>
          <w:p>
            <w:pPr>
              <w:spacing w:after="0"/>
              <w:rPr>
                <w:sz w:val="20"/>
                <w:szCs w:val="20"/>
                <w:color w:val="auto"/>
              </w:rPr>
            </w:pPr>
            <w:r>
              <w:rPr>
                <w:rFonts w:ascii="Arial" w:cs="Arial" w:eastAsia="Arial" w:hAnsi="Arial"/>
                <w:sz w:val="17"/>
                <w:szCs w:val="17"/>
                <w:color w:val="auto"/>
              </w:rPr>
              <w:t>Amended and Restated Employee Stock Ownership Plan (ESOP) and Trust Agreement (1)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 w:type="dxa"/>
            <w:vAlign w:val="bottom"/>
          </w:tcPr>
          <w:p>
            <w:pPr>
              <w:spacing w:after="0" w:line="167" w:lineRule="exact"/>
              <w:rPr>
                <w:sz w:val="20"/>
                <w:szCs w:val="20"/>
                <w:color w:val="auto"/>
              </w:rPr>
            </w:pPr>
            <w:r>
              <w:rPr>
                <w:rFonts w:ascii="Arial" w:cs="Arial" w:eastAsia="Arial" w:hAnsi="Arial"/>
                <w:sz w:val="17"/>
                <w:szCs w:val="17"/>
                <w:color w:val="auto"/>
              </w:rPr>
              <w:t>10.2</w:t>
            </w:r>
          </w:p>
        </w:tc>
        <w:tc>
          <w:tcPr>
            <w:tcW w:w="1220" w:type="dxa"/>
            <w:vAlign w:val="bottom"/>
            <w:gridSpan w:val="3"/>
          </w:tcPr>
          <w:p>
            <w:pPr>
              <w:ind w:left="860"/>
              <w:spacing w:after="0" w:line="167" w:lineRule="exact"/>
              <w:rPr>
                <w:rFonts w:ascii="Arial" w:cs="Arial" w:eastAsia="Arial" w:hAnsi="Arial"/>
                <w:sz w:val="17"/>
                <w:szCs w:val="17"/>
                <w:color w:val="0000EE"/>
                <w:w w:val="89"/>
              </w:rPr>
            </w:pPr>
            <w:hyperlink r:id="rId65">
              <w:r>
                <w:rPr>
                  <w:rFonts w:ascii="Arial" w:cs="Arial" w:eastAsia="Arial" w:hAnsi="Arial"/>
                  <w:sz w:val="17"/>
                  <w:szCs w:val="17"/>
                  <w:color w:val="0000EE"/>
                  <w:w w:val="89"/>
                </w:rPr>
                <w:t>2003</w:t>
              </w:r>
            </w:hyperlink>
          </w:p>
        </w:tc>
        <w:tc>
          <w:tcPr>
            <w:tcW w:w="9720" w:type="dxa"/>
            <w:vAlign w:val="bottom"/>
            <w:gridSpan w:val="9"/>
          </w:tcPr>
          <w:p>
            <w:pPr>
              <w:ind w:left="20"/>
              <w:spacing w:after="0" w:line="167" w:lineRule="exact"/>
              <w:rPr>
                <w:rFonts w:ascii="Arial" w:cs="Arial" w:eastAsia="Arial" w:hAnsi="Arial"/>
                <w:sz w:val="17"/>
                <w:szCs w:val="17"/>
                <w:color w:val="0000EE"/>
              </w:rPr>
            </w:pPr>
            <w:hyperlink r:id="rId65">
              <w:r>
                <w:rPr>
                  <w:rFonts w:ascii="Arial" w:cs="Arial" w:eastAsia="Arial" w:hAnsi="Arial"/>
                  <w:sz w:val="17"/>
                  <w:szCs w:val="17"/>
                  <w:color w:val="0000EE"/>
                </w:rPr>
                <w:t>Stock Option Plan (2)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10.3</w:t>
            </w:r>
          </w:p>
        </w:tc>
        <w:tc>
          <w:tcPr>
            <w:tcW w:w="1220" w:type="dxa"/>
            <w:vAlign w:val="bottom"/>
            <w:gridSpan w:val="3"/>
            <w:shd w:val="clear" w:color="auto" w:fill="CCEEFF"/>
          </w:tcPr>
          <w:p>
            <w:pPr>
              <w:ind w:left="860"/>
              <w:spacing w:after="0" w:line="185" w:lineRule="exact"/>
              <w:rPr>
                <w:rFonts w:ascii="Arial" w:cs="Arial" w:eastAsia="Arial" w:hAnsi="Arial"/>
                <w:sz w:val="17"/>
                <w:szCs w:val="17"/>
                <w:color w:val="0000EE"/>
                <w:w w:val="89"/>
              </w:rPr>
            </w:pPr>
            <w:hyperlink r:id="rId65">
              <w:r>
                <w:rPr>
                  <w:rFonts w:ascii="Arial" w:cs="Arial" w:eastAsia="Arial" w:hAnsi="Arial"/>
                  <w:sz w:val="17"/>
                  <w:szCs w:val="17"/>
                  <w:color w:val="0000EE"/>
                  <w:w w:val="89"/>
                </w:rPr>
                <w:t>2006</w:t>
              </w:r>
            </w:hyperlink>
          </w:p>
        </w:tc>
        <w:tc>
          <w:tcPr>
            <w:tcW w:w="9720" w:type="dxa"/>
            <w:vAlign w:val="bottom"/>
            <w:gridSpan w:val="9"/>
            <w:shd w:val="clear" w:color="auto" w:fill="CCEEFF"/>
          </w:tcPr>
          <w:p>
            <w:pPr>
              <w:ind w:left="20"/>
              <w:spacing w:after="0" w:line="185" w:lineRule="exact"/>
              <w:rPr>
                <w:rFonts w:ascii="Arial" w:cs="Arial" w:eastAsia="Arial" w:hAnsi="Arial"/>
                <w:sz w:val="17"/>
                <w:szCs w:val="17"/>
                <w:color w:val="0000EE"/>
              </w:rPr>
            </w:pPr>
            <w:hyperlink r:id="rId65">
              <w:r>
                <w:rPr>
                  <w:rFonts w:ascii="Arial" w:cs="Arial" w:eastAsia="Arial" w:hAnsi="Arial"/>
                  <w:sz w:val="17"/>
                  <w:szCs w:val="17"/>
                  <w:color w:val="0000EE"/>
                </w:rPr>
                <w:t>Director Stock Option Plan (3)</w:t>
              </w:r>
            </w:hyperlink>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20" w:type="dxa"/>
            <w:vAlign w:val="bottom"/>
            <w:tcBorders>
              <w:left w:val="single" w:sz="8" w:color="0000EE"/>
            </w:tcBorders>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60" w:type="dxa"/>
            <w:vAlign w:val="bottom"/>
          </w:tcPr>
          <w:p>
            <w:pPr>
              <w:spacing w:after="0" w:line="167" w:lineRule="exact"/>
              <w:rPr>
                <w:sz w:val="20"/>
                <w:szCs w:val="20"/>
                <w:color w:val="auto"/>
              </w:rPr>
            </w:pPr>
            <w:r>
              <w:rPr>
                <w:rFonts w:ascii="Arial" w:cs="Arial" w:eastAsia="Arial" w:hAnsi="Arial"/>
                <w:sz w:val="17"/>
                <w:szCs w:val="17"/>
                <w:color w:val="auto"/>
              </w:rPr>
              <w:t>10.4</w:t>
            </w:r>
          </w:p>
        </w:tc>
        <w:tc>
          <w:tcPr>
            <w:tcW w:w="1220" w:type="dxa"/>
            <w:vAlign w:val="bottom"/>
            <w:gridSpan w:val="3"/>
          </w:tcPr>
          <w:p>
            <w:pPr>
              <w:ind w:left="860"/>
              <w:spacing w:after="0" w:line="167" w:lineRule="exact"/>
              <w:rPr>
                <w:rFonts w:ascii="Arial" w:cs="Arial" w:eastAsia="Arial" w:hAnsi="Arial"/>
                <w:sz w:val="17"/>
                <w:szCs w:val="17"/>
                <w:color w:val="0000EE"/>
                <w:w w:val="89"/>
              </w:rPr>
            </w:pPr>
            <w:hyperlink r:id="rId66">
              <w:r>
                <w:rPr>
                  <w:rFonts w:ascii="Arial" w:cs="Arial" w:eastAsia="Arial" w:hAnsi="Arial"/>
                  <w:sz w:val="17"/>
                  <w:szCs w:val="17"/>
                  <w:color w:val="0000EE"/>
                  <w:w w:val="89"/>
                </w:rPr>
                <w:t>2013</w:t>
              </w:r>
            </w:hyperlink>
          </w:p>
        </w:tc>
        <w:tc>
          <w:tcPr>
            <w:tcW w:w="9720" w:type="dxa"/>
            <w:vAlign w:val="bottom"/>
            <w:gridSpan w:val="9"/>
          </w:tcPr>
          <w:p>
            <w:pPr>
              <w:ind w:left="20"/>
              <w:spacing w:after="0" w:line="167" w:lineRule="exact"/>
              <w:rPr>
                <w:rFonts w:ascii="Arial" w:cs="Arial" w:eastAsia="Arial" w:hAnsi="Arial"/>
                <w:sz w:val="17"/>
                <w:szCs w:val="17"/>
                <w:color w:val="0000EE"/>
              </w:rPr>
            </w:pPr>
            <w:hyperlink r:id="rId66">
              <w:r>
                <w:rPr>
                  <w:rFonts w:ascii="Arial" w:cs="Arial" w:eastAsia="Arial" w:hAnsi="Arial"/>
                  <w:sz w:val="17"/>
                  <w:szCs w:val="17"/>
                  <w:color w:val="0000EE"/>
                </w:rPr>
                <w:t>Amended and Restated Stock Option and Other Equity Incentive Awards Plan (8)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10.5</w:t>
            </w:r>
          </w:p>
        </w:tc>
        <w:tc>
          <w:tcPr>
            <w:tcW w:w="1220" w:type="dxa"/>
            <w:vAlign w:val="bottom"/>
            <w:gridSpan w:val="3"/>
            <w:shd w:val="clear" w:color="auto" w:fill="CCEEFF"/>
          </w:tcPr>
          <w:p>
            <w:pPr>
              <w:ind w:left="860"/>
              <w:spacing w:after="0" w:line="185" w:lineRule="exact"/>
              <w:rPr>
                <w:rFonts w:ascii="Arial" w:cs="Arial" w:eastAsia="Arial" w:hAnsi="Arial"/>
                <w:sz w:val="17"/>
                <w:szCs w:val="17"/>
                <w:color w:val="0000EE"/>
                <w:w w:val="89"/>
              </w:rPr>
            </w:pPr>
            <w:hyperlink r:id="rId67">
              <w:r>
                <w:rPr>
                  <w:rFonts w:ascii="Arial" w:cs="Arial" w:eastAsia="Arial" w:hAnsi="Arial"/>
                  <w:sz w:val="17"/>
                  <w:szCs w:val="17"/>
                  <w:color w:val="0000EE"/>
                  <w:w w:val="89"/>
                </w:rPr>
                <w:t>2014</w:t>
              </w:r>
            </w:hyperlink>
          </w:p>
        </w:tc>
        <w:tc>
          <w:tcPr>
            <w:tcW w:w="9720" w:type="dxa"/>
            <w:vAlign w:val="bottom"/>
            <w:gridSpan w:val="9"/>
            <w:shd w:val="clear" w:color="auto" w:fill="CCEEFF"/>
          </w:tcPr>
          <w:p>
            <w:pPr>
              <w:ind w:left="20"/>
              <w:spacing w:after="0" w:line="185" w:lineRule="exact"/>
              <w:rPr>
                <w:rFonts w:ascii="Arial" w:cs="Arial" w:eastAsia="Arial" w:hAnsi="Arial"/>
                <w:sz w:val="17"/>
                <w:szCs w:val="17"/>
                <w:color w:val="0000EE"/>
              </w:rPr>
            </w:pPr>
            <w:hyperlink r:id="rId67">
              <w:r>
                <w:rPr>
                  <w:rFonts w:ascii="Arial" w:cs="Arial" w:eastAsia="Arial" w:hAnsi="Arial"/>
                  <w:sz w:val="17"/>
                  <w:szCs w:val="17"/>
                  <w:color w:val="0000EE"/>
                </w:rPr>
                <w:t>Director Stock Option Plan (4)</w:t>
              </w:r>
            </w:hyperlink>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20" w:type="dxa"/>
            <w:vAlign w:val="bottom"/>
            <w:tcBorders>
              <w:left w:val="single" w:sz="8" w:color="0000EE"/>
            </w:tcBorders>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60" w:type="dxa"/>
            <w:vAlign w:val="bottom"/>
          </w:tcPr>
          <w:p>
            <w:pPr>
              <w:spacing w:after="0" w:line="167" w:lineRule="exact"/>
              <w:rPr>
                <w:sz w:val="20"/>
                <w:szCs w:val="20"/>
                <w:color w:val="auto"/>
              </w:rPr>
            </w:pPr>
            <w:r>
              <w:rPr>
                <w:rFonts w:ascii="Arial" w:cs="Arial" w:eastAsia="Arial" w:hAnsi="Arial"/>
                <w:sz w:val="17"/>
                <w:szCs w:val="17"/>
                <w:color w:val="auto"/>
              </w:rPr>
              <w:t>10.6</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80" w:type="dxa"/>
            <w:vAlign w:val="bottom"/>
            <w:tcBorders>
              <w:bottom w:val="single" w:sz="8" w:color="0000EE"/>
            </w:tcBorders>
            <w:gridSpan w:val="7"/>
          </w:tcPr>
          <w:p>
            <w:pPr>
              <w:spacing w:after="0" w:line="167" w:lineRule="exact"/>
              <w:rPr>
                <w:rFonts w:ascii="Arial" w:cs="Arial" w:eastAsia="Arial" w:hAnsi="Arial"/>
                <w:sz w:val="17"/>
                <w:szCs w:val="17"/>
                <w:color w:val="0000EE"/>
                <w:w w:val="92"/>
              </w:rPr>
            </w:pPr>
            <w:hyperlink r:id="rId68">
              <w:r>
                <w:rPr>
                  <w:rFonts w:ascii="Arial" w:cs="Arial" w:eastAsia="Arial" w:hAnsi="Arial"/>
                  <w:sz w:val="17"/>
                  <w:szCs w:val="17"/>
                  <w:color w:val="0000EE"/>
                  <w:w w:val="92"/>
                </w:rPr>
                <w:t>Employment agreement with Scott M. Quist (6)</w:t>
              </w:r>
            </w:hyperlink>
          </w:p>
        </w:tc>
        <w:tc>
          <w:tcPr>
            <w:tcW w:w="68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 w:type="dxa"/>
            <w:vAlign w:val="bottom"/>
            <w:tcBorders>
              <w:bottom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10.7</w:t>
            </w:r>
          </w:p>
        </w:tc>
        <w:tc>
          <w:tcPr>
            <w:tcW w:w="5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0"/>
            <w:shd w:val="clear" w:color="auto" w:fill="CCEEFF"/>
          </w:tcPr>
          <w:p>
            <w:pPr>
              <w:spacing w:after="0" w:line="185" w:lineRule="exact"/>
              <w:rPr>
                <w:rFonts w:ascii="Arial" w:cs="Arial" w:eastAsia="Arial" w:hAnsi="Arial"/>
                <w:sz w:val="17"/>
                <w:szCs w:val="17"/>
                <w:color w:val="0000EE"/>
                <w:w w:val="92"/>
              </w:rPr>
            </w:pPr>
            <w:hyperlink r:id="rId68">
              <w:r>
                <w:rPr>
                  <w:rFonts w:ascii="Arial" w:cs="Arial" w:eastAsia="Arial" w:hAnsi="Arial"/>
                  <w:sz w:val="17"/>
                  <w:szCs w:val="17"/>
                  <w:color w:val="0000EE"/>
                  <w:w w:val="92"/>
                </w:rPr>
                <w:t>Purchase Agreement among Security National Financial Corporation, SNFC Subsidiary, LLC, American Funeral Financial, LLC, and Hypershop,</w:t>
              </w:r>
            </w:hyperlink>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80" w:type="dxa"/>
            <w:vAlign w:val="bottom"/>
            <w:gridSpan w:val="10"/>
            <w:shd w:val="clear" w:color="auto" w:fill="CCEEFF"/>
          </w:tcPr>
          <w:p>
            <w:pPr>
              <w:spacing w:after="0" w:line="185" w:lineRule="exact"/>
              <w:rPr>
                <w:rFonts w:ascii="Arial" w:cs="Arial" w:eastAsia="Arial" w:hAnsi="Arial"/>
                <w:sz w:val="17"/>
                <w:szCs w:val="17"/>
                <w:color w:val="0000EE"/>
              </w:rPr>
            </w:pPr>
            <w:hyperlink r:id="rId68">
              <w:r>
                <w:rPr>
                  <w:rFonts w:ascii="Arial" w:cs="Arial" w:eastAsia="Arial" w:hAnsi="Arial"/>
                  <w:sz w:val="17"/>
                  <w:szCs w:val="17"/>
                  <w:color w:val="0000EE"/>
                </w:rPr>
                <w:t>LLC (5)</w:t>
              </w:r>
            </w:hyperlink>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60" w:type="dxa"/>
            <w:vAlign w:val="bottom"/>
          </w:tcPr>
          <w:p>
            <w:pPr>
              <w:spacing w:after="0" w:line="167" w:lineRule="exact"/>
              <w:rPr>
                <w:sz w:val="20"/>
                <w:szCs w:val="20"/>
                <w:color w:val="auto"/>
              </w:rPr>
            </w:pPr>
            <w:r>
              <w:rPr>
                <w:rFonts w:ascii="Arial" w:cs="Arial" w:eastAsia="Arial" w:hAnsi="Arial"/>
                <w:sz w:val="17"/>
                <w:szCs w:val="17"/>
                <w:color w:val="auto"/>
              </w:rPr>
              <w:t>10.8</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80" w:type="dxa"/>
            <w:vAlign w:val="bottom"/>
            <w:tcBorders>
              <w:bottom w:val="single" w:sz="8" w:color="0000EE"/>
            </w:tcBorders>
            <w:gridSpan w:val="10"/>
          </w:tcPr>
          <w:p>
            <w:pPr>
              <w:spacing w:after="0" w:line="167" w:lineRule="exact"/>
              <w:rPr>
                <w:rFonts w:ascii="Arial" w:cs="Arial" w:eastAsia="Arial" w:hAnsi="Arial"/>
                <w:sz w:val="17"/>
                <w:szCs w:val="17"/>
                <w:color w:val="0000EE"/>
                <w:w w:val="91"/>
              </w:rPr>
            </w:pPr>
            <w:hyperlink r:id="rId66">
              <w:r>
                <w:rPr>
                  <w:rFonts w:ascii="Arial" w:cs="Arial" w:eastAsia="Arial" w:hAnsi="Arial"/>
                  <w:sz w:val="17"/>
                  <w:szCs w:val="17"/>
                  <w:color w:val="0000EE"/>
                  <w:w w:val="91"/>
                </w:rPr>
                <w:t>Stock Purchase Agreement among Security National Financial Corporation, and Reppond Holding Company, to purchase First Guaranty Insurance</w:t>
              </w:r>
            </w:hyperlink>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80" w:type="dxa"/>
            <w:vAlign w:val="bottom"/>
            <w:gridSpan w:val="10"/>
          </w:tcPr>
          <w:p>
            <w:pPr>
              <w:spacing w:after="0" w:line="185" w:lineRule="exact"/>
              <w:rPr>
                <w:rFonts w:ascii="Arial" w:cs="Arial" w:eastAsia="Arial" w:hAnsi="Arial"/>
                <w:sz w:val="17"/>
                <w:szCs w:val="17"/>
                <w:color w:val="0000EE"/>
              </w:rPr>
            </w:pPr>
            <w:hyperlink r:id="rId66">
              <w:r>
                <w:rPr>
                  <w:rFonts w:ascii="Arial" w:cs="Arial" w:eastAsia="Arial" w:hAnsi="Arial"/>
                  <w:sz w:val="17"/>
                  <w:szCs w:val="17"/>
                  <w:color w:val="0000EE"/>
                </w:rPr>
                <w:t>Company (8)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340" w:hanging="1337"/>
        <w:spacing w:after="0"/>
        <w:tabs>
          <w:tab w:leader="none" w:pos="1340" w:val="left"/>
        </w:tabs>
        <w:numPr>
          <w:ilvl w:val="0"/>
          <w:numId w:val="47"/>
        </w:numPr>
        <w:rPr>
          <w:rFonts w:ascii="Arial" w:cs="Arial" w:eastAsia="Arial" w:hAnsi="Arial"/>
          <w:sz w:val="17"/>
          <w:szCs w:val="17"/>
          <w:u w:val="single" w:color="auto"/>
          <w:color w:val="0000EE"/>
        </w:rPr>
      </w:pPr>
      <w:hyperlink r:id="rId63">
        <w:r>
          <w:rPr>
            <w:rFonts w:ascii="Arial" w:cs="Arial" w:eastAsia="Arial" w:hAnsi="Arial"/>
            <w:sz w:val="17"/>
            <w:szCs w:val="17"/>
            <w:u w:val="single" w:color="auto"/>
            <w:color w:val="0000EE"/>
          </w:rPr>
          <w:t>Subsidiaries of the Registrant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53605" cy="130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960" w:type="dxa"/>
            <w:vAlign w:val="bottom"/>
          </w:tcPr>
          <w:p>
            <w:pPr>
              <w:spacing w:after="0" w:line="189" w:lineRule="exact"/>
              <w:rPr>
                <w:sz w:val="20"/>
                <w:szCs w:val="20"/>
                <w:color w:val="auto"/>
              </w:rPr>
            </w:pPr>
            <w:r>
              <w:rPr>
                <w:rFonts w:ascii="Arial" w:cs="Arial" w:eastAsia="Arial" w:hAnsi="Arial"/>
                <w:sz w:val="17"/>
                <w:szCs w:val="17"/>
                <w:color w:val="auto"/>
              </w:rPr>
              <w:t>23.1</w:t>
            </w:r>
          </w:p>
        </w:tc>
        <w:tc>
          <w:tcPr>
            <w:tcW w:w="10460" w:type="dxa"/>
            <w:vAlign w:val="bottom"/>
            <w:gridSpan w:val="5"/>
          </w:tcPr>
          <w:p>
            <w:pPr>
              <w:ind w:left="380"/>
              <w:spacing w:after="0" w:line="189" w:lineRule="exact"/>
              <w:rPr>
                <w:rFonts w:ascii="Arial" w:cs="Arial" w:eastAsia="Arial" w:hAnsi="Arial"/>
                <w:sz w:val="17"/>
                <w:szCs w:val="17"/>
                <w:color w:val="0000EE"/>
              </w:rPr>
            </w:pPr>
            <w:hyperlink r:id="rId70">
              <w:r>
                <w:rPr>
                  <w:rFonts w:ascii="Arial" w:cs="Arial" w:eastAsia="Arial" w:hAnsi="Arial"/>
                  <w:sz w:val="17"/>
                  <w:szCs w:val="17"/>
                  <w:color w:val="0000EE"/>
                </w:rPr>
                <w:t>Consent of Eide Bailly LLP (7)</w:t>
              </w:r>
            </w:hyperlink>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185"/>
        </w:trPr>
        <w:tc>
          <w:tcPr>
            <w:tcW w:w="9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23.2</w:t>
            </w:r>
          </w:p>
        </w:tc>
        <w:tc>
          <w:tcPr>
            <w:tcW w:w="10460" w:type="dxa"/>
            <w:vAlign w:val="bottom"/>
            <w:gridSpan w:val="5"/>
            <w:shd w:val="clear" w:color="auto" w:fill="CCEEFF"/>
          </w:tcPr>
          <w:p>
            <w:pPr>
              <w:ind w:left="380"/>
              <w:spacing w:after="0" w:line="185" w:lineRule="exact"/>
              <w:rPr>
                <w:rFonts w:ascii="Arial" w:cs="Arial" w:eastAsia="Arial" w:hAnsi="Arial"/>
                <w:sz w:val="17"/>
                <w:szCs w:val="17"/>
                <w:color w:val="0000EE"/>
              </w:rPr>
            </w:pPr>
            <w:hyperlink r:id="rId71">
              <w:r>
                <w:rPr>
                  <w:rFonts w:ascii="Arial" w:cs="Arial" w:eastAsia="Arial" w:hAnsi="Arial"/>
                  <w:sz w:val="17"/>
                  <w:szCs w:val="17"/>
                  <w:color w:val="0000EE"/>
                </w:rPr>
                <w:t>Consent of Mackey Price &amp; Mecham (7)</w:t>
              </w:r>
            </w:hyperlink>
          </w:p>
        </w:tc>
      </w:tr>
      <w:tr>
        <w:trPr>
          <w:trHeight w:val="39"/>
        </w:trPr>
        <w:tc>
          <w:tcPr>
            <w:tcW w:w="9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9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7280" w:type="dxa"/>
            <w:vAlign w:val="bottom"/>
            <w:shd w:val="clear" w:color="auto" w:fill="CCEEFF"/>
          </w:tcPr>
          <w:p>
            <w:pPr>
              <w:spacing w:after="0"/>
              <w:rPr>
                <w:sz w:val="3"/>
                <w:szCs w:val="3"/>
                <w:color w:val="auto"/>
              </w:rPr>
            </w:pPr>
          </w:p>
        </w:tc>
      </w:tr>
      <w:tr>
        <w:trPr>
          <w:trHeight w:val="205"/>
        </w:trPr>
        <w:tc>
          <w:tcPr>
            <w:tcW w:w="960" w:type="dxa"/>
            <w:vAlign w:val="bottom"/>
          </w:tcPr>
          <w:p>
            <w:pPr>
              <w:spacing w:after="0"/>
              <w:rPr>
                <w:sz w:val="20"/>
                <w:szCs w:val="20"/>
                <w:color w:val="auto"/>
              </w:rPr>
            </w:pPr>
            <w:r>
              <w:rPr>
                <w:rFonts w:ascii="Arial" w:cs="Arial" w:eastAsia="Arial" w:hAnsi="Arial"/>
                <w:sz w:val="17"/>
                <w:szCs w:val="17"/>
                <w:color w:val="auto"/>
              </w:rPr>
              <w:t>31.1</w:t>
            </w:r>
          </w:p>
        </w:tc>
        <w:tc>
          <w:tcPr>
            <w:tcW w:w="10460" w:type="dxa"/>
            <w:vAlign w:val="bottom"/>
            <w:gridSpan w:val="5"/>
          </w:tcPr>
          <w:p>
            <w:pPr>
              <w:ind w:left="380"/>
              <w:spacing w:after="0"/>
              <w:rPr>
                <w:sz w:val="20"/>
                <w:szCs w:val="20"/>
                <w:color w:val="auto"/>
              </w:rPr>
            </w:pPr>
            <w:r>
              <w:rPr>
                <w:rFonts w:ascii="Arial" w:cs="Arial" w:eastAsia="Arial" w:hAnsi="Arial"/>
                <w:sz w:val="17"/>
                <w:szCs w:val="17"/>
                <w:color w:val="auto"/>
              </w:rPr>
              <w:t>Certification pursuant to 18 U.S.C. Section 1350, as enacted by Section 302 of the Sarbanes-Oxley Act of 2002</w:t>
            </w:r>
          </w:p>
        </w:tc>
      </w:tr>
      <w:tr>
        <w:trPr>
          <w:trHeight w:val="205"/>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31.2</w:t>
            </w: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92"/>
              </w:rPr>
              <w:t>Certification pursuant to 18</w:t>
            </w:r>
          </w:p>
        </w:tc>
        <w:tc>
          <w:tcPr>
            <w:tcW w:w="81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U.S.C. Section 1350, as enacted by Section 302 of the Sarbanes-Oxley Act of 2002</w:t>
            </w:r>
          </w:p>
        </w:tc>
      </w:tr>
      <w:tr>
        <w:trPr>
          <w:trHeight w:val="205"/>
        </w:trPr>
        <w:tc>
          <w:tcPr>
            <w:tcW w:w="960" w:type="dxa"/>
            <w:vAlign w:val="bottom"/>
          </w:tcPr>
          <w:p>
            <w:pPr>
              <w:spacing w:after="0"/>
              <w:rPr>
                <w:sz w:val="20"/>
                <w:szCs w:val="20"/>
                <w:color w:val="auto"/>
              </w:rPr>
            </w:pPr>
            <w:r>
              <w:rPr>
                <w:rFonts w:ascii="Arial" w:cs="Arial" w:eastAsia="Arial" w:hAnsi="Arial"/>
                <w:sz w:val="17"/>
                <w:szCs w:val="17"/>
                <w:color w:val="auto"/>
              </w:rPr>
              <w:t>32.1</w:t>
            </w:r>
          </w:p>
        </w:tc>
        <w:tc>
          <w:tcPr>
            <w:tcW w:w="2280" w:type="dxa"/>
            <w:vAlign w:val="bottom"/>
            <w:gridSpan w:val="2"/>
          </w:tcPr>
          <w:p>
            <w:pPr>
              <w:ind w:left="380"/>
              <w:spacing w:after="0"/>
              <w:rPr>
                <w:sz w:val="20"/>
                <w:szCs w:val="20"/>
                <w:color w:val="auto"/>
              </w:rPr>
            </w:pPr>
            <w:r>
              <w:rPr>
                <w:rFonts w:ascii="Arial" w:cs="Arial" w:eastAsia="Arial" w:hAnsi="Arial"/>
                <w:sz w:val="17"/>
                <w:szCs w:val="17"/>
                <w:color w:val="auto"/>
                <w:w w:val="92"/>
              </w:rPr>
              <w:t>Certification pursuant to 18</w:t>
            </w:r>
          </w:p>
        </w:tc>
        <w:tc>
          <w:tcPr>
            <w:tcW w:w="8180" w:type="dxa"/>
            <w:vAlign w:val="bottom"/>
            <w:gridSpan w:val="3"/>
          </w:tcPr>
          <w:p>
            <w:pPr>
              <w:ind w:left="20"/>
              <w:spacing w:after="0"/>
              <w:rPr>
                <w:sz w:val="20"/>
                <w:szCs w:val="20"/>
                <w:color w:val="auto"/>
              </w:rPr>
            </w:pPr>
            <w:r>
              <w:rPr>
                <w:rFonts w:ascii="Arial" w:cs="Arial" w:eastAsia="Arial" w:hAnsi="Arial"/>
                <w:sz w:val="17"/>
                <w:szCs w:val="17"/>
                <w:color w:val="auto"/>
              </w:rPr>
              <w:t>U.S.C. Section 1350, as adopted pursuant to Section 906 of the Sarbanes-Oxley Act of 2002</w:t>
            </w:r>
          </w:p>
        </w:tc>
      </w:tr>
      <w:tr>
        <w:trPr>
          <w:trHeight w:val="205"/>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32.2</w:t>
            </w: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92"/>
              </w:rPr>
              <w:t>Certification pursuant to 18</w:t>
            </w:r>
          </w:p>
        </w:tc>
        <w:tc>
          <w:tcPr>
            <w:tcW w:w="81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U.S.C. Section 1350, as adopted pursuant to Section 906 of the Sarbanes-Oxley Act of 2002</w:t>
            </w:r>
          </w:p>
        </w:tc>
      </w:tr>
      <w:tr>
        <w:trPr>
          <w:trHeight w:val="205"/>
        </w:trPr>
        <w:tc>
          <w:tcPr>
            <w:tcW w:w="960" w:type="dxa"/>
            <w:vAlign w:val="bottom"/>
          </w:tcPr>
          <w:p>
            <w:pPr>
              <w:spacing w:after="0"/>
              <w:rPr>
                <w:sz w:val="20"/>
                <w:szCs w:val="20"/>
                <w:color w:val="auto"/>
              </w:rPr>
            </w:pPr>
            <w:r>
              <w:rPr>
                <w:rFonts w:ascii="Arial" w:cs="Arial" w:eastAsia="Arial" w:hAnsi="Arial"/>
                <w:sz w:val="17"/>
                <w:szCs w:val="17"/>
                <w:color w:val="auto"/>
              </w:rPr>
              <w:t>101.xml</w:t>
            </w:r>
          </w:p>
        </w:tc>
        <w:tc>
          <w:tcPr>
            <w:tcW w:w="2280" w:type="dxa"/>
            <w:vAlign w:val="bottom"/>
            <w:gridSpan w:val="2"/>
          </w:tcPr>
          <w:p>
            <w:pPr>
              <w:ind w:left="380"/>
              <w:spacing w:after="0"/>
              <w:rPr>
                <w:sz w:val="20"/>
                <w:szCs w:val="20"/>
                <w:color w:val="auto"/>
              </w:rPr>
            </w:pPr>
            <w:r>
              <w:rPr>
                <w:rFonts w:ascii="Arial" w:cs="Arial" w:eastAsia="Arial" w:hAnsi="Arial"/>
                <w:sz w:val="17"/>
                <w:szCs w:val="17"/>
                <w:color w:val="auto"/>
              </w:rPr>
              <w:t>Instance Document</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05"/>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101.xsd</w:t>
            </w:r>
          </w:p>
        </w:tc>
        <w:tc>
          <w:tcPr>
            <w:tcW w:w="10460" w:type="dxa"/>
            <w:vAlign w:val="bottom"/>
            <w:gridSpan w:val="5"/>
            <w:shd w:val="clear" w:color="auto" w:fill="CCEEFF"/>
          </w:tcPr>
          <w:p>
            <w:pPr>
              <w:ind w:left="380"/>
              <w:spacing w:after="0"/>
              <w:rPr>
                <w:sz w:val="20"/>
                <w:szCs w:val="20"/>
                <w:color w:val="auto"/>
              </w:rPr>
            </w:pPr>
            <w:r>
              <w:rPr>
                <w:rFonts w:ascii="Arial" w:cs="Arial" w:eastAsia="Arial" w:hAnsi="Arial"/>
                <w:sz w:val="17"/>
                <w:szCs w:val="17"/>
                <w:color w:val="auto"/>
              </w:rPr>
              <w:t>Taxonomy Extension Schema Document</w:t>
            </w:r>
          </w:p>
        </w:tc>
      </w:tr>
      <w:tr>
        <w:trPr>
          <w:trHeight w:val="205"/>
        </w:trPr>
        <w:tc>
          <w:tcPr>
            <w:tcW w:w="960" w:type="dxa"/>
            <w:vAlign w:val="bottom"/>
          </w:tcPr>
          <w:p>
            <w:pPr>
              <w:spacing w:after="0"/>
              <w:rPr>
                <w:sz w:val="20"/>
                <w:szCs w:val="20"/>
                <w:color w:val="auto"/>
              </w:rPr>
            </w:pPr>
            <w:r>
              <w:rPr>
                <w:rFonts w:ascii="Arial" w:cs="Arial" w:eastAsia="Arial" w:hAnsi="Arial"/>
                <w:sz w:val="17"/>
                <w:szCs w:val="17"/>
                <w:color w:val="auto"/>
              </w:rPr>
              <w:t>101.cal</w:t>
            </w:r>
          </w:p>
        </w:tc>
        <w:tc>
          <w:tcPr>
            <w:tcW w:w="10460" w:type="dxa"/>
            <w:vAlign w:val="bottom"/>
            <w:gridSpan w:val="5"/>
          </w:tcPr>
          <w:p>
            <w:pPr>
              <w:ind w:left="380"/>
              <w:spacing w:after="0"/>
              <w:rPr>
                <w:sz w:val="20"/>
                <w:szCs w:val="20"/>
                <w:color w:val="auto"/>
              </w:rPr>
            </w:pPr>
            <w:r>
              <w:rPr>
                <w:rFonts w:ascii="Arial" w:cs="Arial" w:eastAsia="Arial" w:hAnsi="Arial"/>
                <w:sz w:val="17"/>
                <w:szCs w:val="17"/>
                <w:color w:val="auto"/>
              </w:rPr>
              <w:t>Taxonomy Extension Calculation Linkbase Document</w:t>
            </w:r>
          </w:p>
        </w:tc>
      </w:tr>
      <w:tr>
        <w:trPr>
          <w:trHeight w:val="205"/>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101.def</w:t>
            </w:r>
          </w:p>
        </w:tc>
        <w:tc>
          <w:tcPr>
            <w:tcW w:w="10460" w:type="dxa"/>
            <w:vAlign w:val="bottom"/>
            <w:gridSpan w:val="5"/>
            <w:shd w:val="clear" w:color="auto" w:fill="CCEEFF"/>
          </w:tcPr>
          <w:p>
            <w:pPr>
              <w:ind w:left="380"/>
              <w:spacing w:after="0"/>
              <w:rPr>
                <w:sz w:val="20"/>
                <w:szCs w:val="20"/>
                <w:color w:val="auto"/>
              </w:rPr>
            </w:pPr>
            <w:r>
              <w:rPr>
                <w:rFonts w:ascii="Arial" w:cs="Arial" w:eastAsia="Arial" w:hAnsi="Arial"/>
                <w:sz w:val="17"/>
                <w:szCs w:val="17"/>
                <w:color w:val="auto"/>
              </w:rPr>
              <w:t>Taxonomy Extension Definition Linkbase Document</w:t>
            </w:r>
          </w:p>
        </w:tc>
      </w:tr>
      <w:tr>
        <w:trPr>
          <w:trHeight w:val="205"/>
        </w:trPr>
        <w:tc>
          <w:tcPr>
            <w:tcW w:w="960" w:type="dxa"/>
            <w:vAlign w:val="bottom"/>
          </w:tcPr>
          <w:p>
            <w:pPr>
              <w:spacing w:after="0"/>
              <w:rPr>
                <w:sz w:val="20"/>
                <w:szCs w:val="20"/>
                <w:color w:val="auto"/>
              </w:rPr>
            </w:pPr>
            <w:r>
              <w:rPr>
                <w:rFonts w:ascii="Arial" w:cs="Arial" w:eastAsia="Arial" w:hAnsi="Arial"/>
                <w:sz w:val="17"/>
                <w:szCs w:val="17"/>
                <w:color w:val="auto"/>
              </w:rPr>
              <w:t>101.lab</w:t>
            </w:r>
          </w:p>
        </w:tc>
        <w:tc>
          <w:tcPr>
            <w:tcW w:w="10460" w:type="dxa"/>
            <w:vAlign w:val="bottom"/>
            <w:gridSpan w:val="5"/>
          </w:tcPr>
          <w:p>
            <w:pPr>
              <w:ind w:left="380"/>
              <w:spacing w:after="0"/>
              <w:rPr>
                <w:sz w:val="20"/>
                <w:szCs w:val="20"/>
                <w:color w:val="auto"/>
              </w:rPr>
            </w:pPr>
            <w:r>
              <w:rPr>
                <w:rFonts w:ascii="Arial" w:cs="Arial" w:eastAsia="Arial" w:hAnsi="Arial"/>
                <w:sz w:val="17"/>
                <w:szCs w:val="17"/>
                <w:color w:val="auto"/>
              </w:rPr>
              <w:t>Taxonomy Extension Label Linkbase Document</w:t>
            </w:r>
          </w:p>
        </w:tc>
      </w:tr>
      <w:tr>
        <w:trPr>
          <w:trHeight w:val="205"/>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101.pre</w:t>
            </w:r>
          </w:p>
        </w:tc>
        <w:tc>
          <w:tcPr>
            <w:tcW w:w="10460" w:type="dxa"/>
            <w:vAlign w:val="bottom"/>
            <w:gridSpan w:val="5"/>
            <w:shd w:val="clear" w:color="auto" w:fill="CCEEFF"/>
          </w:tcPr>
          <w:p>
            <w:pPr>
              <w:ind w:left="380"/>
              <w:spacing w:after="0"/>
              <w:rPr>
                <w:sz w:val="20"/>
                <w:szCs w:val="20"/>
                <w:color w:val="auto"/>
              </w:rPr>
            </w:pPr>
            <w:r>
              <w:rPr>
                <w:rFonts w:ascii="Arial" w:cs="Arial" w:eastAsia="Arial" w:hAnsi="Arial"/>
                <w:sz w:val="17"/>
                <w:szCs w:val="17"/>
                <w:color w:val="auto"/>
              </w:rPr>
              <w:t>Taxonomy Extension Presentation Linkbase Document</w:t>
            </w:r>
          </w:p>
        </w:tc>
      </w:tr>
      <w:tr>
        <w:trPr>
          <w:trHeight w:val="579"/>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180" w:type="dxa"/>
            <w:vAlign w:val="bottom"/>
            <w:gridSpan w:val="3"/>
          </w:tcPr>
          <w:p>
            <w:pPr>
              <w:jc w:val="right"/>
              <w:ind w:right="5640"/>
              <w:spacing w:after="0"/>
              <w:rPr>
                <w:sz w:val="20"/>
                <w:szCs w:val="20"/>
                <w:color w:val="auto"/>
              </w:rPr>
            </w:pPr>
            <w:r>
              <w:rPr>
                <w:rFonts w:ascii="Arial" w:cs="Arial" w:eastAsia="Arial" w:hAnsi="Arial"/>
                <w:sz w:val="14"/>
                <w:szCs w:val="14"/>
                <w:color w:val="auto"/>
              </w:rPr>
              <w:t>52</w:t>
            </w:r>
          </w:p>
        </w:tc>
      </w:tr>
      <w:tr>
        <w:trPr>
          <w:trHeight w:val="43"/>
        </w:trPr>
        <w:tc>
          <w:tcPr>
            <w:tcW w:w="9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1" w:right="239" w:bottom="1440" w:gutter="0" w:footer="0" w:header="0"/>
        </w:sectPr>
      </w:pPr>
    </w:p>
    <w:bookmarkStart w:id="52" w:name="page53"/>
    <w:bookmarkEnd w:id="52"/>
    <w:p>
      <w:pPr>
        <w:spacing w:after="0" w:line="196" w:lineRule="exact"/>
        <w:tabs>
          <w:tab w:leader="none" w:pos="7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Incorporated by reference from Registration Statement on Form S</w:t>
      </w:r>
      <w:r>
        <w:rPr>
          <w:rFonts w:ascii="MS PGothic" w:cs="MS PGothic" w:eastAsia="MS PGothic" w:hAnsi="MS PGothic"/>
          <w:sz w:val="15"/>
          <w:szCs w:val="15"/>
          <w:color w:val="auto"/>
        </w:rPr>
        <w:t>‑</w:t>
      </w:r>
      <w:r>
        <w:rPr>
          <w:rFonts w:ascii="Arial" w:cs="Arial" w:eastAsia="Arial" w:hAnsi="Arial"/>
          <w:sz w:val="15"/>
          <w:szCs w:val="15"/>
          <w:color w:val="auto"/>
        </w:rPr>
        <w:t>1, as filed on September 29, 1987</w:t>
      </w:r>
    </w:p>
    <w:p>
      <w:pPr>
        <w:spacing w:after="0" w:line="21" w:lineRule="exact"/>
        <w:rPr>
          <w:sz w:val="20"/>
          <w:szCs w:val="20"/>
          <w:color w:val="auto"/>
        </w:rPr>
      </w:pPr>
    </w:p>
    <w:p>
      <w:pPr>
        <w:ind w:left="780" w:hanging="777"/>
        <w:spacing w:after="0" w:line="252" w:lineRule="auto"/>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Schedule 14A Definitive Proxy Statement, as filed on June 5, 2003, relating to the Company's Annual Meeting of Stockholders</w:t>
      </w:r>
    </w:p>
    <w:p>
      <w:pPr>
        <w:ind w:left="780" w:hanging="777"/>
        <w:spacing w:after="0" w:line="252" w:lineRule="auto"/>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Schedule 14A Definitive Proxy Statement, as filed on June 1, 2007, relating to the Company's Annual Meeting of Stockholders</w:t>
      </w:r>
    </w:p>
    <w:p>
      <w:pPr>
        <w:ind w:left="780" w:hanging="777"/>
        <w:spacing w:after="0"/>
        <w:tabs>
          <w:tab w:leader="none" w:pos="7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Incorporated by reference from Schedule 14A Definitive Proxy Statement, as filed on June 2, 2014, related to Company's Annual Meeting of Stockholders</w:t>
      </w:r>
    </w:p>
    <w:p>
      <w:pPr>
        <w:spacing w:after="0" w:line="32" w:lineRule="exact"/>
        <w:rPr>
          <w:rFonts w:ascii="Arial" w:cs="Arial" w:eastAsia="Arial" w:hAnsi="Arial"/>
          <w:sz w:val="15"/>
          <w:szCs w:val="15"/>
          <w:color w:val="auto"/>
        </w:rPr>
      </w:pPr>
    </w:p>
    <w:p>
      <w:pPr>
        <w:ind w:left="780" w:hanging="777"/>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Report on Form 8-K, as filed on June 13, 2014</w:t>
      </w:r>
    </w:p>
    <w:p>
      <w:pPr>
        <w:spacing w:after="0" w:line="9" w:lineRule="exact"/>
        <w:rPr>
          <w:rFonts w:ascii="Arial" w:cs="Arial" w:eastAsia="Arial" w:hAnsi="Arial"/>
          <w:sz w:val="17"/>
          <w:szCs w:val="17"/>
          <w:color w:val="auto"/>
        </w:rPr>
      </w:pPr>
    </w:p>
    <w:p>
      <w:pPr>
        <w:ind w:left="780" w:hanging="777"/>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August 14, 2015</w:t>
      </w:r>
    </w:p>
    <w:p>
      <w:pPr>
        <w:spacing w:after="0" w:line="9" w:lineRule="exact"/>
        <w:rPr>
          <w:rFonts w:ascii="Arial" w:cs="Arial" w:eastAsia="Arial" w:hAnsi="Arial"/>
          <w:sz w:val="17"/>
          <w:szCs w:val="17"/>
          <w:color w:val="auto"/>
        </w:rPr>
      </w:pPr>
    </w:p>
    <w:p>
      <w:pPr>
        <w:ind w:left="780" w:hanging="777"/>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Registration Statement on Form S-8, as filed on October 20, 2015</w:t>
      </w:r>
    </w:p>
    <w:p>
      <w:pPr>
        <w:spacing w:after="0" w:line="9" w:lineRule="exact"/>
        <w:rPr>
          <w:rFonts w:ascii="Arial" w:cs="Arial" w:eastAsia="Arial" w:hAnsi="Arial"/>
          <w:sz w:val="17"/>
          <w:szCs w:val="17"/>
          <w:color w:val="auto"/>
        </w:rPr>
      </w:pPr>
    </w:p>
    <w:p>
      <w:pPr>
        <w:ind w:left="780" w:hanging="777"/>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August 15, 2016</w:t>
      </w:r>
    </w:p>
    <w:p>
      <w:pPr>
        <w:spacing w:after="0" w:line="9" w:lineRule="exact"/>
        <w:rPr>
          <w:rFonts w:ascii="Arial" w:cs="Arial" w:eastAsia="Arial" w:hAnsi="Arial"/>
          <w:sz w:val="17"/>
          <w:szCs w:val="17"/>
          <w:color w:val="auto"/>
        </w:rPr>
      </w:pPr>
    </w:p>
    <w:p>
      <w:pPr>
        <w:ind w:left="780" w:hanging="777"/>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Report on Form 10-K, as filed on March 31, 2017</w:t>
      </w:r>
    </w:p>
    <w:p>
      <w:pPr>
        <w:spacing w:after="0" w:line="9" w:lineRule="exact"/>
        <w:rPr>
          <w:rFonts w:ascii="Arial" w:cs="Arial" w:eastAsia="Arial" w:hAnsi="Arial"/>
          <w:sz w:val="17"/>
          <w:szCs w:val="17"/>
          <w:color w:val="auto"/>
        </w:rPr>
      </w:pPr>
    </w:p>
    <w:p>
      <w:pPr>
        <w:ind w:left="780" w:hanging="777"/>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Report on Form 8-K, as filed on August 4, 2017</w:t>
      </w:r>
    </w:p>
    <w:p>
      <w:pPr>
        <w:spacing w:after="0" w:line="9" w:lineRule="exact"/>
        <w:rPr>
          <w:rFonts w:ascii="Arial" w:cs="Arial" w:eastAsia="Arial" w:hAnsi="Arial"/>
          <w:sz w:val="17"/>
          <w:szCs w:val="17"/>
          <w:color w:val="auto"/>
        </w:rPr>
      </w:pPr>
    </w:p>
    <w:p>
      <w:pPr>
        <w:ind w:left="780" w:hanging="777"/>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Report on Form 10-K, as filed on April 2,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auto"/>
        </w:rPr>
        <w:t>SIGNATURES</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420" w:type="dxa"/>
            <w:vAlign w:val="bottom"/>
            <w:gridSpan w:val="3"/>
          </w:tcPr>
          <w:p>
            <w:pPr>
              <w:jc w:val="center"/>
              <w:ind w:right="5000"/>
              <w:spacing w:after="0"/>
              <w:rPr>
                <w:sz w:val="20"/>
                <w:szCs w:val="20"/>
                <w:color w:val="auto"/>
              </w:rPr>
            </w:pPr>
            <w:r>
              <w:rPr>
                <w:rFonts w:ascii="Arial" w:cs="Arial" w:eastAsia="Arial" w:hAnsi="Arial"/>
                <w:sz w:val="21"/>
                <w:szCs w:val="21"/>
                <w:b w:val="1"/>
                <w:bCs w:val="1"/>
                <w:i w:val="1"/>
                <w:iCs w:val="1"/>
                <w:color w:val="auto"/>
                <w:w w:val="95"/>
              </w:rPr>
              <w:t>REGISTRANT</w:t>
            </w:r>
          </w:p>
        </w:tc>
      </w:tr>
      <w:tr>
        <w:trPr>
          <w:trHeight w:val="426"/>
        </w:trPr>
        <w:tc>
          <w:tcPr>
            <w:tcW w:w="3740" w:type="dxa"/>
            <w:vAlign w:val="bottom"/>
          </w:tcPr>
          <w:p>
            <w:pPr>
              <w:spacing w:after="0"/>
              <w:rPr>
                <w:sz w:val="24"/>
                <w:szCs w:val="24"/>
                <w:color w:val="auto"/>
              </w:rPr>
            </w:pPr>
          </w:p>
        </w:tc>
        <w:tc>
          <w:tcPr>
            <w:tcW w:w="7680" w:type="dxa"/>
            <w:vAlign w:val="bottom"/>
            <w:gridSpan w:val="4"/>
          </w:tcPr>
          <w:p>
            <w:pPr>
              <w:jc w:val="center"/>
              <w:ind w:right="3740"/>
              <w:spacing w:after="0"/>
              <w:rPr>
                <w:sz w:val="20"/>
                <w:szCs w:val="20"/>
                <w:color w:val="auto"/>
              </w:rPr>
            </w:pPr>
            <w:r>
              <w:rPr>
                <w:rFonts w:ascii="Arial" w:cs="Arial" w:eastAsia="Arial" w:hAnsi="Arial"/>
                <w:sz w:val="17"/>
                <w:szCs w:val="17"/>
                <w:color w:val="auto"/>
                <w:w w:val="98"/>
              </w:rPr>
              <w:t>SECURITY NATIONAL FINANCIAL CORPORATION</w:t>
            </w:r>
          </w:p>
        </w:tc>
      </w:tr>
      <w:tr>
        <w:trPr>
          <w:trHeight w:val="223"/>
        </w:trPr>
        <w:tc>
          <w:tcPr>
            <w:tcW w:w="374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2"/>
          </w:tcPr>
          <w:p>
            <w:pPr>
              <w:jc w:val="center"/>
              <w:ind w:right="1260"/>
              <w:spacing w:after="0"/>
              <w:rPr>
                <w:sz w:val="20"/>
                <w:szCs w:val="20"/>
                <w:color w:val="auto"/>
              </w:rPr>
            </w:pPr>
            <w:r>
              <w:rPr>
                <w:rFonts w:ascii="Arial" w:cs="Arial" w:eastAsia="Arial" w:hAnsi="Arial"/>
                <w:sz w:val="17"/>
                <w:szCs w:val="17"/>
                <w:color w:val="auto"/>
                <w:w w:val="90"/>
              </w:rPr>
              <w:t>Registrant</w:t>
            </w:r>
          </w:p>
        </w:tc>
        <w:tc>
          <w:tcPr>
            <w:tcW w:w="3740" w:type="dxa"/>
            <w:vAlign w:val="bottom"/>
          </w:tcPr>
          <w:p>
            <w:pPr>
              <w:spacing w:after="0"/>
              <w:rPr>
                <w:sz w:val="19"/>
                <w:szCs w:val="19"/>
                <w:color w:val="auto"/>
              </w:rPr>
            </w:pPr>
          </w:p>
        </w:tc>
      </w:tr>
      <w:tr>
        <w:trPr>
          <w:trHeight w:val="682"/>
        </w:trPr>
        <w:tc>
          <w:tcPr>
            <w:tcW w:w="3740" w:type="dxa"/>
            <w:vAlign w:val="bottom"/>
          </w:tcPr>
          <w:p>
            <w:pPr>
              <w:ind w:left="2080"/>
              <w:spacing w:after="0"/>
              <w:rPr>
                <w:sz w:val="20"/>
                <w:szCs w:val="20"/>
                <w:color w:val="auto"/>
              </w:rPr>
            </w:pPr>
            <w:r>
              <w:rPr>
                <w:rFonts w:ascii="Arial" w:cs="Arial" w:eastAsia="Arial" w:hAnsi="Arial"/>
                <w:sz w:val="17"/>
                <w:szCs w:val="17"/>
                <w:color w:val="auto"/>
              </w:rPr>
              <w:t>Dated: May 15, 2018</w:t>
            </w:r>
          </w:p>
        </w:tc>
        <w:tc>
          <w:tcPr>
            <w:tcW w:w="1260" w:type="dxa"/>
            <w:vAlign w:val="bottom"/>
          </w:tcPr>
          <w:p>
            <w:pPr>
              <w:spacing w:after="0"/>
              <w:rPr>
                <w:sz w:val="24"/>
                <w:szCs w:val="24"/>
                <w:color w:val="auto"/>
              </w:rPr>
            </w:pPr>
          </w:p>
        </w:tc>
        <w:tc>
          <w:tcPr>
            <w:tcW w:w="6420" w:type="dxa"/>
            <w:vAlign w:val="bottom"/>
            <w:gridSpan w:val="3"/>
          </w:tcPr>
          <w:p>
            <w:pPr>
              <w:spacing w:after="0"/>
              <w:rPr>
                <w:sz w:val="20"/>
                <w:szCs w:val="20"/>
                <w:color w:val="auto"/>
              </w:rPr>
            </w:pPr>
            <w:r>
              <w:rPr>
                <w:rFonts w:ascii="Arial" w:cs="Arial" w:eastAsia="Arial" w:hAnsi="Arial"/>
                <w:sz w:val="17"/>
                <w:szCs w:val="17"/>
                <w:color w:val="auto"/>
              </w:rPr>
              <w:t>/s/ Scott M. Quist</w:t>
            </w:r>
          </w:p>
        </w:tc>
      </w:tr>
      <w:tr>
        <w:trPr>
          <w:trHeight w:val="211"/>
        </w:trPr>
        <w:tc>
          <w:tcPr>
            <w:tcW w:w="3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Scott M. Quist</w:t>
            </w:r>
          </w:p>
        </w:tc>
        <w:tc>
          <w:tcPr>
            <w:tcW w:w="5220" w:type="dxa"/>
            <w:vAlign w:val="bottom"/>
            <w:gridSpan w:val="2"/>
          </w:tcPr>
          <w:p>
            <w:pPr>
              <w:spacing w:after="0"/>
              <w:rPr>
                <w:sz w:val="18"/>
                <w:szCs w:val="18"/>
                <w:color w:val="auto"/>
              </w:rPr>
            </w:pPr>
          </w:p>
        </w:tc>
      </w:tr>
      <w:tr>
        <w:trPr>
          <w:trHeight w:val="205"/>
        </w:trPr>
        <w:tc>
          <w:tcPr>
            <w:tcW w:w="3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20" w:type="dxa"/>
            <w:vAlign w:val="bottom"/>
            <w:gridSpan w:val="3"/>
          </w:tcPr>
          <w:p>
            <w:pPr>
              <w:spacing w:after="0"/>
              <w:rPr>
                <w:sz w:val="20"/>
                <w:szCs w:val="20"/>
                <w:color w:val="auto"/>
              </w:rPr>
            </w:pPr>
            <w:r>
              <w:rPr>
                <w:rFonts w:ascii="Arial" w:cs="Arial" w:eastAsia="Arial" w:hAnsi="Arial"/>
                <w:sz w:val="17"/>
                <w:szCs w:val="17"/>
                <w:color w:val="auto"/>
              </w:rPr>
              <w:t>Chairman, President and Chief Executive Officer</w:t>
            </w:r>
          </w:p>
        </w:tc>
      </w:tr>
      <w:tr>
        <w:trPr>
          <w:trHeight w:val="216"/>
        </w:trPr>
        <w:tc>
          <w:tcPr>
            <w:tcW w:w="3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7"/>
                <w:szCs w:val="17"/>
                <w:color w:val="auto"/>
              </w:rPr>
              <w:t>(Principal Executive Officer)</w:t>
            </w:r>
          </w:p>
        </w:tc>
      </w:tr>
      <w:tr>
        <w:trPr>
          <w:trHeight w:val="656"/>
        </w:trPr>
        <w:tc>
          <w:tcPr>
            <w:tcW w:w="3740" w:type="dxa"/>
            <w:vAlign w:val="bottom"/>
          </w:tcPr>
          <w:p>
            <w:pPr>
              <w:ind w:left="2080"/>
              <w:spacing w:after="0"/>
              <w:rPr>
                <w:sz w:val="20"/>
                <w:szCs w:val="20"/>
                <w:color w:val="auto"/>
              </w:rPr>
            </w:pPr>
            <w:r>
              <w:rPr>
                <w:rFonts w:ascii="Arial" w:cs="Arial" w:eastAsia="Arial" w:hAnsi="Arial"/>
                <w:sz w:val="17"/>
                <w:szCs w:val="17"/>
                <w:color w:val="auto"/>
              </w:rPr>
              <w:t>Dated: May 15, 2018</w:t>
            </w:r>
          </w:p>
        </w:tc>
        <w:tc>
          <w:tcPr>
            <w:tcW w:w="1260" w:type="dxa"/>
            <w:vAlign w:val="bottom"/>
          </w:tcPr>
          <w:p>
            <w:pPr>
              <w:spacing w:after="0"/>
              <w:rPr>
                <w:sz w:val="24"/>
                <w:szCs w:val="24"/>
                <w:color w:val="auto"/>
              </w:rPr>
            </w:pPr>
          </w:p>
        </w:tc>
        <w:tc>
          <w:tcPr>
            <w:tcW w:w="6420" w:type="dxa"/>
            <w:vAlign w:val="bottom"/>
            <w:gridSpan w:val="3"/>
          </w:tcPr>
          <w:p>
            <w:pPr>
              <w:spacing w:after="0"/>
              <w:rPr>
                <w:sz w:val="20"/>
                <w:szCs w:val="20"/>
                <w:color w:val="auto"/>
              </w:rPr>
            </w:pPr>
            <w:r>
              <w:rPr>
                <w:rFonts w:ascii="Arial" w:cs="Arial" w:eastAsia="Arial" w:hAnsi="Arial"/>
                <w:sz w:val="17"/>
                <w:szCs w:val="17"/>
                <w:color w:val="auto"/>
              </w:rPr>
              <w:t>/s/ Garrett S. Sill</w:t>
            </w:r>
          </w:p>
        </w:tc>
      </w:tr>
      <w:tr>
        <w:trPr>
          <w:trHeight w:val="205"/>
        </w:trPr>
        <w:tc>
          <w:tcPr>
            <w:tcW w:w="3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20" w:type="dxa"/>
            <w:vAlign w:val="bottom"/>
            <w:gridSpan w:val="3"/>
          </w:tcPr>
          <w:p>
            <w:pPr>
              <w:spacing w:after="0"/>
              <w:rPr>
                <w:sz w:val="20"/>
                <w:szCs w:val="20"/>
                <w:color w:val="auto"/>
              </w:rPr>
            </w:pPr>
            <w:r>
              <w:rPr>
                <w:rFonts w:ascii="Arial" w:cs="Arial" w:eastAsia="Arial" w:hAnsi="Arial"/>
                <w:sz w:val="17"/>
                <w:szCs w:val="17"/>
                <w:color w:val="auto"/>
              </w:rPr>
              <w:t>Garrett S. Sill</w:t>
            </w:r>
          </w:p>
        </w:tc>
      </w:tr>
      <w:tr>
        <w:trPr>
          <w:trHeight w:val="205"/>
        </w:trPr>
        <w:tc>
          <w:tcPr>
            <w:tcW w:w="3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20" w:type="dxa"/>
            <w:vAlign w:val="bottom"/>
            <w:gridSpan w:val="3"/>
          </w:tcPr>
          <w:p>
            <w:pPr>
              <w:spacing w:after="0"/>
              <w:rPr>
                <w:sz w:val="20"/>
                <w:szCs w:val="20"/>
                <w:color w:val="auto"/>
              </w:rPr>
            </w:pPr>
            <w:r>
              <w:rPr>
                <w:rFonts w:ascii="Arial" w:cs="Arial" w:eastAsia="Arial" w:hAnsi="Arial"/>
                <w:sz w:val="17"/>
                <w:szCs w:val="17"/>
                <w:color w:val="auto"/>
              </w:rPr>
              <w:t>Chief Financial Officer and Treasurer</w:t>
            </w:r>
          </w:p>
        </w:tc>
      </w:tr>
      <w:tr>
        <w:trPr>
          <w:trHeight w:val="216"/>
        </w:trPr>
        <w:tc>
          <w:tcPr>
            <w:tcW w:w="3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7"/>
                <w:szCs w:val="17"/>
                <w:color w:val="auto"/>
              </w:rPr>
              <w:t>(Principal Financial Officer and Principal Accounting Officer)</w:t>
            </w:r>
          </w:p>
        </w:tc>
      </w:tr>
      <w:tr>
        <w:trPr>
          <w:trHeight w:val="940"/>
        </w:trPr>
        <w:tc>
          <w:tcPr>
            <w:tcW w:w="3740" w:type="dxa"/>
            <w:vAlign w:val="bottom"/>
          </w:tcPr>
          <w:p>
            <w:pPr>
              <w:spacing w:after="0"/>
              <w:rPr>
                <w:sz w:val="24"/>
                <w:szCs w:val="24"/>
                <w:color w:val="auto"/>
              </w:rPr>
            </w:pPr>
          </w:p>
        </w:tc>
        <w:tc>
          <w:tcPr>
            <w:tcW w:w="2460" w:type="dxa"/>
            <w:vAlign w:val="bottom"/>
            <w:gridSpan w:val="2"/>
          </w:tcPr>
          <w:p>
            <w:pPr>
              <w:jc w:val="center"/>
              <w:ind w:left="1403"/>
              <w:spacing w:after="0"/>
              <w:rPr>
                <w:sz w:val="20"/>
                <w:szCs w:val="20"/>
                <w:color w:val="auto"/>
              </w:rPr>
            </w:pPr>
            <w:r>
              <w:rPr>
                <w:rFonts w:ascii="Arial" w:cs="Arial" w:eastAsia="Arial" w:hAnsi="Arial"/>
                <w:sz w:val="14"/>
                <w:szCs w:val="14"/>
                <w:color w:val="auto"/>
                <w:w w:val="89"/>
              </w:rPr>
              <w:t>54</w:t>
            </w:r>
          </w:p>
        </w:tc>
        <w:tc>
          <w:tcPr>
            <w:tcW w:w="14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07"/>
        </w:trPr>
        <w:tc>
          <w:tcPr>
            <w:tcW w:w="37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63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360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253605" cy="32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189230</wp:posOffset>
            </wp:positionV>
            <wp:extent cx="72536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REQUIRED BY SECTION 302 OF THE SARBANES-OXLEY ACT OF 2002</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I, Scott M. Quist, certify that:</w:t>
      </w:r>
    </w:p>
    <w:p>
      <w:pPr>
        <w:spacing w:after="0" w:line="267" w:lineRule="exact"/>
        <w:rPr>
          <w:sz w:val="20"/>
          <w:szCs w:val="20"/>
          <w:color w:val="auto"/>
        </w:rPr>
      </w:pPr>
    </w:p>
    <w:p>
      <w:pPr>
        <w:ind w:left="180" w:hanging="177"/>
        <w:spacing w:after="0"/>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report on Form 10-Q of Security National Financial Corporation;</w:t>
      </w:r>
    </w:p>
    <w:p>
      <w:pPr>
        <w:spacing w:after="0" w:line="266" w:lineRule="exact"/>
        <w:rPr>
          <w:rFonts w:ascii="Arial" w:cs="Arial" w:eastAsia="Arial" w:hAnsi="Arial"/>
          <w:sz w:val="17"/>
          <w:szCs w:val="17"/>
          <w:color w:val="auto"/>
        </w:rPr>
      </w:pPr>
    </w:p>
    <w:p>
      <w:pPr>
        <w:ind w:firstLine="3"/>
        <w:spacing w:after="0" w:line="310" w:lineRule="auto"/>
        <w:tabs>
          <w:tab w:leader="none" w:pos="174"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16"/>
          <w:szCs w:val="16"/>
          <w:color w:val="auto"/>
        </w:rPr>
      </w:pPr>
    </w:p>
    <w:p>
      <w:pPr>
        <w:ind w:firstLine="3"/>
        <w:spacing w:after="0" w:line="277" w:lineRule="auto"/>
        <w:tabs>
          <w:tab w:leader="none" w:pos="198"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6" w:lineRule="exact"/>
        <w:rPr>
          <w:rFonts w:ascii="Arial" w:cs="Arial" w:eastAsia="Arial" w:hAnsi="Arial"/>
          <w:sz w:val="17"/>
          <w:szCs w:val="17"/>
          <w:color w:val="auto"/>
        </w:rPr>
      </w:pPr>
    </w:p>
    <w:p>
      <w:pPr>
        <w:ind w:firstLine="3"/>
        <w:spacing w:after="0" w:line="346" w:lineRule="auto"/>
        <w:tabs>
          <w:tab w:leader="none" w:pos="185"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5"/>
          <w:szCs w:val="15"/>
          <w:color w:val="auto"/>
        </w:rPr>
      </w:pPr>
    </w:p>
    <w:p>
      <w:pPr>
        <w:jc w:val="both"/>
        <w:ind w:firstLine="413"/>
        <w:spacing w:after="0" w:line="264" w:lineRule="auto"/>
        <w:tabs>
          <w:tab w:leader="none" w:pos="1037" w:val="left"/>
        </w:tabs>
        <w:numPr>
          <w:ilvl w:val="2"/>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227" w:lineRule="exact"/>
        <w:rPr>
          <w:rFonts w:ascii="Arial" w:cs="Arial" w:eastAsia="Arial" w:hAnsi="Arial"/>
          <w:sz w:val="17"/>
          <w:szCs w:val="17"/>
          <w:color w:val="auto"/>
        </w:rPr>
      </w:pPr>
    </w:p>
    <w:p>
      <w:pPr>
        <w:jc w:val="both"/>
        <w:ind w:firstLine="413"/>
        <w:spacing w:after="0" w:line="264" w:lineRule="auto"/>
        <w:tabs>
          <w:tab w:leader="none" w:pos="1046" w:val="left"/>
        </w:tabs>
        <w:numPr>
          <w:ilvl w:val="2"/>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7" w:lineRule="exact"/>
        <w:rPr>
          <w:rFonts w:ascii="Arial" w:cs="Arial" w:eastAsia="Arial" w:hAnsi="Arial"/>
          <w:sz w:val="17"/>
          <w:szCs w:val="17"/>
          <w:color w:val="auto"/>
        </w:rPr>
      </w:pPr>
    </w:p>
    <w:p>
      <w:pPr>
        <w:ind w:firstLine="413"/>
        <w:spacing w:after="0" w:line="277" w:lineRule="auto"/>
        <w:tabs>
          <w:tab w:leader="none" w:pos="1037" w:val="left"/>
        </w:tabs>
        <w:numPr>
          <w:ilvl w:val="2"/>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6" w:lineRule="exact"/>
        <w:rPr>
          <w:rFonts w:ascii="Arial" w:cs="Arial" w:eastAsia="Arial" w:hAnsi="Arial"/>
          <w:sz w:val="17"/>
          <w:szCs w:val="17"/>
          <w:color w:val="auto"/>
        </w:rPr>
      </w:pPr>
    </w:p>
    <w:p>
      <w:pPr>
        <w:jc w:val="both"/>
        <w:ind w:firstLine="413"/>
        <w:spacing w:after="0" w:line="264" w:lineRule="auto"/>
        <w:tabs>
          <w:tab w:leader="none" w:pos="1046" w:val="left"/>
        </w:tabs>
        <w:numPr>
          <w:ilvl w:val="2"/>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7" w:lineRule="exact"/>
        <w:rPr>
          <w:rFonts w:ascii="Arial" w:cs="Arial" w:eastAsia="Arial" w:hAnsi="Arial"/>
          <w:sz w:val="17"/>
          <w:szCs w:val="17"/>
          <w:color w:val="auto"/>
        </w:rPr>
      </w:pPr>
    </w:p>
    <w:p>
      <w:pPr>
        <w:ind w:firstLine="3"/>
        <w:spacing w:after="0" w:line="277" w:lineRule="auto"/>
        <w:tabs>
          <w:tab w:leader="none" w:pos="181"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6" w:lineRule="exact"/>
        <w:rPr>
          <w:rFonts w:ascii="Arial" w:cs="Arial" w:eastAsia="Arial" w:hAnsi="Arial"/>
          <w:sz w:val="17"/>
          <w:szCs w:val="17"/>
          <w:color w:val="auto"/>
        </w:rPr>
      </w:pPr>
    </w:p>
    <w:p>
      <w:pPr>
        <w:ind w:firstLine="388"/>
        <w:spacing w:after="0" w:line="277" w:lineRule="auto"/>
        <w:tabs>
          <w:tab w:leader="none" w:pos="1037"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6" w:lineRule="exact"/>
        <w:rPr>
          <w:rFonts w:ascii="Arial" w:cs="Arial" w:eastAsia="Arial" w:hAnsi="Arial"/>
          <w:sz w:val="17"/>
          <w:szCs w:val="17"/>
          <w:color w:val="auto"/>
        </w:rPr>
      </w:pPr>
    </w:p>
    <w:p>
      <w:pPr>
        <w:ind w:firstLine="388"/>
        <w:spacing w:after="0" w:line="277" w:lineRule="auto"/>
        <w:tabs>
          <w:tab w:leader="none" w:pos="1096"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ind w:left="2080"/>
              <w:spacing w:after="0"/>
              <w:rPr>
                <w:sz w:val="20"/>
                <w:szCs w:val="20"/>
                <w:color w:val="auto"/>
              </w:rPr>
            </w:pPr>
            <w:r>
              <w:rPr>
                <w:rFonts w:ascii="Arial" w:cs="Arial" w:eastAsia="Arial" w:hAnsi="Arial"/>
                <w:sz w:val="17"/>
                <w:szCs w:val="17"/>
                <w:color w:val="auto"/>
              </w:rPr>
              <w:t>Dated: May 15, 2018</w:t>
            </w:r>
          </w:p>
        </w:tc>
        <w:tc>
          <w:tcPr>
            <w:tcW w:w="6420" w:type="dxa"/>
            <w:vAlign w:val="bottom"/>
            <w:gridSpan w:val="2"/>
          </w:tcPr>
          <w:p>
            <w:pPr>
              <w:spacing w:after="0"/>
              <w:rPr>
                <w:sz w:val="20"/>
                <w:szCs w:val="20"/>
                <w:color w:val="auto"/>
              </w:rPr>
            </w:pPr>
            <w:r>
              <w:rPr>
                <w:rFonts w:ascii="Arial" w:cs="Arial" w:eastAsia="Arial" w:hAnsi="Arial"/>
                <w:sz w:val="17"/>
                <w:szCs w:val="17"/>
                <w:color w:val="auto"/>
              </w:rPr>
              <w:t>/s/ Scott M. Quist</w:t>
            </w:r>
          </w:p>
        </w:tc>
      </w:tr>
      <w:tr>
        <w:trPr>
          <w:trHeight w:val="211"/>
        </w:trPr>
        <w:tc>
          <w:tcPr>
            <w:tcW w:w="5000" w:type="dxa"/>
            <w:vAlign w:val="bottom"/>
          </w:tcPr>
          <w:p>
            <w:pPr>
              <w:spacing w:after="0"/>
              <w:rPr>
                <w:sz w:val="18"/>
                <w:szCs w:val="18"/>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Scott M. Quist</w:t>
            </w:r>
          </w:p>
        </w:tc>
        <w:tc>
          <w:tcPr>
            <w:tcW w:w="5220" w:type="dxa"/>
            <w:vAlign w:val="bottom"/>
          </w:tcPr>
          <w:p>
            <w:pPr>
              <w:spacing w:after="0"/>
              <w:rPr>
                <w:sz w:val="18"/>
                <w:szCs w:val="18"/>
                <w:color w:val="auto"/>
              </w:rPr>
            </w:pPr>
          </w:p>
        </w:tc>
      </w:tr>
      <w:tr>
        <w:trPr>
          <w:trHeight w:val="205"/>
        </w:trPr>
        <w:tc>
          <w:tcPr>
            <w:tcW w:w="500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Chairman, President and Chief Executive Officer</w:t>
            </w:r>
          </w:p>
        </w:tc>
      </w:tr>
      <w:tr>
        <w:trPr>
          <w:trHeight w:val="216"/>
        </w:trPr>
        <w:tc>
          <w:tcPr>
            <w:tcW w:w="500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r>
      <w:tr>
        <w:trPr>
          <w:trHeight w:val="803"/>
        </w:trPr>
        <w:tc>
          <w:tcPr>
            <w:tcW w:w="5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360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253605" cy="32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189230</wp:posOffset>
            </wp:positionV>
            <wp:extent cx="72536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REQUIRED BY SECTION 302 OF THE SARBANES-OXLEY ACT OF 2002</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I, Garrett S. Sill, certify that:</w:t>
      </w:r>
    </w:p>
    <w:p>
      <w:pPr>
        <w:spacing w:after="0" w:line="267" w:lineRule="exact"/>
        <w:rPr>
          <w:sz w:val="20"/>
          <w:szCs w:val="20"/>
          <w:color w:val="auto"/>
        </w:rPr>
      </w:pPr>
    </w:p>
    <w:p>
      <w:pPr>
        <w:ind w:left="180" w:hanging="177"/>
        <w:spacing w:after="0"/>
        <w:tabs>
          <w:tab w:leader="none" w:pos="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have reviewed this report on Form 10-Q of Security National Financial Corporation;</w:t>
      </w:r>
    </w:p>
    <w:p>
      <w:pPr>
        <w:spacing w:after="0" w:line="266" w:lineRule="exact"/>
        <w:rPr>
          <w:rFonts w:ascii="Arial" w:cs="Arial" w:eastAsia="Arial" w:hAnsi="Arial"/>
          <w:sz w:val="17"/>
          <w:szCs w:val="17"/>
          <w:color w:val="auto"/>
        </w:rPr>
      </w:pPr>
    </w:p>
    <w:p>
      <w:pPr>
        <w:ind w:firstLine="3"/>
        <w:spacing w:after="0" w:line="310" w:lineRule="auto"/>
        <w:tabs>
          <w:tab w:leader="none" w:pos="174"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16"/>
          <w:szCs w:val="16"/>
          <w:color w:val="auto"/>
        </w:rPr>
      </w:pPr>
    </w:p>
    <w:p>
      <w:pPr>
        <w:ind w:firstLine="3"/>
        <w:spacing w:after="0" w:line="277" w:lineRule="auto"/>
        <w:tabs>
          <w:tab w:leader="none" w:pos="198"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6" w:lineRule="exact"/>
        <w:rPr>
          <w:rFonts w:ascii="Arial" w:cs="Arial" w:eastAsia="Arial" w:hAnsi="Arial"/>
          <w:sz w:val="17"/>
          <w:szCs w:val="17"/>
          <w:color w:val="auto"/>
        </w:rPr>
      </w:pPr>
    </w:p>
    <w:p>
      <w:pPr>
        <w:ind w:firstLine="3"/>
        <w:spacing w:after="0" w:line="346" w:lineRule="auto"/>
        <w:tabs>
          <w:tab w:leader="none" w:pos="185"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5"/>
          <w:szCs w:val="15"/>
          <w:color w:val="auto"/>
        </w:rPr>
      </w:pPr>
    </w:p>
    <w:p>
      <w:pPr>
        <w:jc w:val="both"/>
        <w:ind w:firstLine="413"/>
        <w:spacing w:after="0" w:line="264" w:lineRule="auto"/>
        <w:tabs>
          <w:tab w:leader="none" w:pos="1037" w:val="left"/>
        </w:tabs>
        <w:numPr>
          <w:ilvl w:val="2"/>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227" w:lineRule="exact"/>
        <w:rPr>
          <w:rFonts w:ascii="Arial" w:cs="Arial" w:eastAsia="Arial" w:hAnsi="Arial"/>
          <w:sz w:val="17"/>
          <w:szCs w:val="17"/>
          <w:color w:val="auto"/>
        </w:rPr>
      </w:pPr>
    </w:p>
    <w:p>
      <w:pPr>
        <w:jc w:val="both"/>
        <w:ind w:firstLine="413"/>
        <w:spacing w:after="0" w:line="264" w:lineRule="auto"/>
        <w:tabs>
          <w:tab w:leader="none" w:pos="1046" w:val="left"/>
        </w:tabs>
        <w:numPr>
          <w:ilvl w:val="2"/>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7" w:lineRule="exact"/>
        <w:rPr>
          <w:rFonts w:ascii="Arial" w:cs="Arial" w:eastAsia="Arial" w:hAnsi="Arial"/>
          <w:sz w:val="17"/>
          <w:szCs w:val="17"/>
          <w:color w:val="auto"/>
        </w:rPr>
      </w:pPr>
    </w:p>
    <w:p>
      <w:pPr>
        <w:ind w:firstLine="413"/>
        <w:spacing w:after="0" w:line="277" w:lineRule="auto"/>
        <w:tabs>
          <w:tab w:leader="none" w:pos="1037" w:val="left"/>
        </w:tabs>
        <w:numPr>
          <w:ilvl w:val="2"/>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6" w:lineRule="exact"/>
        <w:rPr>
          <w:rFonts w:ascii="Arial" w:cs="Arial" w:eastAsia="Arial" w:hAnsi="Arial"/>
          <w:sz w:val="17"/>
          <w:szCs w:val="17"/>
          <w:color w:val="auto"/>
        </w:rPr>
      </w:pPr>
    </w:p>
    <w:p>
      <w:pPr>
        <w:jc w:val="both"/>
        <w:ind w:firstLine="413"/>
        <w:spacing w:after="0" w:line="264" w:lineRule="auto"/>
        <w:tabs>
          <w:tab w:leader="none" w:pos="1046" w:val="left"/>
        </w:tabs>
        <w:numPr>
          <w:ilvl w:val="2"/>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7" w:lineRule="exact"/>
        <w:rPr>
          <w:rFonts w:ascii="Arial" w:cs="Arial" w:eastAsia="Arial" w:hAnsi="Arial"/>
          <w:sz w:val="17"/>
          <w:szCs w:val="17"/>
          <w:color w:val="auto"/>
        </w:rPr>
      </w:pPr>
    </w:p>
    <w:p>
      <w:pPr>
        <w:ind w:firstLine="3"/>
        <w:spacing w:after="0" w:line="277" w:lineRule="auto"/>
        <w:tabs>
          <w:tab w:leader="none" w:pos="18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6" w:lineRule="exact"/>
        <w:rPr>
          <w:rFonts w:ascii="Arial" w:cs="Arial" w:eastAsia="Arial" w:hAnsi="Arial"/>
          <w:sz w:val="17"/>
          <w:szCs w:val="17"/>
          <w:color w:val="auto"/>
        </w:rPr>
      </w:pPr>
    </w:p>
    <w:p>
      <w:pPr>
        <w:ind w:firstLine="388"/>
        <w:spacing w:after="0" w:line="277" w:lineRule="auto"/>
        <w:tabs>
          <w:tab w:leader="none" w:pos="1037"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6" w:lineRule="exact"/>
        <w:rPr>
          <w:rFonts w:ascii="Arial" w:cs="Arial" w:eastAsia="Arial" w:hAnsi="Arial"/>
          <w:sz w:val="17"/>
          <w:szCs w:val="17"/>
          <w:color w:val="auto"/>
        </w:rPr>
      </w:pPr>
    </w:p>
    <w:p>
      <w:pPr>
        <w:ind w:firstLine="388"/>
        <w:spacing w:after="0" w:line="277" w:lineRule="auto"/>
        <w:tabs>
          <w:tab w:leader="none" w:pos="1096"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60" w:type="dxa"/>
            <w:vAlign w:val="bottom"/>
          </w:tcPr>
          <w:p>
            <w:pPr>
              <w:ind w:left="2080"/>
              <w:spacing w:after="0"/>
              <w:rPr>
                <w:sz w:val="20"/>
                <w:szCs w:val="20"/>
                <w:color w:val="auto"/>
              </w:rPr>
            </w:pPr>
            <w:r>
              <w:rPr>
                <w:rFonts w:ascii="Arial" w:cs="Arial" w:eastAsia="Arial" w:hAnsi="Arial"/>
                <w:sz w:val="17"/>
                <w:szCs w:val="17"/>
                <w:color w:val="auto"/>
              </w:rPr>
              <w:t>Dated: May 15, 2018</w:t>
            </w:r>
          </w:p>
        </w:tc>
        <w:tc>
          <w:tcPr>
            <w:tcW w:w="740" w:type="dxa"/>
            <w:vAlign w:val="bottom"/>
          </w:tcPr>
          <w:p>
            <w:pPr>
              <w:spacing w:after="0"/>
              <w:rPr>
                <w:sz w:val="16"/>
                <w:szCs w:val="16"/>
                <w:color w:val="auto"/>
              </w:rPr>
            </w:pPr>
          </w:p>
        </w:tc>
        <w:tc>
          <w:tcPr>
            <w:tcW w:w="6420" w:type="dxa"/>
            <w:vAlign w:val="bottom"/>
            <w:gridSpan w:val="2"/>
          </w:tcPr>
          <w:p>
            <w:pPr>
              <w:ind w:left="40"/>
              <w:spacing w:after="0"/>
              <w:rPr>
                <w:sz w:val="20"/>
                <w:szCs w:val="20"/>
                <w:color w:val="auto"/>
              </w:rPr>
            </w:pPr>
            <w:r>
              <w:rPr>
                <w:rFonts w:ascii="Arial" w:cs="Arial" w:eastAsia="Arial" w:hAnsi="Arial"/>
                <w:sz w:val="17"/>
                <w:szCs w:val="17"/>
                <w:color w:val="auto"/>
              </w:rPr>
              <w:t>/s/ Garrett S. Sill</w:t>
            </w:r>
          </w:p>
        </w:tc>
      </w:tr>
      <w:tr>
        <w:trPr>
          <w:trHeight w:val="211"/>
        </w:trPr>
        <w:tc>
          <w:tcPr>
            <w:tcW w:w="4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Garrett S. Sill</w:t>
            </w:r>
          </w:p>
        </w:tc>
        <w:tc>
          <w:tcPr>
            <w:tcW w:w="5240" w:type="dxa"/>
            <w:vAlign w:val="bottom"/>
          </w:tcPr>
          <w:p>
            <w:pPr>
              <w:spacing w:after="0"/>
              <w:rPr>
                <w:sz w:val="18"/>
                <w:szCs w:val="18"/>
                <w:color w:val="auto"/>
              </w:rPr>
            </w:pPr>
          </w:p>
        </w:tc>
      </w:tr>
      <w:tr>
        <w:trPr>
          <w:trHeight w:val="205"/>
        </w:trPr>
        <w:tc>
          <w:tcPr>
            <w:tcW w:w="4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20" w:type="dxa"/>
            <w:vAlign w:val="bottom"/>
            <w:gridSpan w:val="2"/>
          </w:tcPr>
          <w:p>
            <w:pPr>
              <w:ind w:left="40"/>
              <w:spacing w:after="0"/>
              <w:rPr>
                <w:sz w:val="20"/>
                <w:szCs w:val="20"/>
                <w:color w:val="auto"/>
              </w:rPr>
            </w:pPr>
            <w:r>
              <w:rPr>
                <w:rFonts w:ascii="Arial" w:cs="Arial" w:eastAsia="Arial" w:hAnsi="Arial"/>
                <w:sz w:val="17"/>
                <w:szCs w:val="17"/>
                <w:color w:val="auto"/>
              </w:rPr>
              <w:t>Chief Financial Officer and Treasurer</w:t>
            </w:r>
          </w:p>
        </w:tc>
      </w:tr>
      <w:tr>
        <w:trPr>
          <w:trHeight w:val="216"/>
        </w:trPr>
        <w:tc>
          <w:tcPr>
            <w:tcW w:w="4260" w:type="dxa"/>
            <w:vAlign w:val="bottom"/>
          </w:tcPr>
          <w:p>
            <w:pPr>
              <w:spacing w:after="0"/>
              <w:rPr>
                <w:sz w:val="18"/>
                <w:szCs w:val="18"/>
                <w:color w:val="auto"/>
              </w:rPr>
            </w:pPr>
          </w:p>
        </w:tc>
        <w:tc>
          <w:tcPr>
            <w:tcW w:w="7160" w:type="dxa"/>
            <w:vAlign w:val="bottom"/>
            <w:gridSpan w:val="3"/>
          </w:tcPr>
          <w:p>
            <w:pPr>
              <w:ind w:left="740"/>
              <w:spacing w:after="0"/>
              <w:rPr>
                <w:sz w:val="20"/>
                <w:szCs w:val="20"/>
                <w:color w:val="auto"/>
              </w:rPr>
            </w:pPr>
            <w:r>
              <w:rPr>
                <w:rFonts w:ascii="Arial" w:cs="Arial" w:eastAsia="Arial" w:hAnsi="Arial"/>
                <w:sz w:val="17"/>
                <w:szCs w:val="17"/>
                <w:color w:val="auto"/>
              </w:rPr>
              <w:t>(Principal Financial Officer and Principal Accounting Officer)</w:t>
            </w:r>
          </w:p>
        </w:tc>
      </w:tr>
      <w:tr>
        <w:trPr>
          <w:trHeight w:val="713"/>
        </w:trPr>
        <w:tc>
          <w:tcPr>
            <w:tcW w:w="4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360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253605" cy="32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189230</wp:posOffset>
            </wp:positionV>
            <wp:extent cx="72536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REQUIRED BY SECTION 906 OF THE SARBANES-OXLEY ACT OF 2002</w:t>
      </w:r>
    </w:p>
    <w:p>
      <w:pPr>
        <w:spacing w:after="0" w:line="25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connection with the Quarterly Report of Security National Financial Corporation (the "Company") on Form 10-Q for the period ending March 31, 2018,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231" w:lineRule="exact"/>
        <w:rPr>
          <w:sz w:val="20"/>
          <w:szCs w:val="20"/>
          <w:color w:val="auto"/>
        </w:rPr>
      </w:pPr>
    </w:p>
    <w:p>
      <w:pPr>
        <w:ind w:left="1280" w:hanging="661"/>
        <w:spacing w:after="0"/>
        <w:tabs>
          <w:tab w:leader="none" w:pos="12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6" w:lineRule="exact"/>
        <w:rPr>
          <w:rFonts w:ascii="Arial" w:cs="Arial" w:eastAsia="Arial" w:hAnsi="Arial"/>
          <w:sz w:val="17"/>
          <w:szCs w:val="17"/>
          <w:color w:val="auto"/>
        </w:rPr>
      </w:pPr>
    </w:p>
    <w:p>
      <w:pPr>
        <w:ind w:left="1280" w:hanging="661"/>
        <w:spacing w:after="0"/>
        <w:tabs>
          <w:tab w:leader="none" w:pos="12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ind w:left="1280"/>
              <w:spacing w:after="0"/>
              <w:rPr>
                <w:sz w:val="20"/>
                <w:szCs w:val="20"/>
                <w:color w:val="auto"/>
              </w:rPr>
            </w:pPr>
            <w:r>
              <w:rPr>
                <w:rFonts w:ascii="Arial" w:cs="Arial" w:eastAsia="Arial" w:hAnsi="Arial"/>
                <w:sz w:val="17"/>
                <w:szCs w:val="17"/>
                <w:color w:val="auto"/>
              </w:rPr>
              <w:t>Dated: May 15, 2018</w:t>
            </w:r>
          </w:p>
        </w:tc>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/s/ Scott M. Quist</w:t>
            </w:r>
          </w:p>
        </w:tc>
        <w:tc>
          <w:tcPr>
            <w:tcW w:w="6200" w:type="dxa"/>
            <w:vAlign w:val="bottom"/>
          </w:tcPr>
          <w:p>
            <w:pPr>
              <w:spacing w:after="0"/>
              <w:rPr>
                <w:sz w:val="16"/>
                <w:szCs w:val="16"/>
                <w:color w:val="auto"/>
              </w:rPr>
            </w:pPr>
          </w:p>
        </w:tc>
      </w:tr>
      <w:tr>
        <w:trPr>
          <w:trHeight w:val="211"/>
        </w:trPr>
        <w:tc>
          <w:tcPr>
            <w:tcW w:w="400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7"/>
                <w:szCs w:val="17"/>
                <w:color w:val="auto"/>
              </w:rPr>
              <w:t>Scott M. Quist</w:t>
            </w:r>
          </w:p>
        </w:tc>
      </w:tr>
      <w:tr>
        <w:trPr>
          <w:trHeight w:val="205"/>
        </w:trPr>
        <w:tc>
          <w:tcPr>
            <w:tcW w:w="400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7"/>
                <w:szCs w:val="17"/>
                <w:color w:val="auto"/>
              </w:rPr>
              <w:t>Chairman, President and Chief Executive Officer</w:t>
            </w:r>
          </w:p>
        </w:tc>
      </w:tr>
      <w:tr>
        <w:trPr>
          <w:trHeight w:val="216"/>
        </w:trPr>
        <w:tc>
          <w:tcPr>
            <w:tcW w:w="400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r>
      <w:tr>
        <w:trPr>
          <w:trHeight w:val="572"/>
        </w:trPr>
        <w:tc>
          <w:tcPr>
            <w:tcW w:w="4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7" w:name="page58"/>
    <w:bookmarkEnd w:id="57"/>
    <w:p>
      <w:pPr>
        <w:ind w:left="10140"/>
        <w:spacing w:after="0"/>
        <w:rPr>
          <w:sz w:val="20"/>
          <w:szCs w:val="20"/>
          <w:color w:val="auto"/>
        </w:rPr>
      </w:pPr>
      <w:r>
        <w:rPr>
          <w:rFonts w:ascii="Arial" w:cs="Arial" w:eastAsia="Arial" w:hAnsi="Arial"/>
          <w:sz w:val="20"/>
          <w:szCs w:val="20"/>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360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253605" cy="32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196215</wp:posOffset>
            </wp:positionV>
            <wp:extent cx="72536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REQUIRED BY SECTION 906 OF THE SARBANES-OXLEY ACT OF 2002</w:t>
      </w:r>
    </w:p>
    <w:p>
      <w:pPr>
        <w:spacing w:after="0" w:line="25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the Quarterly Report of Security National Financial Corporation (the "Company") on Form 10-Q for the period ending March 31, 2018,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208" w:lineRule="exact"/>
        <w:rPr>
          <w:sz w:val="20"/>
          <w:szCs w:val="20"/>
          <w:color w:val="auto"/>
        </w:rPr>
      </w:pPr>
    </w:p>
    <w:p>
      <w:pPr>
        <w:ind w:left="1280" w:hanging="661"/>
        <w:spacing w:after="0"/>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6" w:lineRule="exact"/>
        <w:rPr>
          <w:rFonts w:ascii="Arial" w:cs="Arial" w:eastAsia="Arial" w:hAnsi="Arial"/>
          <w:sz w:val="17"/>
          <w:szCs w:val="17"/>
          <w:color w:val="auto"/>
        </w:rPr>
      </w:pPr>
    </w:p>
    <w:p>
      <w:pPr>
        <w:ind w:left="1280" w:hanging="661"/>
        <w:spacing w:after="0"/>
        <w:tabs>
          <w:tab w:leader="none" w:pos="12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Pr>
          <w:p>
            <w:pPr>
              <w:ind w:left="1280"/>
              <w:spacing w:after="0"/>
              <w:rPr>
                <w:sz w:val="20"/>
                <w:szCs w:val="20"/>
                <w:color w:val="auto"/>
              </w:rPr>
            </w:pPr>
            <w:r>
              <w:rPr>
                <w:rFonts w:ascii="Arial" w:cs="Arial" w:eastAsia="Arial" w:hAnsi="Arial"/>
                <w:sz w:val="17"/>
                <w:szCs w:val="17"/>
                <w:color w:val="auto"/>
              </w:rPr>
              <w:t>Dated: May 15, 2018</w:t>
            </w:r>
          </w:p>
        </w:tc>
        <w:tc>
          <w:tcPr>
            <w:tcW w:w="640" w:type="dxa"/>
            <w:vAlign w:val="bottom"/>
          </w:tcPr>
          <w:p>
            <w:pPr>
              <w:spacing w:after="0"/>
              <w:rPr>
                <w:sz w:val="16"/>
                <w:szCs w:val="16"/>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w w:val="92"/>
              </w:rPr>
              <w:t>/s/ Garrett S. Sill</w:t>
            </w:r>
          </w:p>
        </w:tc>
        <w:tc>
          <w:tcPr>
            <w:tcW w:w="6220" w:type="dxa"/>
            <w:vAlign w:val="bottom"/>
          </w:tcPr>
          <w:p>
            <w:pPr>
              <w:spacing w:after="0"/>
              <w:rPr>
                <w:sz w:val="16"/>
                <w:szCs w:val="16"/>
                <w:color w:val="auto"/>
              </w:rPr>
            </w:pPr>
          </w:p>
        </w:tc>
      </w:tr>
      <w:tr>
        <w:trPr>
          <w:trHeight w:val="211"/>
        </w:trPr>
        <w:tc>
          <w:tcPr>
            <w:tcW w:w="3360" w:type="dxa"/>
            <w:vAlign w:val="bottom"/>
          </w:tcPr>
          <w:p>
            <w:pPr>
              <w:spacing w:after="0"/>
              <w:rPr>
                <w:sz w:val="18"/>
                <w:szCs w:val="18"/>
                <w:color w:val="auto"/>
              </w:rPr>
            </w:pPr>
          </w:p>
        </w:tc>
        <w:tc>
          <w:tcPr>
            <w:tcW w:w="8060" w:type="dxa"/>
            <w:vAlign w:val="bottom"/>
            <w:gridSpan w:val="3"/>
          </w:tcPr>
          <w:p>
            <w:pPr>
              <w:ind w:left="640"/>
              <w:spacing w:after="0"/>
              <w:rPr>
                <w:sz w:val="20"/>
                <w:szCs w:val="20"/>
                <w:color w:val="auto"/>
              </w:rPr>
            </w:pPr>
            <w:r>
              <w:rPr>
                <w:rFonts w:ascii="Arial" w:cs="Arial" w:eastAsia="Arial" w:hAnsi="Arial"/>
                <w:sz w:val="17"/>
                <w:szCs w:val="17"/>
                <w:color w:val="auto"/>
              </w:rPr>
              <w:t>Garrett S. Sill</w:t>
            </w:r>
          </w:p>
        </w:tc>
      </w:tr>
      <w:tr>
        <w:trPr>
          <w:trHeight w:val="205"/>
        </w:trPr>
        <w:tc>
          <w:tcPr>
            <w:tcW w:w="3360" w:type="dxa"/>
            <w:vAlign w:val="bottom"/>
          </w:tcPr>
          <w:p>
            <w:pPr>
              <w:spacing w:after="0"/>
              <w:rPr>
                <w:sz w:val="17"/>
                <w:szCs w:val="17"/>
                <w:color w:val="auto"/>
              </w:rPr>
            </w:pPr>
          </w:p>
        </w:tc>
        <w:tc>
          <w:tcPr>
            <w:tcW w:w="8060" w:type="dxa"/>
            <w:vAlign w:val="bottom"/>
            <w:gridSpan w:val="3"/>
          </w:tcPr>
          <w:p>
            <w:pPr>
              <w:ind w:left="640"/>
              <w:spacing w:after="0"/>
              <w:rPr>
                <w:sz w:val="20"/>
                <w:szCs w:val="20"/>
                <w:color w:val="auto"/>
              </w:rPr>
            </w:pPr>
            <w:r>
              <w:rPr>
                <w:rFonts w:ascii="Arial" w:cs="Arial" w:eastAsia="Arial" w:hAnsi="Arial"/>
                <w:sz w:val="17"/>
                <w:szCs w:val="17"/>
                <w:color w:val="auto"/>
              </w:rPr>
              <w:t>Chief Financial Officer and Treasurer</w:t>
            </w:r>
          </w:p>
        </w:tc>
      </w:tr>
      <w:tr>
        <w:trPr>
          <w:trHeight w:val="216"/>
        </w:trPr>
        <w:tc>
          <w:tcPr>
            <w:tcW w:w="3360" w:type="dxa"/>
            <w:vAlign w:val="bottom"/>
          </w:tcPr>
          <w:p>
            <w:pPr>
              <w:spacing w:after="0"/>
              <w:rPr>
                <w:sz w:val="18"/>
                <w:szCs w:val="18"/>
                <w:color w:val="auto"/>
              </w:rPr>
            </w:pPr>
          </w:p>
        </w:tc>
        <w:tc>
          <w:tcPr>
            <w:tcW w:w="8060" w:type="dxa"/>
            <w:vAlign w:val="bottom"/>
            <w:gridSpan w:val="3"/>
          </w:tcPr>
          <w:p>
            <w:pPr>
              <w:ind w:left="640"/>
              <w:spacing w:after="0"/>
              <w:rPr>
                <w:sz w:val="20"/>
                <w:szCs w:val="20"/>
                <w:color w:val="auto"/>
              </w:rPr>
            </w:pPr>
            <w:r>
              <w:rPr>
                <w:rFonts w:ascii="Arial" w:cs="Arial" w:eastAsia="Arial" w:hAnsi="Arial"/>
                <w:sz w:val="17"/>
                <w:szCs w:val="17"/>
                <w:color w:val="auto"/>
              </w:rPr>
              <w:t>(Principal Financial Officer and Principal Accounting Officer)</w:t>
            </w:r>
          </w:p>
        </w:tc>
      </w:tr>
      <w:tr>
        <w:trPr>
          <w:trHeight w:val="880"/>
        </w:trPr>
        <w:tc>
          <w:tcPr>
            <w:tcW w:w="3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upperLetter"/>
      <w:start w:val="24"/>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2"/>
    </w:lvl>
  </w:abstractNum>
  <w:abstractNum w:abstractNumId="4">
    <w:nsid w:val="836C40E"/>
    <w:multiLevelType w:val="hybridMultilevel"/>
    <w:lvl w:ilvl="0">
      <w:lvlJc w:val="left"/>
      <w:lvlText w:val="%1)"/>
      <w:numFmt w:val="decimal"/>
      <w:start w:val="2"/>
    </w:lvl>
  </w:abstractNum>
  <w:abstractNum w:abstractNumId="5">
    <w:nsid w:val="2901D82"/>
    <w:multiLevelType w:val="hybridMultilevel"/>
    <w:lvl w:ilvl="0">
      <w:lvlJc w:val="left"/>
      <w:lvlText w:val="%1)"/>
      <w:numFmt w:val="decimal"/>
      <w:start w:val="3"/>
    </w:lvl>
  </w:abstractNum>
  <w:abstractNum w:abstractNumId="6">
    <w:nsid w:val="3A95F874"/>
    <w:multiLevelType w:val="hybridMultilevel"/>
    <w:lvl w:ilvl="0">
      <w:lvlJc w:val="left"/>
      <w:lvlText w:val="%1)"/>
      <w:numFmt w:val="decimal"/>
      <w:start w:val="3"/>
    </w:lvl>
  </w:abstractNum>
  <w:abstractNum w:abstractNumId="7">
    <w:nsid w:val="8138641"/>
    <w:multiLevelType w:val="hybridMultilevel"/>
    <w:lvl w:ilvl="0">
      <w:lvlJc w:val="left"/>
      <w:lvlText w:val="%1)"/>
      <w:numFmt w:val="decimal"/>
      <w:start w:val="3"/>
    </w:lvl>
  </w:abstractNum>
  <w:abstractNum w:abstractNumId="8">
    <w:nsid w:val="1E7FF521"/>
    <w:multiLevelType w:val="hybridMultilevel"/>
    <w:lvl w:ilvl="0">
      <w:lvlJc w:val="left"/>
      <w:lvlText w:val="%1)"/>
      <w:numFmt w:val="decimal"/>
      <w:start w:val="3"/>
    </w:lvl>
  </w:abstractNum>
  <w:abstractNum w:abstractNumId="9">
    <w:nsid w:val="7C3DBD3D"/>
    <w:multiLevelType w:val="hybridMultilevel"/>
    <w:lvl w:ilvl="0">
      <w:lvlJc w:val="left"/>
      <w:lvlText w:val="%1)"/>
      <w:numFmt w:val="decimal"/>
      <w:start w:val="3"/>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3"/>
    </w:lvl>
  </w:abstractNum>
  <w:abstractNum w:abstractNumId="12">
    <w:nsid w:val="22221A70"/>
    <w:multiLevelType w:val="hybridMultilevel"/>
    <w:lvl w:ilvl="0">
      <w:lvlJc w:val="left"/>
      <w:lvlText w:val="%1)"/>
      <w:numFmt w:val="decimal"/>
      <w:start w:val="3"/>
    </w:lvl>
  </w:abstractNum>
  <w:abstractNum w:abstractNumId="13">
    <w:nsid w:val="4516DDE9"/>
    <w:multiLevelType w:val="hybridMultilevel"/>
    <w:lvl w:ilvl="0">
      <w:lvlJc w:val="left"/>
      <w:lvlText w:val="%1)"/>
      <w:numFmt w:val="decimal"/>
      <w:start w:val="3"/>
    </w:lvl>
  </w:abstractNum>
  <w:abstractNum w:abstractNumId="14">
    <w:nsid w:val="3006C83E"/>
    <w:multiLevelType w:val="hybridMultilevel"/>
    <w:lvl w:ilvl="0">
      <w:lvlJc w:val="left"/>
      <w:lvlText w:val="%1)"/>
      <w:numFmt w:val="decimal"/>
      <w:start w:val="3"/>
    </w:lvl>
  </w:abstractNum>
  <w:abstractNum w:abstractNumId="15">
    <w:nsid w:val="614FD4A1"/>
    <w:multiLevelType w:val="hybridMultilevel"/>
    <w:lvl w:ilvl="0">
      <w:lvlJc w:val="left"/>
      <w:lvlText w:val="%1)"/>
      <w:numFmt w:val="decimal"/>
      <w:start w:val="3"/>
    </w:lvl>
  </w:abstractNum>
  <w:abstractNum w:abstractNumId="16">
    <w:nsid w:val="419AC241"/>
    <w:multiLevelType w:val="hybridMultilevel"/>
    <w:lvl w:ilvl="0">
      <w:lvlJc w:val="left"/>
      <w:lvlText w:val="%1)"/>
      <w:numFmt w:val="decimal"/>
      <w:start w:val="3"/>
    </w:lvl>
  </w:abstractNum>
  <w:abstractNum w:abstractNumId="17">
    <w:nsid w:val="5577F8E1"/>
    <w:multiLevelType w:val="hybridMultilevel"/>
    <w:lvl w:ilvl="0">
      <w:lvlJc w:val="left"/>
      <w:lvlText w:val="%1)"/>
      <w:numFmt w:val="decimal"/>
      <w:start w:val="4"/>
    </w:lvl>
  </w:abstractNum>
  <w:abstractNum w:abstractNumId="18">
    <w:nsid w:val="440BADFC"/>
    <w:multiLevelType w:val="hybridMultilevel"/>
    <w:lvl w:ilvl="0">
      <w:lvlJc w:val="left"/>
      <w:lvlText w:val="(%1)"/>
      <w:numFmt w:val="lowerRoman"/>
      <w:start w:val="1"/>
    </w:lvl>
  </w:abstractNum>
  <w:abstractNum w:abstractNumId="19">
    <w:nsid w:val="5072367"/>
    <w:multiLevelType w:val="hybridMultilevel"/>
    <w:lvl w:ilvl="0">
      <w:lvlJc w:val="left"/>
      <w:lvlText w:val="%1)"/>
      <w:numFmt w:val="decimal"/>
      <w:start w:val="4"/>
    </w:lvl>
  </w:abstractNum>
  <w:abstractNum w:abstractNumId="20">
    <w:nsid w:val="3804823E"/>
    <w:multiLevelType w:val="hybridMultilevel"/>
    <w:lvl w:ilvl="0">
      <w:lvlJc w:val="left"/>
      <w:lvlText w:val="%1)"/>
      <w:numFmt w:val="decimal"/>
      <w:start w:val="5"/>
    </w:lvl>
  </w:abstractNum>
  <w:abstractNum w:abstractNumId="21">
    <w:nsid w:val="77465F01"/>
    <w:multiLevelType w:val="hybridMultilevel"/>
    <w:lvl w:ilvl="0">
      <w:lvlJc w:val="left"/>
      <w:lvlText w:val="%1)"/>
      <w:numFmt w:val="decimal"/>
      <w:start w:val="5"/>
    </w:lvl>
  </w:abstractNum>
  <w:abstractNum w:abstractNumId="22">
    <w:nsid w:val="7724C67E"/>
    <w:multiLevelType w:val="hybridMultilevel"/>
    <w:lvl w:ilvl="0">
      <w:lvlJc w:val="left"/>
      <w:lvlText w:val="%1)"/>
      <w:numFmt w:val="decimal"/>
      <w:start w:val="7"/>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decimal"/>
      <w:start w:val="8"/>
    </w:lvl>
  </w:abstractNum>
  <w:abstractNum w:abstractNumId="25">
    <w:nsid w:val="5E884ADC"/>
    <w:multiLevelType w:val="hybridMultilevel"/>
    <w:lvl w:ilvl="0">
      <w:lvlJc w:val="left"/>
      <w:lvlText w:val="%1)"/>
      <w:numFmt w:val="decimal"/>
      <w:start w:val="8"/>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8"/>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8"/>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8"/>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8"/>
    </w:lvl>
  </w:abstractNum>
  <w:abstractNum w:abstractNumId="35">
    <w:nsid w:val="725A06FB"/>
    <w:multiLevelType w:val="hybridMultilevel"/>
    <w:lvl w:ilvl="0">
      <w:lvlJc w:val="left"/>
      <w:lvlText w:val="%1)"/>
      <w:numFmt w:val="decimal"/>
      <w:start w:val="9"/>
    </w:lvl>
  </w:abstractNum>
  <w:abstractNum w:abstractNumId="36">
    <w:nsid w:val="2CD89A32"/>
    <w:multiLevelType w:val="hybridMultilevel"/>
    <w:lvl w:ilvl="0">
      <w:lvlJc w:val="left"/>
      <w:lvlText w:val="%1)"/>
      <w:numFmt w:val="decimal"/>
      <w:start w:val="10"/>
    </w:lvl>
  </w:abstractNum>
  <w:abstractNum w:abstractNumId="37">
    <w:nsid w:val="57E4CCAF"/>
    <w:multiLevelType w:val="hybridMultilevel"/>
    <w:lvl w:ilvl="0">
      <w:lvlJc w:val="left"/>
      <w:lvlText w:val="%1)"/>
      <w:numFmt w:val="decimal"/>
      <w:start w:val="10"/>
    </w:lvl>
  </w:abstractNum>
  <w:abstractNum w:abstractNumId="38">
    <w:nsid w:val="7A6D8D3C"/>
    <w:multiLevelType w:val="hybridMultilevel"/>
    <w:lvl w:ilvl="0">
      <w:lvlJc w:val="left"/>
      <w:lvlText w:val="%1)"/>
      <w:numFmt w:val="decimal"/>
      <w:start w:val="11"/>
    </w:lvl>
  </w:abstractNum>
  <w:abstractNum w:abstractNumId="39">
    <w:nsid w:val="4B588F54"/>
    <w:multiLevelType w:val="hybridMultilevel"/>
    <w:lvl w:ilvl="0">
      <w:lvlJc w:val="left"/>
      <w:lvlText w:val="%1)"/>
      <w:numFmt w:val="decimal"/>
      <w:start w:val="12"/>
    </w:lvl>
  </w:abstractNum>
  <w:abstractNum w:abstractNumId="40">
    <w:nsid w:val="542289EC"/>
    <w:multiLevelType w:val="hybridMultilevel"/>
    <w:lvl w:ilvl="0">
      <w:lvlJc w:val="left"/>
      <w:lvlText w:val="%1)"/>
      <w:numFmt w:val="decimal"/>
      <w:start w:val="13"/>
    </w:lvl>
  </w:abstractNum>
  <w:abstractNum w:abstractNumId="41">
    <w:nsid w:val="6DE91B18"/>
    <w:multiLevelType w:val="hybridMultilevel"/>
    <w:lvl w:ilvl="0">
      <w:lvlJc w:val="left"/>
      <w:lvlText w:val="%1)"/>
      <w:numFmt w:val="decimal"/>
      <w:start w:val="14"/>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4"/>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21"/>
    </w:lvl>
  </w:abstractNum>
  <w:abstractNum w:abstractNumId="47">
    <w:nsid w:val="749ABB43"/>
    <w:multiLevelType w:val="hybridMultilevel"/>
    <w:lvl w:ilvl="0">
      <w:lvlJc w:val="left"/>
      <w:lvlText w:val="(%1)"/>
      <w:numFmt w:val="decimal"/>
      <w:start w:val="2"/>
    </w:lvl>
  </w:abstractNum>
  <w:abstractNum w:abstractNumId="48">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9"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62" Type="http://schemas.openxmlformats.org/officeDocument/2006/relationships/hyperlink" Target="http://www.sec.gov/Archives/edgar/data/318673/000109690617000214/exh3_1.pdf" TargetMode="External"/><Relationship Id="rId63" Type="http://schemas.openxmlformats.org/officeDocument/2006/relationships/hyperlink" Target="http://www.sec.gov/Archives/edgar/data/318673/000109690618000170/exh_21.htm" TargetMode="External"/><Relationship Id="rId64" Type="http://schemas.openxmlformats.org/officeDocument/2006/relationships/hyperlink" Target="http://www.sec.gov/Archives/edgar/data/318673/000109690617000501/exh7_1.htm" TargetMode="External"/><Relationship Id="rId65" Type="http://schemas.openxmlformats.org/officeDocument/2006/relationships/hyperlink" Target="http://www.sec.gov/Archives/edgar/data/318673/000031867303000023/snfcprxy03.txt" TargetMode="External"/><Relationship Id="rId66" Type="http://schemas.openxmlformats.org/officeDocument/2006/relationships/hyperlink" Target="http://www.sec.gov/Archives/edgar/data/318673/000109690616001835/exh10_11.htm" TargetMode="External"/><Relationship Id="rId67" Type="http://schemas.openxmlformats.org/officeDocument/2006/relationships/hyperlink" Target="http://www.sec.gov/Archives/edgar/data/318673/000109690614000752/snfcadef14a.htm" TargetMode="External"/><Relationship Id="rId68" Type="http://schemas.openxmlformats.org/officeDocument/2006/relationships/hyperlink" Target="http://www.sec.gov/Archives/edgar/data/318673/000109690614000787/exhibit10-1.htm" TargetMode="External"/><Relationship Id="rId70" Type="http://schemas.openxmlformats.org/officeDocument/2006/relationships/hyperlink" Target="http://www.sec.gov/Archives/edgar/data/318673/000109690615001070/secexh231.htm" TargetMode="External"/><Relationship Id="rId71" Type="http://schemas.openxmlformats.org/officeDocument/2006/relationships/hyperlink" Target="http://www.sec.gov/Archives/edgar/data/318673/000109690615001070/secexh2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2019-12-28T22:00:12Z</dcterms:created>
  <dcterms:modified xsi:type="dcterms:W3CDTF">2019-12-28T22:00:12Z</dcterms:modified>
</cp:coreProperties>
</file>