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35" w:lineRule="exact"/>
        <w:rPr>
          <w:sz w:val="24"/>
          <w:szCs w:val="24"/>
          <w:color w:val="auto"/>
        </w:rPr>
      </w:pPr>
    </w:p>
    <w:p>
      <w:pPr>
        <w:ind w:right="1880" w:firstLine="8"/>
        <w:spacing w:after="0" w:line="261" w:lineRule="auto"/>
        <w:tabs>
          <w:tab w:leader="none" w:pos="207"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2023</w:t>
      </w: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07" w:lineRule="exact"/>
        <w:rPr>
          <w:sz w:val="24"/>
          <w:szCs w:val="24"/>
          <w:color w:val="auto"/>
        </w:rPr>
      </w:pPr>
    </w:p>
    <w:p>
      <w:pPr>
        <w:ind w:right="1860" w:firstLine="8"/>
        <w:spacing w:after="0" w:line="282" w:lineRule="auto"/>
        <w:tabs>
          <w:tab w:leader="none" w:pos="207"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 to ________</w:t>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000-09341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SECURITY NATIONAL FINANCIAL CORPORATION</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240"/>
          </w:cols>
          <w:pgMar w:left="320" w:top="746" w:right="339" w:bottom="1440" w:gutter="0" w:footer="0" w:header="0"/>
        </w:sectPr>
      </w:pPr>
    </w:p>
    <w:p>
      <w:pPr>
        <w:spacing w:after="0" w:line="205"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UTAH</w:t>
      </w:r>
    </w:p>
    <w:p>
      <w:pPr>
        <w:spacing w:after="0" w:line="27" w:lineRule="exact"/>
        <w:rPr>
          <w:sz w:val="24"/>
          <w:szCs w:val="24"/>
          <w:color w:val="auto"/>
        </w:rPr>
      </w:pPr>
    </w:p>
    <w:p>
      <w:pPr>
        <w:jc w:val="center"/>
        <w:ind w:right="100"/>
        <w:spacing w:after="0"/>
        <w:rPr>
          <w:sz w:val="20"/>
          <w:szCs w:val="20"/>
          <w:color w:val="auto"/>
        </w:rPr>
      </w:pPr>
      <w:r>
        <w:rPr>
          <w:rFonts w:ascii="Arial" w:cs="Arial" w:eastAsia="Arial" w:hAnsi="Arial"/>
          <w:sz w:val="16"/>
          <w:szCs w:val="16"/>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00"/>
        <w:spacing w:after="0"/>
        <w:rPr>
          <w:sz w:val="20"/>
          <w:szCs w:val="20"/>
          <w:color w:val="auto"/>
        </w:rPr>
      </w:pPr>
      <w:r>
        <w:rPr>
          <w:rFonts w:ascii="Arial" w:cs="Arial" w:eastAsia="Arial" w:hAnsi="Arial"/>
          <w:sz w:val="18"/>
          <w:szCs w:val="18"/>
          <w:b w:val="1"/>
          <w:bCs w:val="1"/>
          <w:color w:val="auto"/>
        </w:rPr>
        <w:t>87-0345941</w:t>
      </w:r>
    </w:p>
    <w:p>
      <w:pPr>
        <w:spacing w:after="0" w:line="27" w:lineRule="exact"/>
        <w:rPr>
          <w:sz w:val="24"/>
          <w:szCs w:val="24"/>
          <w:color w:val="auto"/>
        </w:rPr>
      </w:pPr>
    </w:p>
    <w:p>
      <w:pPr>
        <w:jc w:val="center"/>
        <w:ind w:right="620"/>
        <w:spacing w:after="0"/>
        <w:rPr>
          <w:sz w:val="20"/>
          <w:szCs w:val="20"/>
          <w:color w:val="auto"/>
        </w:rPr>
      </w:pPr>
      <w:r>
        <w:rPr>
          <w:rFonts w:ascii="Arial" w:cs="Arial" w:eastAsia="Arial" w:hAnsi="Arial"/>
          <w:sz w:val="16"/>
          <w:szCs w:val="16"/>
          <w:i w:val="1"/>
          <w:iCs w:val="1"/>
          <w:color w:val="auto"/>
        </w:rPr>
        <w:t>(I.R.S. Employer Identification No.)</w:t>
      </w:r>
    </w:p>
    <w:p>
      <w:pPr>
        <w:spacing w:after="0" w:line="200" w:lineRule="exact"/>
        <w:rPr>
          <w:sz w:val="24"/>
          <w:szCs w:val="24"/>
          <w:color w:val="auto"/>
        </w:rPr>
      </w:pPr>
    </w:p>
    <w:p>
      <w:pPr>
        <w:sectPr>
          <w:pgSz w:w="11900" w:h="16838" w:orient="portrait"/>
          <w:cols w:equalWidth="0" w:num="2">
            <w:col w:w="7320" w:space="720"/>
            <w:col w:w="3200"/>
          </w:cols>
          <w:pgMar w:left="320" w:top="746" w:right="339" w:bottom="1440" w:gutter="0" w:footer="0" w:header="0"/>
          <w:type w:val="continuous"/>
        </w:sectPr>
      </w:pPr>
    </w:p>
    <w:p>
      <w:pPr>
        <w:spacing w:after="0" w:line="33" w:lineRule="exact"/>
        <w:rPr>
          <w:sz w:val="24"/>
          <w:szCs w:val="24"/>
          <w:color w:val="auto"/>
        </w:rPr>
      </w:pPr>
    </w:p>
    <w:p>
      <w:pPr>
        <w:ind w:left="1640"/>
        <w:spacing w:after="0"/>
        <w:rPr>
          <w:sz w:val="20"/>
          <w:szCs w:val="20"/>
          <w:color w:val="auto"/>
        </w:rPr>
      </w:pPr>
      <w:r>
        <w:rPr>
          <w:rFonts w:ascii="Arial" w:cs="Arial" w:eastAsia="Arial" w:hAnsi="Arial"/>
          <w:sz w:val="16"/>
          <w:szCs w:val="16"/>
          <w:b w:val="1"/>
          <w:bCs w:val="1"/>
          <w:color w:val="auto"/>
        </w:rPr>
        <w:t>433 Ascension Way, 6</w:t>
      </w:r>
      <w:r>
        <w:rPr>
          <w:rFonts w:ascii="Arial" w:cs="Arial" w:eastAsia="Arial" w:hAnsi="Arial"/>
          <w:sz w:val="12"/>
          <w:szCs w:val="12"/>
          <w:b w:val="1"/>
          <w:bCs w:val="1"/>
          <w:color w:val="auto"/>
        </w:rPr>
        <w:t>th</w:t>
      </w:r>
      <w:r>
        <w:rPr>
          <w:rFonts w:ascii="Arial" w:cs="Arial" w:eastAsia="Arial" w:hAnsi="Arial"/>
          <w:sz w:val="16"/>
          <w:szCs w:val="16"/>
          <w:b w:val="1"/>
          <w:bCs w:val="1"/>
          <w:color w:val="auto"/>
        </w:rPr>
        <w:t xml:space="preserve"> Floor, Salt Lake City, Utah</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84123</w:t>
      </w:r>
    </w:p>
    <w:p>
      <w:pPr>
        <w:spacing w:after="0" w:line="102" w:lineRule="exact"/>
        <w:rPr>
          <w:sz w:val="24"/>
          <w:szCs w:val="24"/>
          <w:color w:val="auto"/>
        </w:rPr>
      </w:pPr>
    </w:p>
    <w:p>
      <w:pPr>
        <w:sectPr>
          <w:pgSz w:w="11900" w:h="16838" w:orient="portrait"/>
          <w:cols w:equalWidth="0" w:num="2">
            <w:col w:w="8400" w:space="720"/>
            <w:col w:w="2120"/>
          </w:cols>
          <w:pgMar w:left="320" w:top="746" w:right="339" w:bottom="1440" w:gutter="0" w:footer="0" w:header="0"/>
          <w:type w:val="continuous"/>
        </w:sectPr>
      </w:pPr>
    </w:p>
    <w:p>
      <w:pPr>
        <w:ind w:left="2200"/>
        <w:spacing w:after="0"/>
        <w:rPr>
          <w:sz w:val="20"/>
          <w:szCs w:val="20"/>
          <w:color w:val="auto"/>
        </w:rPr>
      </w:pPr>
      <w:r>
        <w:rPr>
          <w:rFonts w:ascii="Arial" w:cs="Arial" w:eastAsia="Arial" w:hAnsi="Arial"/>
          <w:sz w:val="16"/>
          <w:szCs w:val="16"/>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i w:val="1"/>
          <w:iCs w:val="1"/>
          <w:color w:val="auto"/>
        </w:rPr>
        <w:t>(Zip Code)</w:t>
      </w:r>
    </w:p>
    <w:p>
      <w:pPr>
        <w:spacing w:after="0" w:line="200" w:lineRule="exact"/>
        <w:rPr>
          <w:sz w:val="24"/>
          <w:szCs w:val="24"/>
          <w:color w:val="auto"/>
        </w:rPr>
      </w:pPr>
    </w:p>
    <w:p>
      <w:pPr>
        <w:sectPr>
          <w:pgSz w:w="11900" w:h="16838" w:orient="portrait"/>
          <w:cols w:equalWidth="0" w:num="2">
            <w:col w:w="8220" w:space="720"/>
            <w:col w:w="2300"/>
          </w:cols>
          <w:pgMar w:left="320" w:top="746"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(801) 264-1060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ectPr>
          <w:pgSz w:w="11900" w:h="16838" w:orient="portrait"/>
          <w:cols w:equalWidth="0" w:num="1">
            <w:col w:w="11240"/>
          </w:cols>
          <w:pgMar w:left="320" w:top="746" w:right="339" w:bottom="1440" w:gutter="0" w:footer="0" w:header="0"/>
          <w:type w:val="continuous"/>
        </w:sectPr>
      </w:pPr>
    </w:p>
    <w:p>
      <w:pPr>
        <w:spacing w:after="0" w:line="248" w:lineRule="exact"/>
        <w:rPr>
          <w:sz w:val="24"/>
          <w:szCs w:val="24"/>
          <w:color w:val="auto"/>
        </w:rPr>
      </w:pPr>
    </w:p>
    <w:p>
      <w:pPr>
        <w:jc w:val="center"/>
        <w:ind w:left="10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100"/>
        <w:spacing w:after="0"/>
        <w:rPr>
          <w:sz w:val="20"/>
          <w:szCs w:val="20"/>
          <w:color w:val="auto"/>
        </w:rPr>
      </w:pPr>
      <w:r>
        <w:rPr>
          <w:rFonts w:ascii="Arial" w:cs="Arial" w:eastAsia="Arial" w:hAnsi="Arial"/>
          <w:sz w:val="16"/>
          <w:szCs w:val="16"/>
          <w:color w:val="auto"/>
        </w:rPr>
        <w:t>Class A Common Stock</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jc w:val="center"/>
        <w:ind w:right="700"/>
        <w:spacing w:after="0"/>
        <w:rPr>
          <w:sz w:val="20"/>
          <w:szCs w:val="20"/>
          <w:color w:val="auto"/>
        </w:rPr>
      </w:pPr>
      <w:r>
        <w:rPr>
          <w:rFonts w:ascii="Arial" w:cs="Arial" w:eastAsia="Arial" w:hAnsi="Arial"/>
          <w:sz w:val="16"/>
          <w:szCs w:val="16"/>
          <w:b w:val="1"/>
          <w:bCs w:val="1"/>
          <w:color w:val="auto"/>
        </w:rPr>
        <w:t>Trading symbol</w:t>
      </w:r>
    </w:p>
    <w:p>
      <w:pPr>
        <w:spacing w:after="0" w:line="50" w:lineRule="exact"/>
        <w:rPr>
          <w:sz w:val="24"/>
          <w:szCs w:val="24"/>
          <w:color w:val="auto"/>
        </w:rPr>
      </w:pPr>
    </w:p>
    <w:p>
      <w:pPr>
        <w:jc w:val="center"/>
        <w:ind w:right="700"/>
        <w:spacing w:after="0"/>
        <w:rPr>
          <w:sz w:val="20"/>
          <w:szCs w:val="20"/>
          <w:color w:val="auto"/>
        </w:rPr>
      </w:pPr>
      <w:r>
        <w:rPr>
          <w:rFonts w:ascii="Arial" w:cs="Arial" w:eastAsia="Arial" w:hAnsi="Arial"/>
          <w:sz w:val="18"/>
          <w:szCs w:val="18"/>
          <w:color w:val="auto"/>
        </w:rPr>
        <w:t>SNFCA</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jc w:val="center"/>
        <w:ind w:right="800"/>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62" w:lineRule="exact"/>
        <w:rPr>
          <w:sz w:val="24"/>
          <w:szCs w:val="24"/>
          <w:color w:val="auto"/>
        </w:rPr>
      </w:pPr>
    </w:p>
    <w:p>
      <w:pPr>
        <w:jc w:val="center"/>
        <w:ind w:right="800"/>
        <w:spacing w:after="0"/>
        <w:rPr>
          <w:sz w:val="20"/>
          <w:szCs w:val="20"/>
          <w:color w:val="auto"/>
        </w:rPr>
      </w:pPr>
      <w:r>
        <w:rPr>
          <w:rFonts w:ascii="Arial" w:cs="Arial" w:eastAsia="Arial" w:hAnsi="Arial"/>
          <w:sz w:val="18"/>
          <w:szCs w:val="18"/>
          <w:color w:val="auto"/>
        </w:rPr>
        <w:t>The Nasdaq Global Select Market</w:t>
      </w:r>
    </w:p>
    <w:p>
      <w:pPr>
        <w:spacing w:after="0" w:line="200" w:lineRule="exact"/>
        <w:rPr>
          <w:sz w:val="24"/>
          <w:szCs w:val="24"/>
          <w:color w:val="auto"/>
        </w:rPr>
      </w:pPr>
    </w:p>
    <w:p>
      <w:pPr>
        <w:sectPr>
          <w:pgSz w:w="11900" w:h="16838" w:orient="portrait"/>
          <w:cols w:equalWidth="0" w:num="3">
            <w:col w:w="3740" w:space="720"/>
            <w:col w:w="1920" w:space="720"/>
            <w:col w:w="4140"/>
          </w:cols>
          <w:pgMar w:left="320" w:top="746" w:right="339" w:bottom="1440" w:gutter="0" w:footer="0" w:header="0"/>
          <w:type w:val="continuous"/>
        </w:sectPr>
      </w:pPr>
    </w:p>
    <w:p>
      <w:pPr>
        <w:spacing w:after="0" w:line="11" w:lineRule="exact"/>
        <w:rPr>
          <w:sz w:val="24"/>
          <w:szCs w:val="24"/>
          <w:color w:val="auto"/>
        </w:rPr>
      </w:pPr>
    </w:p>
    <w:p>
      <w:pPr>
        <w:jc w:val="both"/>
        <w:ind w:firstLine="324"/>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99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6" w:lineRule="exact"/>
        <w:rPr>
          <w:sz w:val="24"/>
          <w:szCs w:val="24"/>
          <w:color w:val="auto"/>
        </w:rPr>
      </w:pPr>
    </w:p>
    <w:p>
      <w:pPr>
        <w:jc w:val="both"/>
        <w:ind w:firstLine="324"/>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99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6" w:lineRule="exact"/>
        <w:rPr>
          <w:sz w:val="24"/>
          <w:szCs w:val="24"/>
          <w:color w:val="auto"/>
        </w:rPr>
      </w:pPr>
    </w:p>
    <w:p>
      <w:pPr>
        <w:jc w:val="both"/>
        <w:ind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46" w:right="339" w:bottom="1440" w:gutter="0" w:footer="0" w:header="0"/>
          <w:type w:val="continuous"/>
        </w:sectPr>
      </w:pPr>
    </w:p>
    <w:p>
      <w:pPr>
        <w:spacing w:after="0" w:line="139"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70" w:lineRule="exact"/>
        <w:rPr>
          <w:sz w:val="24"/>
          <w:szCs w:val="24"/>
          <w:color w:val="auto"/>
        </w:rPr>
      </w:pPr>
    </w:p>
    <w:p>
      <w:pPr>
        <w:ind w:left="66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7600" w:space="720"/>
            <w:col w:w="2920"/>
          </w:cols>
          <w:pgMar w:left="320" w:top="746" w:right="339" w:bottom="1440" w:gutter="0" w:footer="0" w:header="0"/>
          <w:type w:val="continuous"/>
        </w:sectPr>
      </w:pPr>
    </w:p>
    <w:p>
      <w:pPr>
        <w:spacing w:after="0" w:line="32" w:lineRule="exact"/>
        <w:rPr>
          <w:sz w:val="24"/>
          <w:szCs w:val="24"/>
          <w:color w:val="auto"/>
        </w:rPr>
      </w:pPr>
    </w:p>
    <w:p>
      <w:pPr>
        <w:ind w:firstLine="405"/>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4" w:lineRule="exact"/>
        <w:rPr>
          <w:sz w:val="24"/>
          <w:szCs w:val="24"/>
          <w:color w:val="auto"/>
        </w:rPr>
      </w:pPr>
    </w:p>
    <w:p>
      <w:pPr>
        <w:ind w:left="42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ind w:left="99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6" w:lineRule="exact"/>
        <w:rPr>
          <w:sz w:val="24"/>
          <w:szCs w:val="24"/>
          <w:color w:val="auto"/>
        </w:rPr>
      </w:pPr>
    </w:p>
    <w:p>
      <w:pPr>
        <w:ind w:firstLine="405"/>
        <w:spacing w:after="0" w:line="277" w:lineRule="auto"/>
        <w:rPr>
          <w:sz w:val="20"/>
          <w:szCs w:val="20"/>
          <w:color w:val="auto"/>
        </w:rPr>
      </w:pPr>
      <w:r>
        <w:rPr>
          <w:rFonts w:ascii="Arial" w:cs="Arial" w:eastAsia="Arial" w:hAnsi="Arial"/>
          <w:sz w:val="18"/>
          <w:szCs w:val="18"/>
          <w:color w:val="auto"/>
        </w:rPr>
        <w:t>As of August 9, 2023, the registrant had 19,947,531 shares of Class A Common Stock, $2.00 par value, outstanding and 2,971,854 shares of Class C Common Stock, $2.00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468630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SECURITY NATIONAL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560" w:type="dxa"/>
            <w:vAlign w:val="bottom"/>
            <w:gridSpan w:val="14"/>
          </w:tcPr>
          <w:p>
            <w:pPr>
              <w:jc w:val="center"/>
              <w:ind w:right="2380"/>
              <w:spacing w:after="0"/>
              <w:rPr>
                <w:sz w:val="20"/>
                <w:szCs w:val="20"/>
                <w:color w:val="auto"/>
              </w:rPr>
            </w:pPr>
            <w:r>
              <w:rPr>
                <w:rFonts w:ascii="Arial" w:cs="Arial" w:eastAsia="Arial" w:hAnsi="Arial"/>
                <w:sz w:val="18"/>
                <w:szCs w:val="18"/>
                <w:color w:val="auto"/>
                <w:w w:val="93"/>
              </w:rPr>
              <w:t>QUARTER ENDED JUNE 30, 2023</w:t>
            </w:r>
          </w:p>
        </w:tc>
        <w:tc>
          <w:tcPr>
            <w:tcW w:w="640" w:type="dxa"/>
            <w:vAlign w:val="bottom"/>
          </w:tcPr>
          <w:p>
            <w:pPr>
              <w:spacing w:after="0"/>
              <w:rPr>
                <w:sz w:val="20"/>
                <w:szCs w:val="20"/>
                <w:color w:val="auto"/>
              </w:rPr>
            </w:pPr>
          </w:p>
        </w:tc>
      </w:tr>
      <w:tr>
        <w:trPr>
          <w:trHeight w:val="432"/>
        </w:trPr>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0" w:type="dxa"/>
            <w:vAlign w:val="bottom"/>
            <w:gridSpan w:val="12"/>
          </w:tcPr>
          <w:p>
            <w:pPr>
              <w:jc w:val="center"/>
              <w:ind w:right="3960"/>
              <w:spacing w:after="0"/>
              <w:rPr>
                <w:sz w:val="20"/>
                <w:szCs w:val="20"/>
                <w:color w:val="auto"/>
              </w:rPr>
            </w:pPr>
            <w:r>
              <w:rPr>
                <w:rFonts w:ascii="Arial" w:cs="Arial" w:eastAsia="Arial" w:hAnsi="Arial"/>
                <w:sz w:val="18"/>
                <w:szCs w:val="18"/>
                <w:b w:val="1"/>
                <w:bCs w:val="1"/>
                <w:color w:val="auto"/>
                <w:w w:val="89"/>
              </w:rPr>
              <w:t>Table of Contents</w:t>
            </w:r>
          </w:p>
        </w:tc>
        <w:tc>
          <w:tcPr>
            <w:tcW w:w="640" w:type="dxa"/>
            <w:vAlign w:val="bottom"/>
          </w:tcPr>
          <w:p>
            <w:pPr>
              <w:spacing w:after="0"/>
              <w:rPr>
                <w:sz w:val="24"/>
                <w:szCs w:val="24"/>
                <w:color w:val="auto"/>
              </w:rPr>
            </w:pPr>
          </w:p>
        </w:tc>
      </w:tr>
      <w:tr>
        <w:trPr>
          <w:trHeight w:val="418"/>
        </w:trPr>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5"/>
              </w:rPr>
              <w:t>Page</w:t>
            </w:r>
          </w:p>
        </w:tc>
      </w:tr>
      <w:tr>
        <w:trPr>
          <w:trHeight w:val="237"/>
        </w:trPr>
        <w:tc>
          <w:tcPr>
            <w:tcW w:w="700" w:type="dxa"/>
            <w:vAlign w:val="bottom"/>
            <w:tcBorders>
              <w:bottom w:val="single" w:sz="8" w:color="CCEEFF"/>
            </w:tcBorders>
          </w:tcPr>
          <w:p>
            <w:pPr>
              <w:spacing w:after="0"/>
              <w:rPr>
                <w:sz w:val="20"/>
                <w:szCs w:val="20"/>
                <w:color w:val="auto"/>
              </w:rPr>
            </w:pPr>
          </w:p>
        </w:tc>
        <w:tc>
          <w:tcPr>
            <w:tcW w:w="6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14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520" w:type="dxa"/>
            <w:vAlign w:val="bottom"/>
            <w:tcBorders>
              <w:bottom w:val="single" w:sz="8" w:color="CCEEFF"/>
            </w:tcBorders>
          </w:tcPr>
          <w:p>
            <w:pPr>
              <w:spacing w:after="0"/>
              <w:rPr>
                <w:sz w:val="20"/>
                <w:szCs w:val="20"/>
                <w:color w:val="auto"/>
              </w:rPr>
            </w:pPr>
          </w:p>
        </w:tc>
        <w:tc>
          <w:tcPr>
            <w:tcW w:w="1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1060" w:type="dxa"/>
            <w:vAlign w:val="bottom"/>
            <w:tcBorders>
              <w:bottom w:val="single" w:sz="8" w:color="CCEEFF"/>
            </w:tcBorders>
          </w:tcPr>
          <w:p>
            <w:pPr>
              <w:spacing w:after="0"/>
              <w:rPr>
                <w:sz w:val="20"/>
                <w:szCs w:val="20"/>
                <w:color w:val="auto"/>
              </w:rPr>
            </w:pPr>
          </w:p>
        </w:tc>
        <w:tc>
          <w:tcPr>
            <w:tcW w:w="60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No.</w:t>
            </w:r>
          </w:p>
        </w:tc>
      </w:tr>
      <w:tr>
        <w:trPr>
          <w:trHeight w:val="196"/>
        </w:trPr>
        <w:tc>
          <w:tcPr>
            <w:tcW w:w="7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6100" w:type="dxa"/>
            <w:vAlign w:val="bottom"/>
            <w:gridSpan w:val="13"/>
            <w:shd w:val="clear" w:color="auto" w:fill="CCEEFF"/>
          </w:tcPr>
          <w:p>
            <w:pPr>
              <w:jc w:val="center"/>
              <w:ind w:right="3800"/>
              <w:spacing w:after="0" w:line="162" w:lineRule="exact"/>
              <w:rPr>
                <w:sz w:val="20"/>
                <w:szCs w:val="20"/>
                <w:color w:val="auto"/>
              </w:rPr>
            </w:pPr>
            <w:r>
              <w:rPr>
                <w:rFonts w:ascii="Arial" w:cs="Arial" w:eastAsia="Arial" w:hAnsi="Arial"/>
                <w:sz w:val="18"/>
                <w:szCs w:val="18"/>
                <w:b w:val="1"/>
                <w:bCs w:val="1"/>
                <w:color w:val="0000EE"/>
                <w:w w:val="94"/>
              </w:rPr>
              <w:t>Part I - Financial Information</w:t>
            </w:r>
          </w:p>
        </w:tc>
        <w:tc>
          <w:tcPr>
            <w:tcW w:w="640" w:type="dxa"/>
            <w:vAlign w:val="bottom"/>
            <w:shd w:val="clear" w:color="auto" w:fill="CCEEFF"/>
          </w:tcPr>
          <w:p>
            <w:pPr>
              <w:spacing w:after="0"/>
              <w:rPr>
                <w:sz w:val="17"/>
                <w:szCs w:val="17"/>
                <w:color w:val="auto"/>
              </w:rPr>
            </w:pPr>
          </w:p>
        </w:tc>
      </w:tr>
      <w:tr>
        <w:trPr>
          <w:trHeight w:val="176"/>
        </w:trPr>
        <w:tc>
          <w:tcPr>
            <w:tcW w:w="70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1.</w:t>
            </w:r>
          </w:p>
        </w:tc>
        <w:tc>
          <w:tcPr>
            <w:tcW w:w="3800" w:type="dxa"/>
            <w:vAlign w:val="bottom"/>
            <w:tcBorders>
              <w:top w:val="single" w:sz="8" w:color="CCEEFF"/>
            </w:tcBorders>
            <w:gridSpan w:val="10"/>
          </w:tcPr>
          <w:p>
            <w:pPr>
              <w:ind w:left="20"/>
              <w:spacing w:after="0" w:line="176" w:lineRule="exact"/>
              <w:rPr>
                <w:sz w:val="20"/>
                <w:szCs w:val="20"/>
                <w:color w:val="auto"/>
              </w:rPr>
            </w:pPr>
            <w:r>
              <w:rPr>
                <w:rFonts w:ascii="Arial" w:cs="Arial" w:eastAsia="Arial" w:hAnsi="Arial"/>
                <w:sz w:val="18"/>
                <w:szCs w:val="18"/>
                <w:color w:val="0000EE"/>
              </w:rPr>
              <w:t>Financial Statements</w:t>
            </w:r>
          </w:p>
        </w:tc>
        <w:tc>
          <w:tcPr>
            <w:tcW w:w="2300" w:type="dxa"/>
            <w:vAlign w:val="bottom"/>
            <w:tcBorders>
              <w:top w:val="single" w:sz="8" w:color="0000EE"/>
            </w:tcBorders>
            <w:gridSpan w:val="6"/>
          </w:tcPr>
          <w:p>
            <w:pPr>
              <w:spacing w:after="0"/>
              <w:rPr>
                <w:sz w:val="15"/>
                <w:szCs w:val="15"/>
                <w:color w:val="auto"/>
              </w:rPr>
            </w:pPr>
          </w:p>
        </w:tc>
        <w:tc>
          <w:tcPr>
            <w:tcW w:w="3800" w:type="dxa"/>
            <w:vAlign w:val="bottom"/>
            <w:tcBorders>
              <w:top w:val="single" w:sz="8" w:color="CCEEFF"/>
            </w:tcBorders>
            <w:gridSpan w:val="7"/>
          </w:tcPr>
          <w:p>
            <w:pPr>
              <w:spacing w:after="0"/>
              <w:rPr>
                <w:sz w:val="15"/>
                <w:szCs w:val="15"/>
                <w:color w:val="auto"/>
              </w:rPr>
            </w:pPr>
          </w:p>
        </w:tc>
        <w:tc>
          <w:tcPr>
            <w:tcW w:w="640" w:type="dxa"/>
            <w:vAlign w:val="bottom"/>
            <w:tcBorders>
              <w:top w:val="single" w:sz="8" w:color="CCEEFF"/>
            </w:tcBorders>
          </w:tcPr>
          <w:p>
            <w:pPr>
              <w:spacing w:after="0"/>
              <w:rPr>
                <w:sz w:val="15"/>
                <w:szCs w:val="15"/>
                <w:color w:val="auto"/>
              </w:rPr>
            </w:pPr>
          </w:p>
        </w:tc>
      </w:tr>
      <w:tr>
        <w:trPr>
          <w:trHeight w:val="20"/>
        </w:trPr>
        <w:tc>
          <w:tcPr>
            <w:tcW w:w="7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700" w:type="dxa"/>
            <w:vAlign w:val="bottom"/>
            <w:shd w:val="clear" w:color="auto" w:fill="CCEEFF"/>
          </w:tcPr>
          <w:p>
            <w:pPr>
              <w:spacing w:after="0"/>
              <w:rPr>
                <w:sz w:val="15"/>
                <w:szCs w:val="15"/>
                <w:color w:val="auto"/>
              </w:rPr>
            </w:pPr>
          </w:p>
        </w:tc>
        <w:tc>
          <w:tcPr>
            <w:tcW w:w="9900" w:type="dxa"/>
            <w:vAlign w:val="bottom"/>
            <w:gridSpan w:val="23"/>
            <w:shd w:val="clear" w:color="auto" w:fill="CCEEFF"/>
          </w:tcPr>
          <w:p>
            <w:pPr>
              <w:ind w:left="20"/>
              <w:spacing w:after="0" w:line="176" w:lineRule="exact"/>
              <w:rPr>
                <w:sz w:val="20"/>
                <w:szCs w:val="20"/>
                <w:color w:val="auto"/>
              </w:rPr>
            </w:pPr>
            <w:r>
              <w:rPr>
                <w:rFonts w:ascii="Arial" w:cs="Arial" w:eastAsia="Arial" w:hAnsi="Arial"/>
                <w:sz w:val="18"/>
                <w:szCs w:val="18"/>
                <w:color w:val="0000EE"/>
              </w:rPr>
              <w:t>Condensed Consolidated Balance Sheets as of June 30, 2023 (unaudited) and December 31, 2022</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3-4</w:t>
            </w:r>
          </w:p>
        </w:tc>
      </w:tr>
      <w:tr>
        <w:trPr>
          <w:trHeight w:val="20"/>
        </w:trPr>
        <w:tc>
          <w:tcPr>
            <w:tcW w:w="7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4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00" w:type="dxa"/>
            <w:vAlign w:val="bottom"/>
          </w:tcPr>
          <w:p>
            <w:pPr>
              <w:spacing w:after="0"/>
              <w:rPr>
                <w:sz w:val="15"/>
                <w:szCs w:val="15"/>
                <w:color w:val="auto"/>
              </w:rPr>
            </w:pPr>
          </w:p>
        </w:tc>
        <w:tc>
          <w:tcPr>
            <w:tcW w:w="9900" w:type="dxa"/>
            <w:vAlign w:val="bottom"/>
            <w:gridSpan w:val="23"/>
          </w:tcPr>
          <w:p>
            <w:pPr>
              <w:ind w:left="20"/>
              <w:spacing w:after="0" w:line="176" w:lineRule="exact"/>
              <w:rPr>
                <w:sz w:val="20"/>
                <w:szCs w:val="20"/>
                <w:color w:val="auto"/>
              </w:rPr>
            </w:pPr>
            <w:r>
              <w:rPr>
                <w:rFonts w:ascii="Arial" w:cs="Arial" w:eastAsia="Arial" w:hAnsi="Arial"/>
                <w:sz w:val="18"/>
                <w:szCs w:val="18"/>
                <w:color w:val="0000EE"/>
                <w:w w:val="95"/>
              </w:rPr>
              <w:t>Condensed Consolidated Statements of Earnings for the three and six month periods ended June 30, 2023 and 2022 (unaudited)</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5</w:t>
            </w:r>
          </w:p>
        </w:tc>
      </w:tr>
      <w:tr>
        <w:trPr>
          <w:trHeight w:val="20"/>
        </w:trPr>
        <w:tc>
          <w:tcPr>
            <w:tcW w:w="7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4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700" w:type="dxa"/>
            <w:vAlign w:val="bottom"/>
            <w:tcBorders>
              <w:bottom w:val="single" w:sz="8" w:color="CCEEFF"/>
            </w:tcBorders>
            <w:shd w:val="clear" w:color="auto" w:fill="CCEEFF"/>
          </w:tcPr>
          <w:p>
            <w:pPr>
              <w:spacing w:after="0"/>
              <w:rPr>
                <w:sz w:val="15"/>
                <w:szCs w:val="15"/>
                <w:color w:val="auto"/>
              </w:rPr>
            </w:pPr>
          </w:p>
        </w:tc>
        <w:tc>
          <w:tcPr>
            <w:tcW w:w="9840" w:type="dxa"/>
            <w:vAlign w:val="bottom"/>
            <w:tcBorders>
              <w:bottom w:val="single" w:sz="8" w:color="0000EE"/>
            </w:tcBorders>
            <w:gridSpan w:val="22"/>
            <w:shd w:val="clear" w:color="auto" w:fill="CCEEFF"/>
          </w:tcPr>
          <w:p>
            <w:pPr>
              <w:ind w:left="20"/>
              <w:spacing w:after="0" w:line="176" w:lineRule="exact"/>
              <w:rPr>
                <w:sz w:val="20"/>
                <w:szCs w:val="20"/>
                <w:color w:val="auto"/>
              </w:rPr>
            </w:pPr>
            <w:r>
              <w:rPr>
                <w:rFonts w:ascii="Arial" w:cs="Arial" w:eastAsia="Arial" w:hAnsi="Arial"/>
                <w:sz w:val="18"/>
                <w:szCs w:val="18"/>
                <w:color w:val="0000EE"/>
                <w:w w:val="89"/>
              </w:rPr>
              <w:t>Condensed Consolidated Statements of Comprehensive Income (loss) for the three and six month periods ended June 30, 2023 and 2022</w:t>
            </w:r>
          </w:p>
        </w:tc>
        <w:tc>
          <w:tcPr>
            <w:tcW w:w="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6</w:t>
            </w:r>
          </w:p>
        </w:tc>
      </w:tr>
      <w:tr>
        <w:trPr>
          <w:trHeight w:val="217"/>
        </w:trPr>
        <w:tc>
          <w:tcPr>
            <w:tcW w:w="7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0000EE"/>
            </w:tcBorders>
            <w:gridSpan w:val="3"/>
            <w:shd w:val="clear" w:color="auto" w:fill="CCEEFF"/>
          </w:tcPr>
          <w:p>
            <w:pPr>
              <w:ind w:left="20"/>
              <w:spacing w:after="0" w:line="196" w:lineRule="exact"/>
              <w:rPr>
                <w:sz w:val="20"/>
                <w:szCs w:val="20"/>
                <w:color w:val="auto"/>
              </w:rPr>
            </w:pPr>
            <w:r>
              <w:rPr>
                <w:rFonts w:ascii="Arial" w:cs="Arial" w:eastAsia="Arial" w:hAnsi="Arial"/>
                <w:sz w:val="18"/>
                <w:szCs w:val="18"/>
                <w:color w:val="0000EE"/>
                <w:w w:val="87"/>
              </w:rPr>
              <w:t>(unaudited)</w:t>
            </w:r>
          </w:p>
        </w:tc>
        <w:tc>
          <w:tcPr>
            <w:tcW w:w="9060" w:type="dxa"/>
            <w:vAlign w:val="bottom"/>
            <w:tcBorders>
              <w:bottom w:val="single" w:sz="8" w:color="CCEEFF"/>
            </w:tcBorders>
            <w:gridSpan w:val="20"/>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r>
      <w:tr>
        <w:trPr>
          <w:trHeight w:val="175"/>
        </w:trPr>
        <w:tc>
          <w:tcPr>
            <w:tcW w:w="700" w:type="dxa"/>
            <w:vAlign w:val="bottom"/>
          </w:tcPr>
          <w:p>
            <w:pPr>
              <w:spacing w:after="0"/>
              <w:rPr>
                <w:sz w:val="15"/>
                <w:szCs w:val="15"/>
                <w:color w:val="auto"/>
              </w:rPr>
            </w:pPr>
          </w:p>
        </w:tc>
        <w:tc>
          <w:tcPr>
            <w:tcW w:w="9900" w:type="dxa"/>
            <w:vAlign w:val="bottom"/>
            <w:gridSpan w:val="23"/>
          </w:tcPr>
          <w:p>
            <w:pPr>
              <w:ind w:left="20"/>
              <w:spacing w:after="0" w:line="176" w:lineRule="exact"/>
              <w:rPr>
                <w:sz w:val="20"/>
                <w:szCs w:val="20"/>
                <w:color w:val="auto"/>
              </w:rPr>
            </w:pPr>
            <w:r>
              <w:rPr>
                <w:rFonts w:ascii="Arial" w:cs="Arial" w:eastAsia="Arial" w:hAnsi="Arial"/>
                <w:sz w:val="18"/>
                <w:szCs w:val="18"/>
                <w:color w:val="0000EE"/>
              </w:rPr>
              <w:t>Condensed Consolidated Statements of Stockholders’ Equity as of June 30, 2023 and June 30, 2022 (unaudited)</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7</w:t>
            </w:r>
          </w:p>
        </w:tc>
      </w:tr>
      <w:tr>
        <w:trPr>
          <w:trHeight w:val="21"/>
        </w:trPr>
        <w:tc>
          <w:tcPr>
            <w:tcW w:w="7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4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700" w:type="dxa"/>
            <w:vAlign w:val="bottom"/>
            <w:shd w:val="clear" w:color="auto" w:fill="CCEEFF"/>
          </w:tcPr>
          <w:p>
            <w:pPr>
              <w:spacing w:after="0"/>
              <w:rPr>
                <w:sz w:val="17"/>
                <w:szCs w:val="17"/>
                <w:color w:val="auto"/>
              </w:rPr>
            </w:pPr>
          </w:p>
        </w:tc>
        <w:tc>
          <w:tcPr>
            <w:tcW w:w="9900" w:type="dxa"/>
            <w:vAlign w:val="bottom"/>
            <w:gridSpan w:val="23"/>
            <w:shd w:val="clear" w:color="auto" w:fill="CCEEFF"/>
          </w:tcPr>
          <w:p>
            <w:pPr>
              <w:ind w:left="20"/>
              <w:spacing w:after="0" w:line="176" w:lineRule="exact"/>
              <w:rPr>
                <w:sz w:val="20"/>
                <w:szCs w:val="20"/>
                <w:color w:val="auto"/>
              </w:rPr>
            </w:pPr>
            <w:r>
              <w:rPr>
                <w:rFonts w:ascii="Arial" w:cs="Arial" w:eastAsia="Arial" w:hAnsi="Arial"/>
                <w:sz w:val="18"/>
                <w:szCs w:val="18"/>
                <w:color w:val="0000EE"/>
              </w:rPr>
              <w:t>Condensed Consolidated Statements of Cash Flows for the six month periods ended June 30, 2023 and 2022 (unaudited)</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8-9</w:t>
            </w:r>
          </w:p>
        </w:tc>
      </w:tr>
      <w:tr>
        <w:trPr>
          <w:trHeight w:val="176"/>
        </w:trPr>
        <w:tc>
          <w:tcPr>
            <w:tcW w:w="700" w:type="dxa"/>
            <w:vAlign w:val="bottom"/>
            <w:tcBorders>
              <w:top w:val="single" w:sz="8" w:color="CCEEFF"/>
            </w:tcBorders>
          </w:tcPr>
          <w:p>
            <w:pPr>
              <w:spacing w:after="0"/>
              <w:rPr>
                <w:sz w:val="15"/>
                <w:szCs w:val="15"/>
                <w:color w:val="auto"/>
              </w:rPr>
            </w:pPr>
          </w:p>
        </w:tc>
        <w:tc>
          <w:tcPr>
            <w:tcW w:w="8680" w:type="dxa"/>
            <w:vAlign w:val="bottom"/>
            <w:tcBorders>
              <w:top w:val="single" w:sz="8" w:color="0000EE"/>
            </w:tcBorders>
            <w:gridSpan w:val="20"/>
          </w:tcPr>
          <w:p>
            <w:pPr>
              <w:ind w:left="20"/>
              <w:spacing w:after="0" w:line="176" w:lineRule="exact"/>
              <w:rPr>
                <w:sz w:val="20"/>
                <w:szCs w:val="20"/>
                <w:color w:val="auto"/>
              </w:rPr>
            </w:pPr>
            <w:r>
              <w:rPr>
                <w:rFonts w:ascii="Arial" w:cs="Arial" w:eastAsia="Arial" w:hAnsi="Arial"/>
                <w:sz w:val="18"/>
                <w:szCs w:val="18"/>
                <w:color w:val="0000EE"/>
              </w:rPr>
              <w:t>Notes to Condensed Consolidated Financial Statements (unaudited)</w:t>
            </w:r>
          </w:p>
        </w:tc>
        <w:tc>
          <w:tcPr>
            <w:tcW w:w="1220" w:type="dxa"/>
            <w:vAlign w:val="bottom"/>
            <w:tcBorders>
              <w:top w:val="single" w:sz="8" w:color="CCEEFF"/>
            </w:tcBorders>
            <w:gridSpan w:val="3"/>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10</w:t>
            </w:r>
          </w:p>
        </w:tc>
      </w:tr>
      <w:tr>
        <w:trPr>
          <w:trHeight w:val="20"/>
        </w:trPr>
        <w:tc>
          <w:tcPr>
            <w:tcW w:w="7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4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7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900" w:type="dxa"/>
            <w:vAlign w:val="bottom"/>
            <w:gridSpan w:val="23"/>
            <w:shd w:val="clear" w:color="auto" w:fill="CCEEFF"/>
          </w:tcPr>
          <w:p>
            <w:pPr>
              <w:ind w:left="20"/>
              <w:spacing w:after="0" w:line="17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58</w:t>
            </w:r>
          </w:p>
        </w:tc>
      </w:tr>
      <w:tr>
        <w:trPr>
          <w:trHeight w:val="175"/>
        </w:trPr>
        <w:tc>
          <w:tcPr>
            <w:tcW w:w="70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3.</w:t>
            </w:r>
          </w:p>
        </w:tc>
        <w:tc>
          <w:tcPr>
            <w:tcW w:w="6460" w:type="dxa"/>
            <w:vAlign w:val="bottom"/>
            <w:tcBorders>
              <w:top w:val="single" w:sz="8" w:color="0000EE"/>
            </w:tcBorders>
            <w:gridSpan w:val="17"/>
          </w:tcPr>
          <w:p>
            <w:pPr>
              <w:ind w:left="20"/>
              <w:spacing w:after="0" w:line="176" w:lineRule="exact"/>
              <w:rPr>
                <w:sz w:val="20"/>
                <w:szCs w:val="20"/>
                <w:color w:val="auto"/>
              </w:rPr>
            </w:pPr>
            <w:r>
              <w:rPr>
                <w:rFonts w:ascii="Arial" w:cs="Arial" w:eastAsia="Arial" w:hAnsi="Arial"/>
                <w:sz w:val="18"/>
                <w:szCs w:val="18"/>
                <w:color w:val="0000EE"/>
              </w:rPr>
              <w:t>Quantitative and Qualitative Disclosures about Market Risk</w:t>
            </w:r>
          </w:p>
        </w:tc>
        <w:tc>
          <w:tcPr>
            <w:tcW w:w="3440" w:type="dxa"/>
            <w:vAlign w:val="bottom"/>
            <w:tcBorders>
              <w:top w:val="single" w:sz="8" w:color="CCEEFF"/>
            </w:tcBorders>
            <w:gridSpan w:val="6"/>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64</w:t>
            </w:r>
          </w:p>
        </w:tc>
      </w:tr>
      <w:tr>
        <w:trPr>
          <w:trHeight w:val="21"/>
        </w:trPr>
        <w:tc>
          <w:tcPr>
            <w:tcW w:w="7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4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7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900" w:type="dxa"/>
            <w:vAlign w:val="bottom"/>
            <w:gridSpan w:val="23"/>
            <w:shd w:val="clear" w:color="auto" w:fill="CCEEFF"/>
          </w:tcPr>
          <w:p>
            <w:pPr>
              <w:ind w:left="20"/>
              <w:spacing w:after="0" w:line="176" w:lineRule="exact"/>
              <w:rPr>
                <w:sz w:val="20"/>
                <w:szCs w:val="20"/>
                <w:color w:val="auto"/>
              </w:rPr>
            </w:pPr>
            <w:r>
              <w:rPr>
                <w:rFonts w:ascii="Arial" w:cs="Arial" w:eastAsia="Arial" w:hAnsi="Arial"/>
                <w:sz w:val="18"/>
                <w:szCs w:val="18"/>
                <w:color w:val="0000EE"/>
              </w:rPr>
              <w:t>Controls and Procedures</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65</w:t>
            </w:r>
          </w:p>
        </w:tc>
      </w:tr>
      <w:tr>
        <w:trPr>
          <w:trHeight w:val="175"/>
        </w:trPr>
        <w:tc>
          <w:tcPr>
            <w:tcW w:w="700" w:type="dxa"/>
            <w:vAlign w:val="bottom"/>
            <w:tcBorders>
              <w:top w:val="single" w:sz="8" w:color="CCEEFF"/>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c>
          <w:tcPr>
            <w:tcW w:w="1460" w:type="dxa"/>
            <w:vAlign w:val="bottom"/>
            <w:tcBorders>
              <w:top w:val="single" w:sz="8" w:color="CCEEFF"/>
            </w:tcBorders>
          </w:tcPr>
          <w:p>
            <w:pPr>
              <w:spacing w:after="0"/>
              <w:rPr>
                <w:sz w:val="15"/>
                <w:szCs w:val="15"/>
                <w:color w:val="auto"/>
              </w:rPr>
            </w:pPr>
          </w:p>
        </w:tc>
        <w:tc>
          <w:tcPr>
            <w:tcW w:w="6100" w:type="dxa"/>
            <w:vAlign w:val="bottom"/>
            <w:tcBorders>
              <w:top w:val="single" w:sz="8" w:color="CCEEFF"/>
            </w:tcBorders>
            <w:gridSpan w:val="13"/>
          </w:tcPr>
          <w:p>
            <w:pPr>
              <w:jc w:val="center"/>
              <w:ind w:right="3780"/>
              <w:spacing w:after="0" w:line="176" w:lineRule="exact"/>
              <w:rPr>
                <w:sz w:val="20"/>
                <w:szCs w:val="20"/>
                <w:color w:val="auto"/>
              </w:rPr>
            </w:pPr>
            <w:r>
              <w:rPr>
                <w:rFonts w:ascii="Arial" w:cs="Arial" w:eastAsia="Arial" w:hAnsi="Arial"/>
                <w:sz w:val="18"/>
                <w:szCs w:val="18"/>
                <w:b w:val="1"/>
                <w:bCs w:val="1"/>
                <w:color w:val="0000EE"/>
                <w:w w:val="97"/>
              </w:rPr>
              <w:t>Part II - Other Information</w:t>
            </w:r>
          </w:p>
        </w:tc>
        <w:tc>
          <w:tcPr>
            <w:tcW w:w="640" w:type="dxa"/>
            <w:vAlign w:val="bottom"/>
            <w:tcBorders>
              <w:top w:val="single" w:sz="8" w:color="CCEEFF"/>
            </w:tcBorders>
          </w:tcPr>
          <w:p>
            <w:pPr>
              <w:spacing w:after="0"/>
              <w:rPr>
                <w:sz w:val="15"/>
                <w:szCs w:val="15"/>
                <w:color w:val="auto"/>
              </w:rPr>
            </w:pPr>
          </w:p>
        </w:tc>
      </w:tr>
      <w:tr>
        <w:trPr>
          <w:trHeight w:val="21"/>
        </w:trPr>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7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900" w:type="dxa"/>
            <w:vAlign w:val="bottom"/>
            <w:gridSpan w:val="23"/>
            <w:shd w:val="clear" w:color="auto" w:fill="CCEEFF"/>
          </w:tcPr>
          <w:p>
            <w:pPr>
              <w:ind w:left="20"/>
              <w:spacing w:after="0" w:line="176" w:lineRule="exact"/>
              <w:rPr>
                <w:sz w:val="20"/>
                <w:szCs w:val="20"/>
                <w:color w:val="auto"/>
              </w:rPr>
            </w:pPr>
            <w:r>
              <w:rPr>
                <w:rFonts w:ascii="Arial" w:cs="Arial" w:eastAsia="Arial" w:hAnsi="Arial"/>
                <w:sz w:val="18"/>
                <w:szCs w:val="18"/>
                <w:color w:val="0000EE"/>
              </w:rPr>
              <w:t>Legal Proceedings</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65</w:t>
            </w:r>
          </w:p>
        </w:tc>
      </w:tr>
      <w:tr>
        <w:trPr>
          <w:trHeight w:val="176"/>
        </w:trPr>
        <w:tc>
          <w:tcPr>
            <w:tcW w:w="70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1A.</w:t>
            </w:r>
          </w:p>
        </w:tc>
        <w:tc>
          <w:tcPr>
            <w:tcW w:w="1340" w:type="dxa"/>
            <w:vAlign w:val="bottom"/>
            <w:tcBorders>
              <w:top w:val="single" w:sz="8" w:color="0000EE"/>
            </w:tcBorders>
            <w:gridSpan w:val="6"/>
          </w:tcPr>
          <w:p>
            <w:pPr>
              <w:ind w:left="20"/>
              <w:spacing w:after="0" w:line="176" w:lineRule="exact"/>
              <w:rPr>
                <w:sz w:val="20"/>
                <w:szCs w:val="20"/>
                <w:color w:val="auto"/>
              </w:rPr>
            </w:pPr>
            <w:r>
              <w:rPr>
                <w:rFonts w:ascii="Arial" w:cs="Arial" w:eastAsia="Arial" w:hAnsi="Arial"/>
                <w:sz w:val="18"/>
                <w:szCs w:val="18"/>
                <w:color w:val="0000EE"/>
              </w:rPr>
              <w:t>Risk Factors</w:t>
            </w:r>
          </w:p>
        </w:tc>
        <w:tc>
          <w:tcPr>
            <w:tcW w:w="8560" w:type="dxa"/>
            <w:vAlign w:val="bottom"/>
            <w:tcBorders>
              <w:top w:val="single" w:sz="8" w:color="CCEEFF"/>
            </w:tcBorders>
            <w:gridSpan w:val="17"/>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65</w:t>
            </w:r>
          </w:p>
        </w:tc>
      </w:tr>
      <w:tr>
        <w:trPr>
          <w:trHeight w:val="20"/>
        </w:trPr>
        <w:tc>
          <w:tcPr>
            <w:tcW w:w="7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7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3"/>
            <w:shd w:val="clear" w:color="auto" w:fill="CCEEFF"/>
          </w:tcPr>
          <w:p>
            <w:pPr>
              <w:ind w:left="20"/>
              <w:spacing w:after="0" w:line="176" w:lineRule="exact"/>
              <w:rPr>
                <w:sz w:val="20"/>
                <w:szCs w:val="20"/>
                <w:color w:val="auto"/>
              </w:rPr>
            </w:pPr>
            <w:r>
              <w:rPr>
                <w:rFonts w:ascii="Arial" w:cs="Arial" w:eastAsia="Arial" w:hAnsi="Arial"/>
                <w:sz w:val="18"/>
                <w:szCs w:val="18"/>
                <w:color w:val="0000EE"/>
                <w:w w:val="89"/>
              </w:rPr>
              <w:t>Unregistered Sales of Equity Securities and Use of Proceeds</w:t>
            </w:r>
          </w:p>
        </w:tc>
        <w:tc>
          <w:tcPr>
            <w:tcW w:w="5540" w:type="dxa"/>
            <w:vAlign w:val="bottom"/>
            <w:tcBorders>
              <w:bottom w:val="single" w:sz="8" w:color="CCEEFF"/>
            </w:tcBorders>
            <w:gridSpan w:val="1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66</w:t>
            </w:r>
          </w:p>
        </w:tc>
      </w:tr>
      <w:tr>
        <w:trPr>
          <w:trHeight w:val="175"/>
        </w:trPr>
        <w:tc>
          <w:tcPr>
            <w:tcW w:w="700" w:type="dxa"/>
            <w:vAlign w:val="bottom"/>
          </w:tcPr>
          <w:p>
            <w:pPr>
              <w:spacing w:after="0" w:line="176" w:lineRule="exact"/>
              <w:rPr>
                <w:sz w:val="20"/>
                <w:szCs w:val="20"/>
                <w:color w:val="auto"/>
              </w:rPr>
            </w:pPr>
            <w:r>
              <w:rPr>
                <w:rFonts w:ascii="Arial" w:cs="Arial" w:eastAsia="Arial" w:hAnsi="Arial"/>
                <w:sz w:val="18"/>
                <w:szCs w:val="18"/>
                <w:color w:val="auto"/>
              </w:rPr>
              <w:t>Item 3.</w:t>
            </w:r>
          </w:p>
        </w:tc>
        <w:tc>
          <w:tcPr>
            <w:tcW w:w="9900" w:type="dxa"/>
            <w:vAlign w:val="bottom"/>
            <w:gridSpan w:val="23"/>
          </w:tcPr>
          <w:p>
            <w:pPr>
              <w:ind w:left="20"/>
              <w:spacing w:after="0" w:line="176" w:lineRule="exact"/>
              <w:rPr>
                <w:sz w:val="20"/>
                <w:szCs w:val="20"/>
                <w:color w:val="auto"/>
              </w:rPr>
            </w:pPr>
            <w:r>
              <w:rPr>
                <w:rFonts w:ascii="Arial" w:cs="Arial" w:eastAsia="Arial" w:hAnsi="Arial"/>
                <w:sz w:val="18"/>
                <w:szCs w:val="18"/>
                <w:color w:val="0000EE"/>
              </w:rPr>
              <w:t>Defaults Upon Senior Securities</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66</w:t>
            </w:r>
          </w:p>
        </w:tc>
      </w:tr>
      <w:tr>
        <w:trPr>
          <w:trHeight w:val="21"/>
        </w:trPr>
        <w:tc>
          <w:tcPr>
            <w:tcW w:w="7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7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8"/>
            <w:shd w:val="clear" w:color="auto" w:fill="CCEEFF"/>
          </w:tcPr>
          <w:p>
            <w:pPr>
              <w:ind w:left="20"/>
              <w:spacing w:after="0" w:line="176" w:lineRule="exact"/>
              <w:rPr>
                <w:sz w:val="20"/>
                <w:szCs w:val="20"/>
                <w:color w:val="auto"/>
              </w:rPr>
            </w:pPr>
            <w:r>
              <w:rPr>
                <w:rFonts w:ascii="Arial" w:cs="Arial" w:eastAsia="Arial" w:hAnsi="Arial"/>
                <w:sz w:val="18"/>
                <w:szCs w:val="18"/>
                <w:color w:val="0000EE"/>
                <w:w w:val="90"/>
              </w:rPr>
              <w:t>Mine Safety Disclosures</w:t>
            </w:r>
          </w:p>
        </w:tc>
        <w:tc>
          <w:tcPr>
            <w:tcW w:w="8120" w:type="dxa"/>
            <w:vAlign w:val="bottom"/>
            <w:tcBorders>
              <w:bottom w:val="single" w:sz="8" w:color="CCEEFF"/>
            </w:tcBorders>
            <w:gridSpan w:val="1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66</w:t>
            </w:r>
          </w:p>
        </w:tc>
      </w:tr>
      <w:tr>
        <w:trPr>
          <w:trHeight w:val="175"/>
        </w:trPr>
        <w:tc>
          <w:tcPr>
            <w:tcW w:w="700" w:type="dxa"/>
            <w:vAlign w:val="bottom"/>
          </w:tcPr>
          <w:p>
            <w:pPr>
              <w:spacing w:after="0" w:line="176" w:lineRule="exact"/>
              <w:rPr>
                <w:sz w:val="20"/>
                <w:szCs w:val="20"/>
                <w:color w:val="auto"/>
              </w:rPr>
            </w:pPr>
            <w:r>
              <w:rPr>
                <w:rFonts w:ascii="Arial" w:cs="Arial" w:eastAsia="Arial" w:hAnsi="Arial"/>
                <w:sz w:val="18"/>
                <w:szCs w:val="18"/>
                <w:color w:val="auto"/>
              </w:rPr>
              <w:t>Item 5.</w:t>
            </w:r>
          </w:p>
        </w:tc>
        <w:tc>
          <w:tcPr>
            <w:tcW w:w="9900" w:type="dxa"/>
            <w:vAlign w:val="bottom"/>
            <w:gridSpan w:val="23"/>
          </w:tcPr>
          <w:p>
            <w:pPr>
              <w:ind w:left="20"/>
              <w:spacing w:after="0" w:line="176" w:lineRule="exact"/>
              <w:rPr>
                <w:sz w:val="20"/>
                <w:szCs w:val="20"/>
                <w:color w:val="auto"/>
              </w:rPr>
            </w:pPr>
            <w:r>
              <w:rPr>
                <w:rFonts w:ascii="Arial" w:cs="Arial" w:eastAsia="Arial" w:hAnsi="Arial"/>
                <w:sz w:val="18"/>
                <w:szCs w:val="18"/>
                <w:color w:val="0000EE"/>
              </w:rPr>
              <w:t>Other Information</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66</w:t>
            </w:r>
          </w:p>
        </w:tc>
      </w:tr>
      <w:tr>
        <w:trPr>
          <w:trHeight w:val="20"/>
        </w:trPr>
        <w:tc>
          <w:tcPr>
            <w:tcW w:w="7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7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900" w:type="dxa"/>
            <w:vAlign w:val="bottom"/>
            <w:gridSpan w:val="23"/>
            <w:shd w:val="clear" w:color="auto" w:fill="CCEEFF"/>
          </w:tcPr>
          <w:p>
            <w:pPr>
              <w:ind w:left="20"/>
              <w:spacing w:after="0" w:line="176" w:lineRule="exact"/>
              <w:rPr>
                <w:sz w:val="20"/>
                <w:szCs w:val="20"/>
                <w:color w:val="auto"/>
              </w:rPr>
            </w:pPr>
            <w:r>
              <w:rPr>
                <w:rFonts w:ascii="Arial" w:cs="Arial" w:eastAsia="Arial" w:hAnsi="Arial"/>
                <w:sz w:val="18"/>
                <w:szCs w:val="18"/>
                <w:color w:val="0000EE"/>
              </w:rPr>
              <w:t>Exhibits</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67</w:t>
            </w:r>
          </w:p>
        </w:tc>
      </w:tr>
      <w:tr>
        <w:trPr>
          <w:trHeight w:val="20"/>
        </w:trPr>
        <w:tc>
          <w:tcPr>
            <w:tcW w:w="7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00" w:type="dxa"/>
            <w:vAlign w:val="bottom"/>
          </w:tcPr>
          <w:p>
            <w:pPr>
              <w:spacing w:after="0"/>
              <w:rPr>
                <w:sz w:val="15"/>
                <w:szCs w:val="15"/>
                <w:color w:val="auto"/>
              </w:rPr>
            </w:pPr>
          </w:p>
        </w:tc>
        <w:tc>
          <w:tcPr>
            <w:tcW w:w="9900" w:type="dxa"/>
            <w:vAlign w:val="bottom"/>
            <w:gridSpan w:val="23"/>
          </w:tcPr>
          <w:p>
            <w:pPr>
              <w:ind w:left="20"/>
              <w:spacing w:after="0" w:line="176" w:lineRule="exact"/>
              <w:rPr>
                <w:sz w:val="20"/>
                <w:szCs w:val="20"/>
                <w:color w:val="auto"/>
              </w:rPr>
            </w:pPr>
            <w:r>
              <w:rPr>
                <w:rFonts w:ascii="Arial" w:cs="Arial" w:eastAsia="Arial" w:hAnsi="Arial"/>
                <w:sz w:val="18"/>
                <w:szCs w:val="18"/>
                <w:color w:val="0000EE"/>
              </w:rPr>
              <w:t>Signatures</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68</w:t>
            </w:r>
          </w:p>
        </w:tc>
      </w:tr>
      <w:tr>
        <w:trPr>
          <w:trHeight w:val="460"/>
        </w:trPr>
        <w:tc>
          <w:tcPr>
            <w:tcW w:w="700" w:type="dxa"/>
            <w:vAlign w:val="bottom"/>
            <w:tcBorders>
              <w:bottom w:val="single" w:sz="8" w:color="auto"/>
            </w:tcBorders>
          </w:tcPr>
          <w:p>
            <w:pPr>
              <w:spacing w:after="0"/>
              <w:rPr>
                <w:sz w:val="24"/>
                <w:szCs w:val="24"/>
                <w:color w:val="auto"/>
              </w:rPr>
            </w:pPr>
          </w:p>
        </w:tc>
        <w:tc>
          <w:tcPr>
            <w:tcW w:w="760" w:type="dxa"/>
            <w:vAlign w:val="bottom"/>
            <w:tcBorders>
              <w:top w:val="single" w:sz="8" w:color="0000EE"/>
              <w:bottom w:val="single" w:sz="8" w:color="auto"/>
            </w:tcBorders>
            <w:gridSpan w:val="2"/>
          </w:tcPr>
          <w:p>
            <w:pPr>
              <w:spacing w:after="0"/>
              <w:rPr>
                <w:sz w:val="24"/>
                <w:szCs w:val="24"/>
                <w:color w:val="auto"/>
              </w:rPr>
            </w:pPr>
          </w:p>
        </w:tc>
        <w:tc>
          <w:tcPr>
            <w:tcW w:w="5260" w:type="dxa"/>
            <w:vAlign w:val="bottom"/>
            <w:tcBorders>
              <w:bottom w:val="single" w:sz="8" w:color="auto"/>
            </w:tcBorders>
            <w:gridSpan w:val="13"/>
          </w:tcPr>
          <w:p>
            <w:pPr>
              <w:jc w:val="center"/>
              <w:ind w:left="2970"/>
              <w:spacing w:after="0"/>
              <w:rPr>
                <w:sz w:val="20"/>
                <w:szCs w:val="20"/>
                <w:color w:val="auto"/>
              </w:rPr>
            </w:pPr>
            <w:r>
              <w:rPr>
                <w:rFonts w:ascii="Arial" w:cs="Arial" w:eastAsia="Arial" w:hAnsi="Arial"/>
                <w:sz w:val="18"/>
                <w:szCs w:val="18"/>
                <w:color w:val="auto"/>
                <w:w w:val="79"/>
              </w:rPr>
              <w:t>2</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80" w:type="dxa"/>
            <w:vAlign w:val="bottom"/>
          </w:tcPr>
          <w:p>
            <w:pPr>
              <w:ind w:left="4460"/>
              <w:spacing w:after="0"/>
              <w:rPr>
                <w:sz w:val="20"/>
                <w:szCs w:val="20"/>
                <w:color w:val="auto"/>
              </w:rPr>
            </w:pPr>
            <w:r>
              <w:rPr>
                <w:rFonts w:ascii="Arial" w:cs="Arial" w:eastAsia="Arial" w:hAnsi="Arial"/>
                <w:sz w:val="18"/>
                <w:szCs w:val="18"/>
                <w:b w:val="1"/>
                <w:bCs w:val="1"/>
                <w:color w:val="auto"/>
                <w:w w:val="98"/>
              </w:rPr>
              <w:t>Part I - Financial Information</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88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gridSpan w:val="2"/>
          </w:tcPr>
          <w:p>
            <w:pPr>
              <w:jc w:val="right"/>
              <w:ind w:right="620"/>
              <w:spacing w:after="0"/>
              <w:rPr>
                <w:sz w:val="20"/>
                <w:szCs w:val="20"/>
                <w:color w:val="auto"/>
              </w:rPr>
            </w:pPr>
            <w:r>
              <w:rPr>
                <w:rFonts w:ascii="Arial" w:cs="Arial" w:eastAsia="Arial" w:hAnsi="Arial"/>
                <w:sz w:val="18"/>
                <w:szCs w:val="18"/>
                <w:color w:val="auto"/>
              </w:rPr>
              <w:t>June 30, 2023</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0" w:type="dxa"/>
            <w:vAlign w:val="bottom"/>
            <w:gridSpan w:val="2"/>
          </w:tcPr>
          <w:p>
            <w:pPr>
              <w:jc w:val="right"/>
              <w:ind w:right="680"/>
              <w:spacing w:after="0"/>
              <w:rPr>
                <w:sz w:val="20"/>
                <w:szCs w:val="20"/>
                <w:color w:val="auto"/>
              </w:rPr>
            </w:pPr>
            <w:r>
              <w:rPr>
                <w:rFonts w:ascii="Arial" w:cs="Arial" w:eastAsia="Arial" w:hAnsi="Arial"/>
                <w:sz w:val="18"/>
                <w:szCs w:val="18"/>
                <w:color w:val="auto"/>
              </w:rPr>
              <w:t>(Unaudited)</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2"/>
          </w:tcPr>
          <w:p>
            <w:pPr>
              <w:ind w:left="80"/>
              <w:spacing w:after="0"/>
              <w:rPr>
                <w:sz w:val="20"/>
                <w:szCs w:val="20"/>
                <w:color w:val="auto"/>
              </w:rPr>
            </w:pPr>
            <w:r>
              <w:rPr>
                <w:rFonts w:ascii="Arial" w:cs="Arial" w:eastAsia="Arial" w:hAnsi="Arial"/>
                <w:sz w:val="18"/>
                <w:szCs w:val="18"/>
                <w:color w:val="auto"/>
              </w:rPr>
              <w:t>December 31, 2022</w:t>
            </w:r>
          </w:p>
        </w:tc>
        <w:tc>
          <w:tcPr>
            <w:tcW w:w="0" w:type="dxa"/>
            <w:vAlign w:val="bottom"/>
          </w:tcPr>
          <w:p>
            <w:pPr>
              <w:spacing w:after="0"/>
              <w:rPr>
                <w:sz w:val="1"/>
                <w:szCs w:val="1"/>
                <w:color w:val="auto"/>
              </w:rPr>
            </w:pPr>
          </w:p>
        </w:tc>
      </w:tr>
      <w:tr>
        <w:trPr>
          <w:trHeight w:val="216"/>
        </w:trPr>
        <w:tc>
          <w:tcPr>
            <w:tcW w:w="6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Investments: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8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Fixed maturity securities, available for sale, at estimated fair value (amortized cost of</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$371,731,265 and $362,750,511 for 2023 and 2022, respectively; allowance for credit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losses of $224,005 and nil for 2023 and 2022, respectively)</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354,789,812</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345,858,492</w:t>
            </w:r>
          </w:p>
        </w:tc>
        <w:tc>
          <w:tcPr>
            <w:tcW w:w="0" w:type="dxa"/>
            <w:vAlign w:val="bottom"/>
          </w:tcPr>
          <w:p>
            <w:pPr>
              <w:spacing w:after="0"/>
              <w:rPr>
                <w:sz w:val="1"/>
                <w:szCs w:val="1"/>
                <w:color w:val="auto"/>
              </w:rPr>
            </w:pPr>
          </w:p>
        </w:tc>
      </w:tr>
      <w:tr>
        <w:trPr>
          <w:trHeight w:val="202"/>
        </w:trPr>
        <w:tc>
          <w:tcPr>
            <w:tcW w:w="6880" w:type="dxa"/>
            <w:vAlign w:val="bottom"/>
          </w:tcPr>
          <w:p>
            <w:pPr>
              <w:ind w:left="180"/>
              <w:spacing w:after="0" w:line="201" w:lineRule="exact"/>
              <w:rPr>
                <w:sz w:val="20"/>
                <w:szCs w:val="20"/>
                <w:color w:val="auto"/>
              </w:rPr>
            </w:pPr>
            <w:r>
              <w:rPr>
                <w:rFonts w:ascii="Arial" w:cs="Arial" w:eastAsia="Arial" w:hAnsi="Arial"/>
                <w:sz w:val="18"/>
                <w:szCs w:val="18"/>
                <w:color w:val="auto"/>
                <w:w w:val="93"/>
              </w:rPr>
              <w:t>Equity securities at estimated fair value (cost of $10,416,580 and $9,942,265 for 2023 and</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80" w:type="dxa"/>
            <w:vAlign w:val="bottom"/>
          </w:tcPr>
          <w:p>
            <w:pPr>
              <w:ind w:left="180"/>
              <w:spacing w:after="0"/>
              <w:rPr>
                <w:sz w:val="20"/>
                <w:szCs w:val="20"/>
                <w:color w:val="auto"/>
              </w:rPr>
            </w:pPr>
            <w:r>
              <w:rPr>
                <w:rFonts w:ascii="Arial" w:cs="Arial" w:eastAsia="Arial" w:hAnsi="Arial"/>
                <w:sz w:val="18"/>
                <w:szCs w:val="18"/>
                <w:color w:val="auto"/>
              </w:rPr>
              <w:t>2022, respectively)</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rPr>
              <w:t>12,801,925</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11,682,526</w:t>
            </w:r>
          </w:p>
        </w:tc>
        <w:tc>
          <w:tcPr>
            <w:tcW w:w="0" w:type="dxa"/>
            <w:vAlign w:val="bottom"/>
          </w:tcPr>
          <w:p>
            <w:pPr>
              <w:spacing w:after="0"/>
              <w:rPr>
                <w:sz w:val="1"/>
                <w:szCs w:val="1"/>
                <w:color w:val="auto"/>
              </w:rPr>
            </w:pPr>
          </w:p>
        </w:tc>
      </w:tr>
      <w:tr>
        <w:trPr>
          <w:trHeight w:val="202"/>
        </w:trPr>
        <w:tc>
          <w:tcPr>
            <w:tcW w:w="68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4"/>
              </w:rPr>
              <w:t>Mortgage loans held for investment (net of allowance for credit losses of $2,663,560 and</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$1,970,311 for 2023 and 2022, respectively)</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271,049,585</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308,123,927</w:t>
            </w:r>
          </w:p>
        </w:tc>
        <w:tc>
          <w:tcPr>
            <w:tcW w:w="0" w:type="dxa"/>
            <w:vAlign w:val="bottom"/>
          </w:tcPr>
          <w:p>
            <w:pPr>
              <w:spacing w:after="0"/>
              <w:rPr>
                <w:sz w:val="1"/>
                <w:szCs w:val="1"/>
                <w:color w:val="auto"/>
              </w:rPr>
            </w:pPr>
          </w:p>
        </w:tc>
      </w:tr>
      <w:tr>
        <w:trPr>
          <w:trHeight w:val="202"/>
        </w:trPr>
        <w:tc>
          <w:tcPr>
            <w:tcW w:w="6880" w:type="dxa"/>
            <w:vAlign w:val="bottom"/>
          </w:tcPr>
          <w:p>
            <w:pPr>
              <w:ind w:left="180"/>
              <w:spacing w:after="0" w:line="201" w:lineRule="exact"/>
              <w:rPr>
                <w:sz w:val="20"/>
                <w:szCs w:val="20"/>
                <w:color w:val="auto"/>
              </w:rPr>
            </w:pPr>
            <w:r>
              <w:rPr>
                <w:rFonts w:ascii="Arial" w:cs="Arial" w:eastAsia="Arial" w:hAnsi="Arial"/>
                <w:sz w:val="18"/>
                <w:szCs w:val="18"/>
                <w:color w:val="auto"/>
                <w:w w:val="99"/>
              </w:rPr>
              <w:t>Real estate held for investment (net of accumulated depreciation of $26,941,328 and</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80" w:type="dxa"/>
            <w:vAlign w:val="bottom"/>
          </w:tcPr>
          <w:p>
            <w:pPr>
              <w:ind w:left="180"/>
              <w:spacing w:after="0"/>
              <w:rPr>
                <w:sz w:val="20"/>
                <w:szCs w:val="20"/>
                <w:color w:val="auto"/>
              </w:rPr>
            </w:pPr>
            <w:r>
              <w:rPr>
                <w:rFonts w:ascii="Arial" w:cs="Arial" w:eastAsia="Arial" w:hAnsi="Arial"/>
                <w:sz w:val="18"/>
                <w:szCs w:val="18"/>
                <w:color w:val="auto"/>
              </w:rPr>
              <w:t>$23,793,204 for 2023 and 2022, respectively)</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rPr>
              <w:t>180,962,902</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191,328,616</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Real estate held for sale</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1,827,474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11,161,582</w:t>
            </w:r>
          </w:p>
        </w:tc>
        <w:tc>
          <w:tcPr>
            <w:tcW w:w="0" w:type="dxa"/>
            <w:vAlign w:val="bottom"/>
          </w:tcPr>
          <w:p>
            <w:pPr>
              <w:spacing w:after="0"/>
              <w:rPr>
                <w:sz w:val="1"/>
                <w:szCs w:val="1"/>
                <w:color w:val="auto"/>
              </w:rPr>
            </w:pPr>
          </w:p>
        </w:tc>
      </w:tr>
      <w:tr>
        <w:trPr>
          <w:trHeight w:val="202"/>
        </w:trPr>
        <w:tc>
          <w:tcPr>
            <w:tcW w:w="6880" w:type="dxa"/>
            <w:vAlign w:val="bottom"/>
          </w:tcPr>
          <w:p>
            <w:pPr>
              <w:ind w:left="180"/>
              <w:spacing w:after="0" w:line="201" w:lineRule="exact"/>
              <w:rPr>
                <w:sz w:val="20"/>
                <w:szCs w:val="20"/>
                <w:color w:val="auto"/>
              </w:rPr>
            </w:pPr>
            <w:r>
              <w:rPr>
                <w:rFonts w:ascii="Arial" w:cs="Arial" w:eastAsia="Arial" w:hAnsi="Arial"/>
                <w:sz w:val="18"/>
                <w:szCs w:val="18"/>
                <w:color w:val="auto"/>
                <w:w w:val="95"/>
              </w:rPr>
              <w:t>Other investments and policy loans (net of allowance for credit losses of $1,690,693 and</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80" w:type="dxa"/>
            <w:vAlign w:val="bottom"/>
          </w:tcPr>
          <w:p>
            <w:pPr>
              <w:ind w:left="180"/>
              <w:spacing w:after="0"/>
              <w:rPr>
                <w:sz w:val="20"/>
                <w:szCs w:val="20"/>
                <w:color w:val="auto"/>
              </w:rPr>
            </w:pPr>
            <w:r>
              <w:rPr>
                <w:rFonts w:ascii="Arial" w:cs="Arial" w:eastAsia="Arial" w:hAnsi="Arial"/>
                <w:sz w:val="18"/>
                <w:szCs w:val="18"/>
                <w:color w:val="auto"/>
              </w:rPr>
              <w:t>$1,609,951 for 2023 and 2022, respectively)</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rPr>
              <w:t>64,554,148</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70,508,156</w:t>
            </w:r>
          </w:p>
        </w:tc>
        <w:tc>
          <w:tcPr>
            <w:tcW w:w="0" w:type="dxa"/>
            <w:vAlign w:val="bottom"/>
          </w:tcPr>
          <w:p>
            <w:pPr>
              <w:spacing w:after="0"/>
              <w:rPr>
                <w:sz w:val="1"/>
                <w:szCs w:val="1"/>
                <w:color w:val="auto"/>
              </w:rPr>
            </w:pPr>
          </w:p>
        </w:tc>
      </w:tr>
      <w:tr>
        <w:trPr>
          <w:trHeight w:val="250"/>
        </w:trPr>
        <w:tc>
          <w:tcPr>
            <w:tcW w:w="6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investment income</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10,188,551</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10,299,826</w:t>
            </w:r>
          </w:p>
        </w:tc>
        <w:tc>
          <w:tcPr>
            <w:tcW w:w="0" w:type="dxa"/>
            <w:vAlign w:val="bottom"/>
          </w:tcPr>
          <w:p>
            <w:pPr>
              <w:spacing w:after="0"/>
              <w:rPr>
                <w:sz w:val="1"/>
                <w:szCs w:val="1"/>
                <w:color w:val="auto"/>
              </w:rPr>
            </w:pPr>
          </w:p>
        </w:tc>
      </w:tr>
      <w:tr>
        <w:trPr>
          <w:trHeight w:val="210"/>
        </w:trPr>
        <w:tc>
          <w:tcPr>
            <w:tcW w:w="68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investments</w:t>
            </w:r>
          </w:p>
        </w:tc>
        <w:tc>
          <w:tcPr>
            <w:tcW w:w="10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896,174,397</w:t>
            </w:r>
          </w:p>
        </w:tc>
        <w:tc>
          <w:tcPr>
            <w:tcW w:w="16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948,963,125</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110,285,941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120,919,805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Loans held for sale at estimated fair value</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rPr>
              <w:t>161,310,060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141,179,620</w:t>
            </w:r>
          </w:p>
        </w:tc>
        <w:tc>
          <w:tcPr>
            <w:tcW w:w="0" w:type="dxa"/>
            <w:vAlign w:val="bottom"/>
          </w:tcPr>
          <w:p>
            <w:pPr>
              <w:spacing w:after="0"/>
              <w:rPr>
                <w:sz w:val="1"/>
                <w:szCs w:val="1"/>
                <w:color w:val="auto"/>
              </w:rPr>
            </w:pPr>
          </w:p>
        </w:tc>
      </w:tr>
      <w:tr>
        <w:trPr>
          <w:trHeight w:val="202"/>
        </w:trPr>
        <w:tc>
          <w:tcPr>
            <w:tcW w:w="6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Receivables (net of allowance for credit losses of $1,492,934 and $2,229,791 for 2023 and</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2022, respectively)</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11,675,595</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28,573,092</w:t>
            </w:r>
          </w:p>
        </w:tc>
        <w:tc>
          <w:tcPr>
            <w:tcW w:w="0" w:type="dxa"/>
            <w:vAlign w:val="bottom"/>
          </w:tcPr>
          <w:p>
            <w:pPr>
              <w:spacing w:after="0"/>
              <w:rPr>
                <w:sz w:val="1"/>
                <w:szCs w:val="1"/>
                <w:color w:val="auto"/>
              </w:rPr>
            </w:pPr>
          </w:p>
        </w:tc>
      </w:tr>
      <w:tr>
        <w:trPr>
          <w:trHeight w:val="202"/>
        </w:trPr>
        <w:tc>
          <w:tcPr>
            <w:tcW w:w="6880" w:type="dxa"/>
            <w:vAlign w:val="bottom"/>
          </w:tcPr>
          <w:p>
            <w:pPr>
              <w:spacing w:after="0" w:line="201" w:lineRule="exact"/>
              <w:rPr>
                <w:sz w:val="20"/>
                <w:szCs w:val="20"/>
                <w:color w:val="auto"/>
              </w:rPr>
            </w:pPr>
            <w:r>
              <w:rPr>
                <w:rFonts w:ascii="Arial" w:cs="Arial" w:eastAsia="Arial" w:hAnsi="Arial"/>
                <w:sz w:val="18"/>
                <w:szCs w:val="18"/>
                <w:color w:val="auto"/>
                <w:w w:val="95"/>
              </w:rPr>
              <w:t>Restricted assets (including $7,780,162 and $6,565,552 for 2023 and 2022 respectively, at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estimated fair value; allowance for credit losses of $2,760 and nil for 2023 and 2022,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80" w:type="dxa"/>
            <w:vAlign w:val="bottom"/>
          </w:tcPr>
          <w:p>
            <w:pPr>
              <w:spacing w:after="0"/>
              <w:rPr>
                <w:sz w:val="20"/>
                <w:szCs w:val="20"/>
                <w:color w:val="auto"/>
              </w:rPr>
            </w:pPr>
            <w:r>
              <w:rPr>
                <w:rFonts w:ascii="Arial" w:cs="Arial" w:eastAsia="Arial" w:hAnsi="Arial"/>
                <w:sz w:val="18"/>
                <w:szCs w:val="18"/>
                <w:color w:val="auto"/>
              </w:rPr>
              <w:t>respectively)</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rPr>
              <w:t>19,434,263</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18,935,055</w:t>
            </w:r>
          </w:p>
        </w:tc>
        <w:tc>
          <w:tcPr>
            <w:tcW w:w="0" w:type="dxa"/>
            <w:vAlign w:val="bottom"/>
          </w:tcPr>
          <w:p>
            <w:pPr>
              <w:spacing w:after="0"/>
              <w:rPr>
                <w:sz w:val="1"/>
                <w:szCs w:val="1"/>
                <w:color w:val="auto"/>
              </w:rPr>
            </w:pPr>
          </w:p>
        </w:tc>
      </w:tr>
      <w:tr>
        <w:trPr>
          <w:trHeight w:val="202"/>
        </w:trPr>
        <w:tc>
          <w:tcPr>
            <w:tcW w:w="6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Cemetery perpetual care trust investments (including $4,315,932 and $3,859,893 for 2023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w w:val="95"/>
              </w:rPr>
              <w:t>and 2022 respectively, at estimated fair value; allowance for credit losses of $1,453 and nil</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for 2023 and 2022, respectively)</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7,666,221</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7,276,210</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Receivable from reinsurers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rPr>
              <w:t>14,839,279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15,033,938</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Cemetery land and improvements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9,033,600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9,101,474</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Deferred policy and pre-need contract acquisition costs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rPr>
              <w:t>111,733,330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108,655,128</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Mortgage servicing rights, net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3,442,352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3,039,765</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rPr>
              <w:t>19,932,664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20,579,649</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Value of business acquired</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9,393,595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9,803,736</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rPr>
              <w:t>5,253,783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5,253,783</w:t>
            </w:r>
          </w:p>
        </w:tc>
        <w:tc>
          <w:tcPr>
            <w:tcW w:w="0" w:type="dxa"/>
            <w:vAlign w:val="bottom"/>
          </w:tcPr>
          <w:p>
            <w:pPr>
              <w:spacing w:after="0"/>
              <w:rPr>
                <w:sz w:val="1"/>
                <w:szCs w:val="1"/>
                <w:color w:val="auto"/>
              </w:rPr>
            </w:pPr>
          </w:p>
        </w:tc>
      </w:tr>
      <w:tr>
        <w:trPr>
          <w:trHeight w:val="23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23,431,668</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23,798,512</w:t>
            </w:r>
          </w:p>
        </w:tc>
        <w:tc>
          <w:tcPr>
            <w:tcW w:w="0" w:type="dxa"/>
            <w:vAlign w:val="bottom"/>
          </w:tcPr>
          <w:p>
            <w:pPr>
              <w:spacing w:after="0"/>
              <w:rPr>
                <w:sz w:val="1"/>
                <w:szCs w:val="1"/>
                <w:color w:val="auto"/>
              </w:rPr>
            </w:pPr>
          </w:p>
        </w:tc>
      </w:tr>
      <w:tr>
        <w:trPr>
          <w:trHeight w:val="216"/>
        </w:trPr>
        <w:tc>
          <w:tcPr>
            <w:tcW w:w="68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1,403,606,748</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1,461,112,892</w:t>
            </w:r>
          </w:p>
        </w:tc>
        <w:tc>
          <w:tcPr>
            <w:tcW w:w="0" w:type="dxa"/>
            <w:vAlign w:val="bottom"/>
          </w:tcPr>
          <w:p>
            <w:pPr>
              <w:spacing w:after="0"/>
              <w:rPr>
                <w:sz w:val="1"/>
                <w:szCs w:val="1"/>
                <w:color w:val="auto"/>
              </w:rPr>
            </w:pPr>
          </w:p>
        </w:tc>
      </w:tr>
      <w:tr>
        <w:trPr>
          <w:trHeight w:val="20"/>
        </w:trPr>
        <w:tc>
          <w:tcPr>
            <w:tcW w:w="68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9"/>
              </w:rPr>
              <w:t>See accompanying notes to condensed consolidated financial statements (unaudited).</w:t>
            </w: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6880" w:type="dxa"/>
            <w:vAlign w:val="bottom"/>
            <w:tcBorders>
              <w:bottom w:val="single" w:sz="8" w:color="auto"/>
            </w:tcBorders>
          </w:tcPr>
          <w:p>
            <w:pPr>
              <w:ind w:left="558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2"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 (Continued)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660"/>
              <w:spacing w:after="0"/>
              <w:rPr>
                <w:sz w:val="20"/>
                <w:szCs w:val="20"/>
                <w:color w:val="auto"/>
              </w:rPr>
            </w:pPr>
            <w:r>
              <w:rPr>
                <w:rFonts w:ascii="Arial" w:cs="Arial" w:eastAsia="Arial" w:hAnsi="Arial"/>
                <w:sz w:val="18"/>
                <w:szCs w:val="18"/>
                <w:color w:val="auto"/>
              </w:rPr>
              <w:t>June 30, 2023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December 31, 2022</w:t>
            </w:r>
          </w:p>
        </w:tc>
        <w:tc>
          <w:tcPr>
            <w:tcW w:w="0" w:type="dxa"/>
            <w:vAlign w:val="bottom"/>
          </w:tcPr>
          <w:p>
            <w:pPr>
              <w:spacing w:after="0"/>
              <w:rPr>
                <w:sz w:val="1"/>
                <w:szCs w:val="1"/>
                <w:color w:val="auto"/>
              </w:rPr>
            </w:pPr>
          </w:p>
        </w:tc>
      </w:tr>
      <w:tr>
        <w:trPr>
          <w:trHeight w:val="237"/>
        </w:trPr>
        <w:tc>
          <w:tcPr>
            <w:tcW w:w="6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40" w:type="dxa"/>
            <w:vAlign w:val="bottom"/>
            <w:gridSpan w:val="2"/>
          </w:tcPr>
          <w:p>
            <w:pPr>
              <w:jc w:val="right"/>
              <w:ind w:right="720"/>
              <w:spacing w:after="0"/>
              <w:rPr>
                <w:sz w:val="20"/>
                <w:szCs w:val="20"/>
                <w:color w:val="auto"/>
              </w:rPr>
            </w:pPr>
            <w:r>
              <w:rPr>
                <w:rFonts w:ascii="Arial" w:cs="Arial" w:eastAsia="Arial" w:hAnsi="Arial"/>
                <w:sz w:val="18"/>
                <w:szCs w:val="18"/>
                <w:color w:val="auto"/>
              </w:rPr>
              <w:t>(Unaudited)</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Future policy benefits and unpaid claims</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901,792,172</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889,327,303</w:t>
            </w: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Unearned premium reserve</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2,658,492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2,773,616</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Bank and other loans payable</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103,301,721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161,712,804</w:t>
            </w: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Deferred pre-need cemetery and mortuary contract revenues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17,155,722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16,226,836</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Cemetery perpetual care obligation</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5,207,198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5,099,542</w:t>
            </w: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3,215,659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5,361,449</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 and accrued expenses</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56,073,488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57,113,888</w:t>
            </w:r>
          </w:p>
        </w:tc>
        <w:tc>
          <w:tcPr>
            <w:tcW w:w="0" w:type="dxa"/>
            <w:vAlign w:val="bottom"/>
          </w:tcPr>
          <w:p>
            <w:pPr>
              <w:spacing w:after="0"/>
              <w:rPr>
                <w:sz w:val="1"/>
                <w:szCs w:val="1"/>
                <w:color w:val="auto"/>
              </w:rPr>
            </w:pPr>
          </w:p>
        </w:tc>
      </w:tr>
      <w:tr>
        <w:trPr>
          <w:trHeight w:val="237"/>
        </w:trPr>
        <w:tc>
          <w:tcPr>
            <w:tcW w:w="6840" w:type="dxa"/>
            <w:vAlign w:val="bottom"/>
          </w:tcPr>
          <w:p>
            <w:pPr>
              <w:spacing w:after="0"/>
              <w:rPr>
                <w:sz w:val="20"/>
                <w:szCs w:val="20"/>
                <w:color w:val="auto"/>
              </w:rPr>
            </w:pPr>
            <w:r>
              <w:rPr>
                <w:rFonts w:ascii="Arial" w:cs="Arial" w:eastAsia="Arial" w:hAnsi="Arial"/>
                <w:sz w:val="18"/>
                <w:szCs w:val="18"/>
                <w:color w:val="auto"/>
              </w:rPr>
              <w:t>Income taxes</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15,439,539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30,710,527</w:t>
            </w:r>
          </w:p>
        </w:tc>
        <w:tc>
          <w:tcPr>
            <w:tcW w:w="0" w:type="dxa"/>
            <w:vAlign w:val="bottom"/>
          </w:tcPr>
          <w:p>
            <w:pPr>
              <w:spacing w:after="0"/>
              <w:rPr>
                <w:sz w:val="1"/>
                <w:szCs w:val="1"/>
                <w:color w:val="auto"/>
              </w:rPr>
            </w:pPr>
          </w:p>
        </w:tc>
      </w:tr>
      <w:tr>
        <w:trPr>
          <w:trHeight w:val="223"/>
        </w:trPr>
        <w:tc>
          <w:tcPr>
            <w:tcW w:w="6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1,104,843,991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1,168,325,965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840" w:type="dxa"/>
            <w:vAlign w:val="bottom"/>
          </w:tcPr>
          <w:p>
            <w:pPr>
              <w:spacing w:after="0" w:line="201" w:lineRule="exact"/>
              <w:rPr>
                <w:sz w:val="20"/>
                <w:szCs w:val="20"/>
                <w:color w:val="auto"/>
              </w:rPr>
            </w:pPr>
            <w:r>
              <w:rPr>
                <w:rFonts w:ascii="Arial" w:cs="Arial" w:eastAsia="Arial" w:hAnsi="Arial"/>
                <w:sz w:val="18"/>
                <w:szCs w:val="18"/>
                <w:color w:val="auto"/>
                <w:w w:val="93"/>
              </w:rPr>
              <w:t>Preferred Stock - non-voting - $1.00 par value; 5,000,000 shares authorized; none issued or</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outstanding</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Class A: common stock - $2.00 par value; 40,000,000 shares authorized; 19,893,700 shares</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w w:val="90"/>
              </w:rPr>
              <w:t>issued and outstanding as of June 30, 2023 and 18,758,031 shares issued and outstanding as</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of December 31, 2022</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39,787,400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37,516,062</w:t>
            </w:r>
          </w:p>
        </w:tc>
        <w:tc>
          <w:tcPr>
            <w:tcW w:w="0" w:type="dxa"/>
            <w:vAlign w:val="bottom"/>
          </w:tcPr>
          <w:p>
            <w:pPr>
              <w:spacing w:after="0"/>
              <w:rPr>
                <w:sz w:val="1"/>
                <w:szCs w:val="1"/>
                <w:color w:val="auto"/>
              </w:rPr>
            </w:pPr>
          </w:p>
        </w:tc>
      </w:tr>
      <w:tr>
        <w:trPr>
          <w:trHeight w:val="202"/>
        </w:trPr>
        <w:tc>
          <w:tcPr>
            <w:tcW w:w="6840" w:type="dxa"/>
            <w:vAlign w:val="bottom"/>
          </w:tcPr>
          <w:p>
            <w:pPr>
              <w:spacing w:after="0" w:line="201" w:lineRule="exact"/>
              <w:rPr>
                <w:sz w:val="20"/>
                <w:szCs w:val="20"/>
                <w:color w:val="auto"/>
              </w:rPr>
            </w:pPr>
            <w:r>
              <w:rPr>
                <w:rFonts w:ascii="Arial" w:cs="Arial" w:eastAsia="Arial" w:hAnsi="Arial"/>
                <w:sz w:val="18"/>
                <w:szCs w:val="18"/>
                <w:color w:val="auto"/>
                <w:w w:val="96"/>
              </w:rPr>
              <w:t>Class B: non-voting common stock - $1.00 par value; 5,000,000 shares authorized; none</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issued or outstanding</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Class C: convertible common stock - $2.00 par value; 6,000,000 shares authorized;</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w w:val="89"/>
              </w:rPr>
              <w:t>2,973,552 shares issued and outstanding as of June 30, 2023 and 2,889,859 shares issued and</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2022</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5,947,104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5,779,718</w:t>
            </w: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71,685,665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64,767,769</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 net of taxes</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(12,894,771)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(13,070,277)</w:t>
            </w: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200,078,709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202,160,306</w:t>
            </w:r>
          </w:p>
        </w:tc>
        <w:tc>
          <w:tcPr>
            <w:tcW w:w="0" w:type="dxa"/>
            <w:vAlign w:val="bottom"/>
          </w:tcPr>
          <w:p>
            <w:pPr>
              <w:spacing w:after="0"/>
              <w:rPr>
                <w:sz w:val="1"/>
                <w:szCs w:val="1"/>
                <w:color w:val="auto"/>
              </w:rPr>
            </w:pPr>
          </w:p>
        </w:tc>
      </w:tr>
      <w:tr>
        <w:trPr>
          <w:trHeight w:val="202"/>
        </w:trPr>
        <w:tc>
          <w:tcPr>
            <w:tcW w:w="6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Treasury stock at cost - 849,005 Class A shares and 35,717 Class C shares as of June 30,</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w w:val="96"/>
              </w:rPr>
              <w:t>2023; and 525,870 Class A shares and 34,016 Class C shares as of December 31, 2022</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(5,841,350)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(4,366,651)</w:t>
            </w:r>
          </w:p>
        </w:tc>
        <w:tc>
          <w:tcPr>
            <w:tcW w:w="0" w:type="dxa"/>
            <w:vAlign w:val="bottom"/>
          </w:tcPr>
          <w:p>
            <w:pPr>
              <w:spacing w:after="0"/>
              <w:rPr>
                <w:sz w:val="1"/>
                <w:szCs w:val="1"/>
                <w:color w:val="auto"/>
              </w:rPr>
            </w:pPr>
          </w:p>
        </w:tc>
      </w:tr>
      <w:tr>
        <w:trPr>
          <w:trHeight w:val="216"/>
        </w:trPr>
        <w:tc>
          <w:tcPr>
            <w:tcW w:w="68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298,762,757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292,786,927</w:t>
            </w:r>
          </w:p>
        </w:tc>
        <w:tc>
          <w:tcPr>
            <w:tcW w:w="0" w:type="dxa"/>
            <w:vAlign w:val="bottom"/>
          </w:tcPr>
          <w:p>
            <w:pPr>
              <w:spacing w:after="0"/>
              <w:rPr>
                <w:sz w:val="1"/>
                <w:szCs w:val="1"/>
                <w:color w:val="auto"/>
              </w:rPr>
            </w:pPr>
          </w:p>
        </w:tc>
      </w:tr>
      <w:tr>
        <w:trPr>
          <w:trHeight w:val="216"/>
        </w:trPr>
        <w:tc>
          <w:tcPr>
            <w:tcW w:w="68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1,403,606,748</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1,461,112,892</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9"/>
              </w:rPr>
              <w:t>See accompanying notes to condensed consolidated financial statements (unaudited).</w:t>
            </w: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6840" w:type="dxa"/>
            <w:vAlign w:val="bottom"/>
            <w:tcBorders>
              <w:bottom w:val="single" w:sz="8" w:color="auto"/>
            </w:tcBorders>
          </w:tcPr>
          <w:p>
            <w:pPr>
              <w:ind w:left="5580"/>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2"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60" w:type="dxa"/>
            <w:vAlign w:val="bottom"/>
            <w:gridSpan w:val="6"/>
          </w:tcPr>
          <w:p>
            <w:pPr>
              <w:jc w:val="right"/>
              <w:ind w:right="660"/>
              <w:spacing w:after="0"/>
              <w:rPr>
                <w:sz w:val="20"/>
                <w:szCs w:val="20"/>
                <w:color w:val="auto"/>
              </w:rPr>
            </w:pPr>
            <w:r>
              <w:rPr>
                <w:rFonts w:ascii="Arial" w:cs="Arial" w:eastAsia="Arial" w:hAnsi="Arial"/>
                <w:sz w:val="18"/>
                <w:szCs w:val="18"/>
                <w:color w:val="auto"/>
                <w:w w:val="94"/>
              </w:rPr>
              <w:t>Three Months Ended June 30,</w:t>
            </w:r>
          </w:p>
        </w:tc>
        <w:tc>
          <w:tcPr>
            <w:tcW w:w="200" w:type="dxa"/>
            <w:vAlign w:val="bottom"/>
          </w:tcPr>
          <w:p>
            <w:pPr>
              <w:spacing w:after="0"/>
              <w:rPr>
                <w:sz w:val="20"/>
                <w:szCs w:val="20"/>
                <w:color w:val="auto"/>
              </w:rPr>
            </w:pPr>
          </w:p>
        </w:tc>
        <w:tc>
          <w:tcPr>
            <w:tcW w:w="2680" w:type="dxa"/>
            <w:vAlign w:val="bottom"/>
            <w:gridSpan w:val="6"/>
          </w:tcPr>
          <w:p>
            <w:pPr>
              <w:jc w:val="right"/>
              <w:ind w:right="500"/>
              <w:spacing w:after="0"/>
              <w:rPr>
                <w:sz w:val="20"/>
                <w:szCs w:val="20"/>
                <w:color w:val="auto"/>
              </w:rPr>
            </w:pPr>
            <w:r>
              <w:rPr>
                <w:rFonts w:ascii="Arial" w:cs="Arial" w:eastAsia="Arial" w:hAnsi="Arial"/>
                <w:sz w:val="18"/>
                <w:szCs w:val="18"/>
                <w:color w:val="auto"/>
                <w:w w:val="98"/>
              </w:rPr>
              <w:t>Six Months Ended June 30,</w:t>
            </w:r>
          </w:p>
        </w:tc>
      </w:tr>
      <w:tr>
        <w:trPr>
          <w:trHeight w:val="237"/>
        </w:trPr>
        <w:tc>
          <w:tcPr>
            <w:tcW w:w="520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2023</w:t>
            </w:r>
          </w:p>
        </w:tc>
        <w:tc>
          <w:tcPr>
            <w:tcW w:w="220" w:type="dxa"/>
            <w:vAlign w:val="bottom"/>
            <w:tcBorders>
              <w:top w:val="single" w:sz="8" w:color="auto"/>
              <w:bottom w:val="single" w:sz="8" w:color="CCEEFF"/>
            </w:tcBorders>
          </w:tcPr>
          <w:p>
            <w:pPr>
              <w:spacing w:after="0"/>
              <w:rPr>
                <w:sz w:val="20"/>
                <w:szCs w:val="20"/>
                <w:color w:val="auto"/>
              </w:rPr>
            </w:pPr>
          </w:p>
        </w:tc>
        <w:tc>
          <w:tcPr>
            <w:tcW w:w="140" w:type="dxa"/>
            <w:vAlign w:val="bottom"/>
            <w:tcBorders>
              <w:top w:val="single" w:sz="8" w:color="auto"/>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2022</w:t>
            </w:r>
          </w:p>
        </w:tc>
        <w:tc>
          <w:tcPr>
            <w:tcW w:w="34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2023</w:t>
            </w:r>
          </w:p>
        </w:tc>
        <w:tc>
          <w:tcPr>
            <w:tcW w:w="20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Mortgage fee income</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26,078,753</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42,030,898</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52,067,759</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90,375,343</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Insurance premiums and other considerations</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28,813,299</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25,911,995</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56,780,591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52,253,947</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Net investment income</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20,171,974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15,971,288</w:t>
            </w:r>
          </w:p>
        </w:tc>
        <w:tc>
          <w:tcPr>
            <w:tcW w:w="2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37,946,857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31,165,594</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mortuary and cemetery sales</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7,168,714</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7,250,503</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13,640,143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14,456,224</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Gains (losses) on investments and other assets</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816,584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(914,395)</w:t>
            </w:r>
          </w:p>
        </w:tc>
        <w:tc>
          <w:tcPr>
            <w:tcW w:w="2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927,738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(742,420)</w:t>
            </w:r>
          </w:p>
        </w:tc>
      </w:tr>
      <w:tr>
        <w:trPr>
          <w:trHeight w:val="25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796,835</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5,316,365</w:t>
            </w: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1,983,805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10,483,873</w:t>
            </w:r>
          </w:p>
        </w:tc>
      </w:tr>
      <w:tr>
        <w:trPr>
          <w:trHeight w:val="210"/>
        </w:trPr>
        <w:tc>
          <w:tcPr>
            <w:tcW w:w="52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revenues</w:t>
            </w: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83,846,159</w:t>
            </w:r>
          </w:p>
        </w:tc>
        <w:tc>
          <w:tcPr>
            <w:tcW w:w="2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95,566,654</w:t>
            </w:r>
          </w:p>
        </w:tc>
        <w:tc>
          <w:tcPr>
            <w:tcW w:w="34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163,346,893</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197,992,561</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5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b w:val="1"/>
                <w:bCs w:val="1"/>
                <w:color w:val="auto"/>
              </w:rPr>
              <w:t>Benefits and expenses:</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Death benefits</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15,455,305</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14,839,044</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32,133,671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31,723,750</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Surrenders and other policy benefits</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950,657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1,153,767</w:t>
            </w:r>
          </w:p>
        </w:tc>
        <w:tc>
          <w:tcPr>
            <w:tcW w:w="2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2,083,350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2,476,935</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Increase in future policy benefits</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8,499,804</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6,600,443</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16,554,743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13,371,544</w:t>
            </w:r>
          </w:p>
        </w:tc>
      </w:tr>
      <w:tr>
        <w:trPr>
          <w:trHeight w:val="202"/>
        </w:trPr>
        <w:tc>
          <w:tcPr>
            <w:tcW w:w="5200" w:type="dxa"/>
            <w:vAlign w:val="bottom"/>
          </w:tcPr>
          <w:p>
            <w:pPr>
              <w:spacing w:after="0" w:line="201" w:lineRule="exact"/>
              <w:rPr>
                <w:sz w:val="20"/>
                <w:szCs w:val="20"/>
                <w:color w:val="auto"/>
              </w:rPr>
            </w:pPr>
            <w:r>
              <w:rPr>
                <w:rFonts w:ascii="Arial" w:cs="Arial" w:eastAsia="Arial" w:hAnsi="Arial"/>
                <w:sz w:val="18"/>
                <w:szCs w:val="18"/>
                <w:color w:val="auto"/>
                <w:w w:val="98"/>
              </w:rPr>
              <w:t>Amortization of deferred policy and pre-need acquisition costs and</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value of business acquired</w:t>
            </w: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4,251,321</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4,053,109</w:t>
            </w:r>
          </w:p>
        </w:tc>
        <w:tc>
          <w:tcPr>
            <w:tcW w:w="20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9,134,902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8,449,522</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ind w:left="180"/>
              <w:spacing w:after="0"/>
              <w:rPr>
                <w:sz w:val="20"/>
                <w:szCs w:val="20"/>
                <w:color w:val="auto"/>
              </w:rPr>
            </w:pPr>
            <w:r>
              <w:rPr>
                <w:rFonts w:ascii="Arial" w:cs="Arial" w:eastAsia="Arial" w:hAnsi="Arial"/>
                <w:sz w:val="18"/>
                <w:szCs w:val="18"/>
                <w:color w:val="auto"/>
              </w:rPr>
              <w:t>Commissions</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10,736,126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18,397,337</w:t>
            </w:r>
          </w:p>
        </w:tc>
        <w:tc>
          <w:tcPr>
            <w:tcW w:w="2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20,409,436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38,299,539</w:t>
            </w:r>
          </w:p>
        </w:tc>
      </w:tr>
      <w:tr>
        <w:trPr>
          <w:trHeight w:val="216"/>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Personnel</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20,508,415</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25,504,950</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42,470,927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52,379,714</w:t>
            </w:r>
          </w:p>
        </w:tc>
      </w:tr>
      <w:tr>
        <w:trPr>
          <w:trHeight w:val="216"/>
        </w:trPr>
        <w:tc>
          <w:tcPr>
            <w:tcW w:w="5200" w:type="dxa"/>
            <w:vAlign w:val="bottom"/>
          </w:tcPr>
          <w:p>
            <w:pPr>
              <w:ind w:left="180"/>
              <w:spacing w:after="0"/>
              <w:rPr>
                <w:sz w:val="20"/>
                <w:szCs w:val="20"/>
                <w:color w:val="auto"/>
              </w:rPr>
            </w:pPr>
            <w:r>
              <w:rPr>
                <w:rFonts w:ascii="Arial" w:cs="Arial" w:eastAsia="Arial" w:hAnsi="Arial"/>
                <w:sz w:val="18"/>
                <w:szCs w:val="18"/>
                <w:color w:val="auto"/>
              </w:rPr>
              <w:t>Advertising</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965,753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1,595,738</w:t>
            </w:r>
          </w:p>
        </w:tc>
        <w:tc>
          <w:tcPr>
            <w:tcW w:w="2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1,869,164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3,307,533</w:t>
            </w:r>
          </w:p>
        </w:tc>
      </w:tr>
      <w:tr>
        <w:trPr>
          <w:trHeight w:val="216"/>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Rent and rent related</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1,831,011</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1,702,262</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3,607,791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3,361,532</w:t>
            </w:r>
          </w:p>
        </w:tc>
      </w:tr>
      <w:tr>
        <w:trPr>
          <w:trHeight w:val="216"/>
        </w:trPr>
        <w:tc>
          <w:tcPr>
            <w:tcW w:w="5200" w:type="dxa"/>
            <w:vAlign w:val="bottom"/>
          </w:tcPr>
          <w:p>
            <w:pPr>
              <w:ind w:left="180"/>
              <w:spacing w:after="0"/>
              <w:rPr>
                <w:sz w:val="20"/>
                <w:szCs w:val="20"/>
                <w:color w:val="auto"/>
              </w:rPr>
            </w:pPr>
            <w:r>
              <w:rPr>
                <w:rFonts w:ascii="Arial" w:cs="Arial" w:eastAsia="Arial" w:hAnsi="Arial"/>
                <w:sz w:val="18"/>
                <w:szCs w:val="18"/>
                <w:color w:val="auto"/>
              </w:rPr>
              <w:t>Depreciation on property and equipment</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587,213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628,305</w:t>
            </w:r>
          </w:p>
        </w:tc>
        <w:tc>
          <w:tcPr>
            <w:tcW w:w="2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1,175,629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1,243,849</w:t>
            </w:r>
          </w:p>
        </w:tc>
      </w:tr>
      <w:tr>
        <w:trPr>
          <w:trHeight w:val="216"/>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Costs related to funding mortgage loans</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1,841,367</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2,044,637</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3,683,709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4,884,100</w:t>
            </w:r>
          </w:p>
        </w:tc>
      </w:tr>
      <w:tr>
        <w:trPr>
          <w:trHeight w:val="216"/>
        </w:trPr>
        <w:tc>
          <w:tcPr>
            <w:tcW w:w="5200" w:type="dxa"/>
            <w:vAlign w:val="bottom"/>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7,403,409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11,174,128</w:t>
            </w:r>
          </w:p>
        </w:tc>
        <w:tc>
          <w:tcPr>
            <w:tcW w:w="2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15,183,944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23,265,764</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1,414,802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1,900,249</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2,868,135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3,627,564</w:t>
            </w:r>
          </w:p>
        </w:tc>
      </w:tr>
      <w:tr>
        <w:trPr>
          <w:trHeight w:val="237"/>
        </w:trPr>
        <w:tc>
          <w:tcPr>
            <w:tcW w:w="5200" w:type="dxa"/>
            <w:vAlign w:val="bottom"/>
          </w:tcPr>
          <w:p>
            <w:pPr>
              <w:spacing w:after="0"/>
              <w:rPr>
                <w:sz w:val="20"/>
                <w:szCs w:val="20"/>
                <w:color w:val="auto"/>
              </w:rPr>
            </w:pPr>
            <w:r>
              <w:rPr>
                <w:rFonts w:ascii="Arial" w:cs="Arial" w:eastAsia="Arial" w:hAnsi="Arial"/>
                <w:sz w:val="18"/>
                <w:szCs w:val="18"/>
                <w:color w:val="auto"/>
              </w:rPr>
              <w:t>Cost of goods and services sold-mortuaries and cemeteries</w:t>
            </w: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1,251,643</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1,242,839</w:t>
            </w:r>
          </w:p>
        </w:tc>
        <w:tc>
          <w:tcPr>
            <w:tcW w:w="20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2,437,271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2,427,853</w:t>
            </w:r>
          </w:p>
        </w:tc>
      </w:tr>
      <w:tr>
        <w:trPr>
          <w:trHeight w:val="236"/>
        </w:trPr>
        <w:tc>
          <w:tcPr>
            <w:tcW w:w="5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benefits and expenses</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75,696,826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90,836,808</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153,612,672</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188,819,199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5200" w:type="dxa"/>
            <w:vAlign w:val="bottom"/>
          </w:tcPr>
          <w:p>
            <w:pPr>
              <w:spacing w:after="0" w:line="203" w:lineRule="exact"/>
              <w:rPr>
                <w:sz w:val="20"/>
                <w:szCs w:val="20"/>
                <w:color w:val="auto"/>
              </w:rPr>
            </w:pPr>
            <w:r>
              <w:rPr>
                <w:rFonts w:ascii="Arial" w:cs="Arial" w:eastAsia="Arial" w:hAnsi="Arial"/>
                <w:sz w:val="18"/>
                <w:szCs w:val="18"/>
                <w:b w:val="1"/>
                <w:bCs w:val="1"/>
                <w:color w:val="auto"/>
              </w:rPr>
              <w:t>Earnings before income taxes</w:t>
            </w:r>
          </w:p>
        </w:tc>
        <w:tc>
          <w:tcPr>
            <w:tcW w:w="20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8,149,333</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4,729,846</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9,734,221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9,173,362</w:t>
            </w:r>
          </w:p>
        </w:tc>
        <w:tc>
          <w:tcPr>
            <w:tcW w:w="100" w:type="dxa"/>
            <w:vAlign w:val="bottom"/>
          </w:tcPr>
          <w:p>
            <w:pPr>
              <w:spacing w:after="0"/>
              <w:rPr>
                <w:sz w:val="17"/>
                <w:szCs w:val="17"/>
                <w:color w:val="auto"/>
              </w:rPr>
            </w:pPr>
          </w:p>
        </w:tc>
      </w:tr>
      <w:tr>
        <w:trPr>
          <w:trHeight w:val="237"/>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(1,796,627)</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(1,155,397)</w:t>
            </w:r>
          </w:p>
        </w:tc>
        <w:tc>
          <w:tcPr>
            <w:tcW w:w="2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(2,141,343)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(2,370,195)</w:t>
            </w:r>
          </w:p>
        </w:tc>
      </w:tr>
      <w:tr>
        <w:trPr>
          <w:trHeight w:val="216"/>
        </w:trPr>
        <w:tc>
          <w:tcPr>
            <w:tcW w:w="5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6,352,706</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3,574,449</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7,592,878</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6,803,167</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5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earnings per Class A Equivalent common share (1)</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0.29</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0.16</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0.34</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0.30</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5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52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7"/>
              </w:rPr>
              <w:t>Net earnings per Class A Equivalent common share-assuming</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61"/>
        </w:trPr>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dilution (1)</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0.28</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0.15</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0.34</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0.29</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5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5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Weighted-average Class A equivalent common shares outstanding</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57"/>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22,005,332</w:t>
            </w: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22,233,852</w:t>
            </w:r>
          </w:p>
        </w:tc>
        <w:tc>
          <w:tcPr>
            <w:tcW w:w="2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22,066,991</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22,331,911</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5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5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Weighted-average Class A equivalent common shares outstanding-</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57"/>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assuming dilution (1)</w:t>
            </w:r>
          </w:p>
        </w:tc>
        <w:tc>
          <w:tcPr>
            <w:tcW w:w="20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22,568,633</w:t>
            </w: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23,108,651</w:t>
            </w:r>
          </w:p>
        </w:tc>
        <w:tc>
          <w:tcPr>
            <w:tcW w:w="2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22,617,888</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23,225,600</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ind w:left="360" w:hanging="292"/>
        <w:spacing w:after="0" w:line="286" w:lineRule="auto"/>
        <w:tabs>
          <w:tab w:leader="none" w:pos="360" w:val="left"/>
        </w:tabs>
        <w:numPr>
          <w:ilvl w:val="0"/>
          <w:numId w:val="3"/>
        </w:numPr>
        <w:rPr>
          <w:rFonts w:ascii="Arial" w:cs="Arial" w:eastAsia="Arial" w:hAnsi="Arial"/>
          <w:sz w:val="17"/>
          <w:szCs w:val="17"/>
          <w:color w:val="auto"/>
        </w:rPr>
      </w:pPr>
      <w:r>
        <w:rPr>
          <w:rFonts w:ascii="Arial" w:cs="Arial" w:eastAsia="Arial" w:hAnsi="Arial"/>
          <w:sz w:val="17"/>
          <w:szCs w:val="17"/>
          <w:color w:val="auto"/>
        </w:rPr>
        <w:t>Net earnings per share amounts have been adjusted retroactively for the effect of annual stock dividends. The weighted-average shares outstanding includes the weighted-average Class A common shares and the weighted-average Class C common shares determined on an equivalent Class A common stock basis. Net earnings per common share represent net earnings per equivalent Class A common share.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60" w:type="dxa"/>
            <w:vAlign w:val="bottom"/>
            <w:gridSpan w:val="6"/>
          </w:tcPr>
          <w:p>
            <w:pPr>
              <w:jc w:val="right"/>
              <w:ind w:right="581"/>
              <w:spacing w:after="0"/>
              <w:rPr>
                <w:sz w:val="20"/>
                <w:szCs w:val="20"/>
                <w:color w:val="auto"/>
              </w:rPr>
            </w:pPr>
            <w:r>
              <w:rPr>
                <w:rFonts w:ascii="Arial" w:cs="Arial" w:eastAsia="Arial" w:hAnsi="Arial"/>
                <w:sz w:val="18"/>
                <w:szCs w:val="18"/>
                <w:color w:val="auto"/>
                <w:w w:val="94"/>
              </w:rPr>
              <w:t>Three Months Ended June 30,</w:t>
            </w:r>
          </w:p>
        </w:tc>
        <w:tc>
          <w:tcPr>
            <w:tcW w:w="240" w:type="dxa"/>
            <w:vAlign w:val="bottom"/>
          </w:tcPr>
          <w:p>
            <w:pPr>
              <w:spacing w:after="0"/>
              <w:rPr>
                <w:sz w:val="20"/>
                <w:szCs w:val="20"/>
                <w:color w:val="auto"/>
              </w:rPr>
            </w:pPr>
          </w:p>
        </w:tc>
        <w:tc>
          <w:tcPr>
            <w:tcW w:w="2640" w:type="dxa"/>
            <w:vAlign w:val="bottom"/>
            <w:gridSpan w:val="6"/>
          </w:tcPr>
          <w:p>
            <w:pPr>
              <w:jc w:val="right"/>
              <w:ind w:right="421"/>
              <w:spacing w:after="0"/>
              <w:rPr>
                <w:sz w:val="20"/>
                <w:szCs w:val="20"/>
                <w:color w:val="auto"/>
              </w:rPr>
            </w:pPr>
            <w:r>
              <w:rPr>
                <w:rFonts w:ascii="Arial" w:cs="Arial" w:eastAsia="Arial" w:hAnsi="Arial"/>
                <w:sz w:val="18"/>
                <w:szCs w:val="18"/>
                <w:color w:val="auto"/>
                <w:w w:val="96"/>
              </w:rPr>
              <w:t>Six Months Ended June 30,</w:t>
            </w:r>
          </w:p>
        </w:tc>
      </w:tr>
      <w:tr>
        <w:trPr>
          <w:trHeight w:val="237"/>
        </w:trPr>
        <w:tc>
          <w:tcPr>
            <w:tcW w:w="520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2023</w:t>
            </w:r>
          </w:p>
        </w:tc>
        <w:tc>
          <w:tcPr>
            <w:tcW w:w="220" w:type="dxa"/>
            <w:vAlign w:val="bottom"/>
            <w:tcBorders>
              <w:top w:val="single" w:sz="8" w:color="auto"/>
              <w:bottom w:val="single" w:sz="8" w:color="CCEEFF"/>
            </w:tcBorders>
          </w:tcPr>
          <w:p>
            <w:pPr>
              <w:spacing w:after="0"/>
              <w:rPr>
                <w:sz w:val="20"/>
                <w:szCs w:val="20"/>
                <w:color w:val="auto"/>
              </w:rPr>
            </w:pPr>
          </w:p>
        </w:tc>
        <w:tc>
          <w:tcPr>
            <w:tcW w:w="14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2022</w:t>
            </w:r>
          </w:p>
        </w:tc>
        <w:tc>
          <w:tcPr>
            <w:tcW w:w="34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2023</w:t>
            </w:r>
          </w:p>
        </w:tc>
        <w:tc>
          <w:tcPr>
            <w:tcW w:w="20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0"/>
                <w:szCs w:val="20"/>
                <w:color w:val="auto"/>
              </w:rPr>
            </w:pPr>
          </w:p>
        </w:tc>
      </w:tr>
      <w:tr>
        <w:trPr>
          <w:trHeight w:val="236"/>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earnings</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6,352,706</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3,574,449</w:t>
            </w:r>
          </w:p>
        </w:tc>
        <w:tc>
          <w:tcPr>
            <w:tcW w:w="3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7,592,878</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6,803,167</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03"/>
        </w:trPr>
        <w:tc>
          <w:tcPr>
            <w:tcW w:w="5200" w:type="dxa"/>
            <w:vAlign w:val="bottom"/>
          </w:tcPr>
          <w:p>
            <w:pPr>
              <w:spacing w:after="0" w:line="203" w:lineRule="exact"/>
              <w:rPr>
                <w:sz w:val="20"/>
                <w:szCs w:val="20"/>
                <w:color w:val="auto"/>
              </w:rPr>
            </w:pPr>
            <w:r>
              <w:rPr>
                <w:rFonts w:ascii="Arial" w:cs="Arial" w:eastAsia="Arial" w:hAnsi="Arial"/>
                <w:sz w:val="18"/>
                <w:szCs w:val="18"/>
                <w:color w:val="auto"/>
              </w:rPr>
              <w:t>Other comprehensive income:</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52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Unrealized gains (losses) on fixed maturity securities available</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 sale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(4,993,177)</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(12,995,132)</w:t>
            </w:r>
          </w:p>
        </w:tc>
        <w:tc>
          <w:tcPr>
            <w:tcW w:w="2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224,852</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(28,322,034)</w:t>
            </w:r>
          </w:p>
        </w:tc>
      </w:tr>
      <w:tr>
        <w:trPr>
          <w:trHeight w:val="216"/>
        </w:trPr>
        <w:tc>
          <w:tcPr>
            <w:tcW w:w="5200" w:type="dxa"/>
            <w:vAlign w:val="bottom"/>
          </w:tcPr>
          <w:p>
            <w:pPr>
              <w:ind w:left="180"/>
              <w:spacing w:after="0"/>
              <w:rPr>
                <w:sz w:val="20"/>
                <w:szCs w:val="20"/>
                <w:color w:val="auto"/>
              </w:rPr>
            </w:pPr>
            <w:r>
              <w:rPr>
                <w:rFonts w:ascii="Arial" w:cs="Arial" w:eastAsia="Arial" w:hAnsi="Arial"/>
                <w:sz w:val="18"/>
                <w:szCs w:val="18"/>
                <w:color w:val="auto"/>
              </w:rPr>
              <w:t>Unrealized losses on restricted assets (1)</w:t>
            </w:r>
          </w:p>
        </w:tc>
        <w:tc>
          <w:tcPr>
            <w:tcW w:w="200" w:type="dxa"/>
            <w:vAlign w:val="bottom"/>
          </w:tcPr>
          <w:p>
            <w:pPr>
              <w:spacing w:after="0"/>
              <w:rPr>
                <w:sz w:val="18"/>
                <w:szCs w:val="18"/>
                <w:color w:val="auto"/>
              </w:rPr>
            </w:pPr>
          </w:p>
        </w:tc>
        <w:tc>
          <w:tcPr>
            <w:tcW w:w="1260" w:type="dxa"/>
            <w:vAlign w:val="bottom"/>
            <w:gridSpan w:val="2"/>
          </w:tcPr>
          <w:p>
            <w:pPr>
              <w:jc w:val="right"/>
              <w:ind w:right="81"/>
              <w:spacing w:after="0"/>
              <w:rPr>
                <w:sz w:val="20"/>
                <w:szCs w:val="20"/>
                <w:color w:val="auto"/>
              </w:rPr>
            </w:pPr>
            <w:r>
              <w:rPr>
                <w:rFonts w:ascii="Arial" w:cs="Arial" w:eastAsia="Arial" w:hAnsi="Arial"/>
                <w:sz w:val="18"/>
                <w:szCs w:val="18"/>
                <w:color w:val="auto"/>
              </w:rPr>
              <w:t>(6,189)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01"/>
              <w:spacing w:after="0"/>
              <w:rPr>
                <w:sz w:val="20"/>
                <w:szCs w:val="20"/>
                <w:color w:val="auto"/>
              </w:rPr>
            </w:pPr>
            <w:r>
              <w:rPr>
                <w:rFonts w:ascii="Arial" w:cs="Arial" w:eastAsia="Arial" w:hAnsi="Arial"/>
                <w:sz w:val="18"/>
                <w:szCs w:val="18"/>
                <w:color w:val="auto"/>
              </w:rPr>
              <w:t>(43,169)</w:t>
            </w:r>
          </w:p>
        </w:tc>
        <w:tc>
          <w:tcPr>
            <w:tcW w:w="240" w:type="dxa"/>
            <w:vAlign w:val="bottom"/>
          </w:tcPr>
          <w:p>
            <w:pPr>
              <w:spacing w:after="0"/>
              <w:rPr>
                <w:sz w:val="18"/>
                <w:szCs w:val="18"/>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(2,056)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(115,118)</w:t>
            </w:r>
          </w:p>
        </w:tc>
      </w:tr>
      <w:tr>
        <w:trPr>
          <w:trHeight w:val="202"/>
        </w:trPr>
        <w:tc>
          <w:tcPr>
            <w:tcW w:w="52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8"/>
              </w:rPr>
              <w:t>Unrealized losses on cemetery perpetual care trust investments</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64"/>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(3,738)</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(15,868)</w:t>
            </w:r>
          </w:p>
        </w:tc>
        <w:tc>
          <w:tcPr>
            <w:tcW w:w="2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(812)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(53,225)</w:t>
            </w:r>
          </w:p>
        </w:tc>
      </w:tr>
      <w:tr>
        <w:trPr>
          <w:trHeight w:val="210"/>
        </w:trPr>
        <w:tc>
          <w:tcPr>
            <w:tcW w:w="520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Other comprehensive income (loss), before income tax</w:t>
            </w: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(5,003,104</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(13,054,169</w:t>
            </w:r>
          </w:p>
        </w:tc>
        <w:tc>
          <w:tcPr>
            <w:tcW w:w="340" w:type="dxa"/>
            <w:vAlign w:val="bottom"/>
            <w:tcBorders>
              <w:top w:val="single" w:sz="8" w:color="CCEEFF"/>
              <w:bottom w:val="single" w:sz="8" w:color="CCEEFF"/>
            </w:tcBorders>
          </w:tcPr>
          <w:p>
            <w:pPr>
              <w:jc w:val="right"/>
              <w:ind w:right="20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221,984</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(28,490,377</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36"/>
        </w:trPr>
        <w:tc>
          <w:tcPr>
            <w:tcW w:w="5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(expense) benefit</w:t>
            </w:r>
          </w:p>
        </w:tc>
        <w:tc>
          <w:tcPr>
            <w:tcW w:w="2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1,051,052</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2,743,684</w:t>
            </w:r>
          </w:p>
        </w:tc>
        <w:tc>
          <w:tcPr>
            <w:tcW w:w="3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(46,478</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5,989,562</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0"/>
        </w:trPr>
        <w:tc>
          <w:tcPr>
            <w:tcW w:w="520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Other comprehensive income (loss), net of income tax</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(3,952,052</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(10,310,485</w:t>
            </w:r>
          </w:p>
        </w:tc>
        <w:tc>
          <w:tcPr>
            <w:tcW w:w="340" w:type="dxa"/>
            <w:vAlign w:val="bottom"/>
            <w:tcBorders>
              <w:bottom w:val="single" w:sz="8" w:color="CCEEFF"/>
            </w:tcBorders>
          </w:tcPr>
          <w:p>
            <w:pPr>
              <w:jc w:val="right"/>
              <w:ind w:right="201"/>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175,506</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(22,500,815</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30"/>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2,400,654</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(6,736,036</w:t>
            </w:r>
          </w:p>
        </w:tc>
        <w:tc>
          <w:tcPr>
            <w:tcW w:w="34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7,768,384</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(15,697,648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color w:val="auto"/>
        </w:rPr>
        <w:t>(1) Fixed maturity securities available for sale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gridSpan w:val="13"/>
          </w:tcPr>
          <w:p>
            <w:pPr>
              <w:jc w:val="right"/>
              <w:ind w:right="680"/>
              <w:spacing w:after="0"/>
              <w:rPr>
                <w:sz w:val="20"/>
                <w:szCs w:val="20"/>
                <w:color w:val="auto"/>
              </w:rPr>
            </w:pPr>
            <w:r>
              <w:rPr>
                <w:rFonts w:ascii="Arial" w:cs="Arial" w:eastAsia="Arial" w:hAnsi="Arial"/>
                <w:sz w:val="18"/>
                <w:szCs w:val="18"/>
                <w:color w:val="auto"/>
              </w:rPr>
              <w:t>Six Months Ended June 30, 2023</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2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4"/>
          </w:tcPr>
          <w:p>
            <w:pPr>
              <w:jc w:val="center"/>
              <w:ind w:right="61"/>
              <w:spacing w:after="0" w:line="201" w:lineRule="exact"/>
              <w:rPr>
                <w:sz w:val="20"/>
                <w:szCs w:val="20"/>
                <w:color w:val="auto"/>
              </w:rPr>
            </w:pPr>
            <w:r>
              <w:rPr>
                <w:rFonts w:ascii="Arial" w:cs="Arial" w:eastAsia="Arial" w:hAnsi="Arial"/>
                <w:sz w:val="18"/>
                <w:szCs w:val="18"/>
                <w:color w:val="auto"/>
                <w:w w:val="92"/>
              </w:rPr>
              <w:t>Accumulated</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Class A</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8"/>
                <w:szCs w:val="18"/>
                <w:color w:val="auto"/>
                <w:w w:val="88"/>
              </w:rPr>
              <w:t>Class C</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gridSpan w:val="3"/>
          </w:tcPr>
          <w:p>
            <w:pPr>
              <w:jc w:val="center"/>
              <w:ind w:right="140"/>
              <w:spacing w:after="0"/>
              <w:rPr>
                <w:sz w:val="20"/>
                <w:szCs w:val="20"/>
                <w:color w:val="auto"/>
              </w:rPr>
            </w:pPr>
            <w:r>
              <w:rPr>
                <w:rFonts w:ascii="Arial" w:cs="Arial" w:eastAsia="Arial" w:hAnsi="Arial"/>
                <w:sz w:val="18"/>
                <w:szCs w:val="18"/>
                <w:color w:val="auto"/>
                <w:w w:val="96"/>
              </w:rPr>
              <w:t>Additional</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center"/>
              <w:ind w:right="241"/>
              <w:spacing w:after="0"/>
              <w:rPr>
                <w:sz w:val="20"/>
                <w:szCs w:val="20"/>
                <w:color w:val="auto"/>
              </w:rPr>
            </w:pPr>
            <w:r>
              <w:rPr>
                <w:rFonts w:ascii="Arial" w:cs="Arial" w:eastAsia="Arial" w:hAnsi="Arial"/>
                <w:sz w:val="18"/>
                <w:szCs w:val="18"/>
                <w:color w:val="auto"/>
                <w:w w:val="93"/>
              </w:rPr>
              <w:t>Other</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gridSpan w:val="3"/>
          </w:tcPr>
          <w:p>
            <w:pPr>
              <w:jc w:val="center"/>
              <w:ind w:right="100"/>
              <w:spacing w:after="0"/>
              <w:rPr>
                <w:sz w:val="20"/>
                <w:szCs w:val="20"/>
                <w:color w:val="auto"/>
              </w:rPr>
            </w:pPr>
            <w:r>
              <w:rPr>
                <w:rFonts w:ascii="Arial" w:cs="Arial" w:eastAsia="Arial" w:hAnsi="Arial"/>
                <w:sz w:val="18"/>
                <w:szCs w:val="18"/>
                <w:color w:val="auto"/>
                <w:w w:val="93"/>
              </w:rPr>
              <w:t>Common</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8"/>
                <w:szCs w:val="18"/>
                <w:color w:val="auto"/>
                <w:w w:val="93"/>
              </w:rPr>
              <w:t>Common</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gridSpan w:val="3"/>
          </w:tcPr>
          <w:p>
            <w:pPr>
              <w:jc w:val="center"/>
              <w:ind w:right="140"/>
              <w:spacing w:after="0"/>
              <w:rPr>
                <w:sz w:val="20"/>
                <w:szCs w:val="20"/>
                <w:color w:val="auto"/>
              </w:rPr>
            </w:pPr>
            <w:r>
              <w:rPr>
                <w:rFonts w:ascii="Arial" w:cs="Arial" w:eastAsia="Arial" w:hAnsi="Arial"/>
                <w:sz w:val="18"/>
                <w:szCs w:val="18"/>
                <w:color w:val="auto"/>
                <w:w w:val="92"/>
              </w:rPr>
              <w:t>Paid-in</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gridSpan w:val="4"/>
          </w:tcPr>
          <w:p>
            <w:pPr>
              <w:jc w:val="center"/>
              <w:ind w:right="61"/>
              <w:spacing w:after="0"/>
              <w:rPr>
                <w:sz w:val="20"/>
                <w:szCs w:val="20"/>
                <w:color w:val="auto"/>
              </w:rPr>
            </w:pPr>
            <w:r>
              <w:rPr>
                <w:rFonts w:ascii="Arial" w:cs="Arial" w:eastAsia="Arial" w:hAnsi="Arial"/>
                <w:sz w:val="18"/>
                <w:szCs w:val="18"/>
                <w:color w:val="auto"/>
                <w:w w:val="88"/>
              </w:rPr>
              <w:t>Comprehensive</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Retained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181"/>
              <w:spacing w:after="0"/>
              <w:rPr>
                <w:sz w:val="20"/>
                <w:szCs w:val="20"/>
                <w:color w:val="auto"/>
              </w:rPr>
            </w:pPr>
            <w:r>
              <w:rPr>
                <w:rFonts w:ascii="Arial" w:cs="Arial" w:eastAsia="Arial" w:hAnsi="Arial"/>
                <w:sz w:val="18"/>
                <w:szCs w:val="18"/>
                <w:color w:val="auto"/>
                <w:w w:val="90"/>
              </w:rPr>
              <w:t>Treasury</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2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Stock</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8"/>
                <w:szCs w:val="18"/>
                <w:color w:val="auto"/>
                <w:w w:val="88"/>
              </w:rPr>
              <w:t>Stock</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gridSpan w:val="3"/>
          </w:tcPr>
          <w:p>
            <w:pPr>
              <w:jc w:val="center"/>
              <w:ind w:right="140"/>
              <w:spacing w:after="0"/>
              <w:rPr>
                <w:sz w:val="20"/>
                <w:szCs w:val="20"/>
                <w:color w:val="auto"/>
              </w:rPr>
            </w:pPr>
            <w:r>
              <w:rPr>
                <w:rFonts w:ascii="Arial" w:cs="Arial" w:eastAsia="Arial" w:hAnsi="Arial"/>
                <w:sz w:val="18"/>
                <w:szCs w:val="18"/>
                <w:color w:val="auto"/>
                <w:w w:val="92"/>
              </w:rPr>
              <w:t>Capital</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gridSpan w:val="4"/>
          </w:tcPr>
          <w:p>
            <w:pPr>
              <w:jc w:val="center"/>
              <w:ind w:right="61"/>
              <w:spacing w:after="0"/>
              <w:rPr>
                <w:sz w:val="20"/>
                <w:szCs w:val="20"/>
                <w:color w:val="auto"/>
              </w:rPr>
            </w:pPr>
            <w:r>
              <w:rPr>
                <w:rFonts w:ascii="Arial" w:cs="Arial" w:eastAsia="Arial" w:hAnsi="Arial"/>
                <w:sz w:val="18"/>
                <w:szCs w:val="18"/>
                <w:color w:val="auto"/>
                <w:w w:val="91"/>
              </w:rPr>
              <w:t>Income (Loss)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Earnings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center"/>
              <w:ind w:right="181"/>
              <w:spacing w:after="0"/>
              <w:rPr>
                <w:sz w:val="20"/>
                <w:szCs w:val="20"/>
                <w:color w:val="auto"/>
              </w:rPr>
            </w:pPr>
            <w:r>
              <w:rPr>
                <w:rFonts w:ascii="Arial" w:cs="Arial" w:eastAsia="Arial" w:hAnsi="Arial"/>
                <w:sz w:val="18"/>
                <w:szCs w:val="18"/>
                <w:color w:val="auto"/>
                <w:w w:val="88"/>
              </w:rPr>
              <w:t>Stock</w:t>
            </w:r>
          </w:p>
        </w:tc>
        <w:tc>
          <w:tcPr>
            <w:tcW w:w="100" w:type="dxa"/>
            <w:vAlign w:val="bottom"/>
          </w:tcPr>
          <w:p>
            <w:pPr>
              <w:spacing w:after="0"/>
              <w:rPr>
                <w:sz w:val="20"/>
                <w:szCs w:val="20"/>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Total</w:t>
            </w:r>
          </w:p>
        </w:tc>
      </w:tr>
      <w:tr>
        <w:trPr>
          <w:trHeight w:val="216"/>
        </w:trPr>
        <w:tc>
          <w:tcPr>
            <w:tcW w:w="2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January 1, 2023</w:t>
            </w:r>
          </w:p>
        </w:tc>
        <w:tc>
          <w:tcPr>
            <w:tcW w:w="11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w w:val="98"/>
              </w:rPr>
              <w:t>$ 37,516,062</w:t>
            </w:r>
          </w:p>
        </w:tc>
        <w:tc>
          <w:tcPr>
            <w:tcW w:w="114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$ 5,779,718</w:t>
            </w:r>
          </w:p>
        </w:tc>
        <w:tc>
          <w:tcPr>
            <w:tcW w:w="120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w w:val="98"/>
              </w:rPr>
              <w:t>$ 64,767,769</w:t>
            </w:r>
          </w:p>
        </w:tc>
        <w:tc>
          <w:tcPr>
            <w:tcW w:w="2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w w:val="97"/>
              </w:rPr>
              <w:t>(13,070,277)</w:t>
            </w:r>
          </w:p>
        </w:tc>
        <w:tc>
          <w:tcPr>
            <w:tcW w:w="13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97"/>
              </w:rPr>
              <w:t>$ 202,160,306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3"/>
              </w:rPr>
              <w:t>(4,366,651)</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7"/>
              </w:rPr>
              <w:t>$ 292,786,927</w:t>
            </w:r>
          </w:p>
        </w:tc>
      </w:tr>
      <w:tr>
        <w:trPr>
          <w:trHeight w:val="202"/>
        </w:trPr>
        <w:tc>
          <w:tcPr>
            <w:tcW w:w="2640" w:type="dxa"/>
            <w:vAlign w:val="bottom"/>
          </w:tcPr>
          <w:p>
            <w:pPr>
              <w:spacing w:after="0" w:line="201" w:lineRule="exact"/>
              <w:rPr>
                <w:sz w:val="20"/>
                <w:szCs w:val="20"/>
                <w:color w:val="auto"/>
              </w:rPr>
            </w:pPr>
            <w:r>
              <w:rPr>
                <w:rFonts w:ascii="Arial" w:cs="Arial" w:eastAsia="Arial" w:hAnsi="Arial"/>
                <w:sz w:val="18"/>
                <w:szCs w:val="18"/>
                <w:color w:val="auto"/>
                <w:w w:val="94"/>
              </w:rPr>
              <w:t>Cumulative effect adjustment upon</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adoption of new accounting</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640" w:type="dxa"/>
            <w:vAlign w:val="bottom"/>
          </w:tcPr>
          <w:p>
            <w:pPr>
              <w:spacing w:after="0"/>
              <w:rPr>
                <w:sz w:val="20"/>
                <w:szCs w:val="20"/>
                <w:color w:val="auto"/>
              </w:rPr>
            </w:pPr>
            <w:r>
              <w:rPr>
                <w:rFonts w:ascii="Arial" w:cs="Arial" w:eastAsia="Arial" w:hAnsi="Arial"/>
                <w:sz w:val="18"/>
                <w:szCs w:val="18"/>
                <w:color w:val="auto"/>
              </w:rPr>
              <w:t>standard (ASU 2016-13)</w:t>
            </w:r>
          </w:p>
        </w:tc>
        <w:tc>
          <w:tcPr>
            <w:tcW w:w="1160" w:type="dxa"/>
            <w:vAlign w:val="bottom"/>
            <w:gridSpan w:val="5"/>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5"/>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5"/>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3"/>
          </w:tcPr>
          <w:p>
            <w:pPr>
              <w:jc w:val="right"/>
              <w:ind w:right="61"/>
              <w:spacing w:after="0"/>
              <w:rPr>
                <w:sz w:val="20"/>
                <w:szCs w:val="20"/>
                <w:color w:val="auto"/>
              </w:rPr>
            </w:pPr>
            <w:r>
              <w:rPr>
                <w:rFonts w:ascii="Arial" w:cs="Arial" w:eastAsia="Arial" w:hAnsi="Arial"/>
                <w:sz w:val="18"/>
                <w:szCs w:val="18"/>
                <w:color w:val="auto"/>
              </w:rPr>
              <w:t>-</w:t>
            </w:r>
          </w:p>
        </w:tc>
        <w:tc>
          <w:tcPr>
            <w:tcW w:w="1300" w:type="dxa"/>
            <w:vAlign w:val="bottom"/>
            <w:gridSpan w:val="4"/>
          </w:tcPr>
          <w:p>
            <w:pPr>
              <w:jc w:val="right"/>
              <w:ind w:right="100"/>
              <w:spacing w:after="0"/>
              <w:rPr>
                <w:sz w:val="20"/>
                <w:szCs w:val="20"/>
                <w:color w:val="auto"/>
              </w:rPr>
            </w:pPr>
            <w:r>
              <w:rPr>
                <w:rFonts w:ascii="Arial" w:cs="Arial" w:eastAsia="Arial" w:hAnsi="Arial"/>
                <w:sz w:val="18"/>
                <w:szCs w:val="18"/>
                <w:color w:val="auto"/>
              </w:rPr>
              <w:t>(671,506)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(671,506)</w:t>
            </w: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11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3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1,240,172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1,240,172</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Other comprehensive gain</w:t>
            </w:r>
          </w:p>
        </w:tc>
        <w:tc>
          <w:tcPr>
            <w:tcW w:w="1160" w:type="dxa"/>
            <w:vAlign w:val="bottom"/>
            <w:gridSpan w:val="5"/>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5"/>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5"/>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right"/>
              <w:ind w:right="61"/>
              <w:spacing w:after="0"/>
              <w:rPr>
                <w:sz w:val="20"/>
                <w:szCs w:val="20"/>
                <w:color w:val="auto"/>
              </w:rPr>
            </w:pPr>
            <w:r>
              <w:rPr>
                <w:rFonts w:ascii="Arial" w:cs="Arial" w:eastAsia="Arial" w:hAnsi="Arial"/>
                <w:sz w:val="18"/>
                <w:szCs w:val="18"/>
                <w:color w:val="auto"/>
              </w:rPr>
              <w:t>4,127,558</w:t>
            </w:r>
          </w:p>
        </w:tc>
        <w:tc>
          <w:tcPr>
            <w:tcW w:w="130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4,127,558</w:t>
            </w: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w w:val="90"/>
              </w:rPr>
              <w:t>Stock-based compensation expense</w:t>
            </w:r>
          </w:p>
        </w:tc>
        <w:tc>
          <w:tcPr>
            <w:tcW w:w="11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143,671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3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143,671</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160" w:type="dxa"/>
            <w:vAlign w:val="bottom"/>
            <w:gridSpan w:val="5"/>
          </w:tcPr>
          <w:p>
            <w:pPr>
              <w:jc w:val="right"/>
              <w:ind w:right="100"/>
              <w:spacing w:after="0"/>
              <w:rPr>
                <w:sz w:val="20"/>
                <w:szCs w:val="20"/>
                <w:color w:val="auto"/>
              </w:rPr>
            </w:pPr>
            <w:r>
              <w:rPr>
                <w:rFonts w:ascii="Arial" w:cs="Arial" w:eastAsia="Arial" w:hAnsi="Arial"/>
                <w:sz w:val="18"/>
                <w:szCs w:val="18"/>
                <w:color w:val="auto"/>
              </w:rPr>
              <w:t>96,092</w:t>
            </w:r>
          </w:p>
        </w:tc>
        <w:tc>
          <w:tcPr>
            <w:tcW w:w="1140" w:type="dxa"/>
            <w:vAlign w:val="bottom"/>
            <w:gridSpan w:val="5"/>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5"/>
          </w:tcPr>
          <w:p>
            <w:pPr>
              <w:jc w:val="right"/>
              <w:ind w:right="80"/>
              <w:spacing w:after="0"/>
              <w:rPr>
                <w:sz w:val="20"/>
                <w:szCs w:val="20"/>
                <w:color w:val="auto"/>
              </w:rPr>
            </w:pPr>
            <w:r>
              <w:rPr>
                <w:rFonts w:ascii="Arial" w:cs="Arial" w:eastAsia="Arial" w:hAnsi="Arial"/>
                <w:sz w:val="18"/>
                <w:szCs w:val="18"/>
                <w:color w:val="auto"/>
              </w:rPr>
              <w:t>(62,073)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right"/>
              <w:ind w:right="61"/>
              <w:spacing w:after="0"/>
              <w:rPr>
                <w:sz w:val="20"/>
                <w:szCs w:val="20"/>
                <w:color w:val="auto"/>
              </w:rPr>
            </w:pPr>
            <w:r>
              <w:rPr>
                <w:rFonts w:ascii="Arial" w:cs="Arial" w:eastAsia="Arial" w:hAnsi="Arial"/>
                <w:sz w:val="18"/>
                <w:szCs w:val="18"/>
                <w:color w:val="auto"/>
              </w:rPr>
              <w:t>-</w:t>
            </w:r>
          </w:p>
        </w:tc>
        <w:tc>
          <w:tcPr>
            <w:tcW w:w="130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34,019</w:t>
            </w: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Sale of treasury stock</w:t>
            </w:r>
          </w:p>
        </w:tc>
        <w:tc>
          <w:tcPr>
            <w:tcW w:w="11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(43,493)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3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620,651</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577,158</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Purchase of treasury stock</w:t>
            </w:r>
          </w:p>
        </w:tc>
        <w:tc>
          <w:tcPr>
            <w:tcW w:w="1160" w:type="dxa"/>
            <w:vAlign w:val="bottom"/>
            <w:gridSpan w:val="5"/>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5"/>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5"/>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right"/>
              <w:ind w:right="61"/>
              <w:spacing w:after="0"/>
              <w:rPr>
                <w:sz w:val="20"/>
                <w:szCs w:val="20"/>
                <w:color w:val="auto"/>
              </w:rPr>
            </w:pPr>
            <w:r>
              <w:rPr>
                <w:rFonts w:ascii="Arial" w:cs="Arial" w:eastAsia="Arial" w:hAnsi="Arial"/>
                <w:sz w:val="18"/>
                <w:szCs w:val="18"/>
                <w:color w:val="auto"/>
              </w:rPr>
              <w:t>-</w:t>
            </w:r>
          </w:p>
        </w:tc>
        <w:tc>
          <w:tcPr>
            <w:tcW w:w="130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w w:val="93"/>
              </w:rPr>
              <w:t>(1,204,357)</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(1,204,357)</w:t>
            </w:r>
          </w:p>
        </w:tc>
      </w:tr>
      <w:tr>
        <w:trPr>
          <w:trHeight w:val="249"/>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Conversion Class C to Class A</w:t>
            </w:r>
          </w:p>
        </w:tc>
        <w:tc>
          <w:tcPr>
            <w:tcW w:w="11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1,872</w:t>
            </w:r>
          </w:p>
        </w:tc>
        <w:tc>
          <w:tcPr>
            <w:tcW w:w="114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(1,872)</w:t>
            </w:r>
          </w:p>
        </w:tc>
        <w:tc>
          <w:tcPr>
            <w:tcW w:w="120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3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264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b w:val="1"/>
                <w:bCs w:val="1"/>
                <w:color w:val="auto"/>
              </w:rPr>
              <w:t>March 31, 2023</w:t>
            </w:r>
          </w:p>
        </w:tc>
        <w:tc>
          <w:tcPr>
            <w:tcW w:w="80" w:type="dxa"/>
            <w:vAlign w:val="bottom"/>
            <w:tcBorders>
              <w:top w:val="single" w:sz="8" w:color="CCEEFF"/>
              <w:bottom w:val="single" w:sz="8" w:color="CCEEFF"/>
            </w:tcBorders>
          </w:tcPr>
          <w:p>
            <w:pPr>
              <w:spacing w:after="0"/>
              <w:rPr>
                <w:sz w:val="22"/>
                <w:szCs w:val="22"/>
                <w:color w:val="auto"/>
              </w:rPr>
            </w:pPr>
          </w:p>
        </w:tc>
        <w:tc>
          <w:tcPr>
            <w:tcW w:w="20" w:type="dxa"/>
            <w:vAlign w:val="bottom"/>
            <w:tcBorders>
              <w:top w:val="single" w:sz="8" w:color="CCEEFF"/>
              <w:bottom w:val="single" w:sz="8" w:color="CCEEFF"/>
            </w:tcBorders>
          </w:tcPr>
          <w:p>
            <w:pPr>
              <w:spacing w:after="0"/>
              <w:rPr>
                <w:sz w:val="22"/>
                <w:szCs w:val="22"/>
                <w:color w:val="auto"/>
              </w:rPr>
            </w:pPr>
          </w:p>
        </w:tc>
        <w:tc>
          <w:tcPr>
            <w:tcW w:w="9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9"/>
              </w:rPr>
              <w:t>$ 37,614,026</w:t>
            </w:r>
          </w:p>
        </w:tc>
        <w:tc>
          <w:tcPr>
            <w:tcW w:w="8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CCEEFF"/>
              <w:bottom w:val="single" w:sz="8" w:color="CCEEFF"/>
            </w:tcBorders>
          </w:tcPr>
          <w:p>
            <w:pPr>
              <w:spacing w:after="0"/>
              <w:rPr>
                <w:sz w:val="22"/>
                <w:szCs w:val="22"/>
                <w:color w:val="auto"/>
              </w:rPr>
            </w:pPr>
          </w:p>
        </w:tc>
        <w:tc>
          <w:tcPr>
            <w:tcW w:w="20" w:type="dxa"/>
            <w:vAlign w:val="bottom"/>
            <w:tcBorders>
              <w:top w:val="single" w:sz="8" w:color="CCEEFF"/>
              <w:bottom w:val="single" w:sz="8" w:color="CCEEFF"/>
            </w:tcBorders>
          </w:tcPr>
          <w:p>
            <w:pPr>
              <w:spacing w:after="0"/>
              <w:rPr>
                <w:sz w:val="22"/>
                <w:szCs w:val="22"/>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$ 5,777,846</w:t>
            </w:r>
          </w:p>
        </w:tc>
        <w:tc>
          <w:tcPr>
            <w:tcW w:w="14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c>
          <w:tcPr>
            <w:tcW w:w="20" w:type="dxa"/>
            <w:vAlign w:val="bottom"/>
            <w:tcBorders>
              <w:top w:val="single" w:sz="8" w:color="CCEEFF"/>
              <w:bottom w:val="single" w:sz="8" w:color="CCEEFF"/>
            </w:tcBorders>
          </w:tcPr>
          <w:p>
            <w:pPr>
              <w:spacing w:after="0"/>
              <w:rPr>
                <w:sz w:val="22"/>
                <w:szCs w:val="22"/>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$ 64,805,874</w:t>
            </w:r>
          </w:p>
        </w:tc>
        <w:tc>
          <w:tcPr>
            <w:tcW w:w="14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CCEEFF"/>
              <w:bottom w:val="single" w:sz="8" w:color="CCEEFF"/>
            </w:tcBorders>
          </w:tcPr>
          <w:p>
            <w:pPr>
              <w:spacing w:after="0"/>
              <w:rPr>
                <w:sz w:val="22"/>
                <w:szCs w:val="22"/>
                <w:color w:val="auto"/>
              </w:rPr>
            </w:pPr>
          </w:p>
        </w:tc>
        <w:tc>
          <w:tcPr>
            <w:tcW w:w="2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(8,942,719</w:t>
            </w:r>
          </w:p>
        </w:tc>
        <w:tc>
          <w:tcPr>
            <w:tcW w:w="140" w:type="dxa"/>
            <w:vAlign w:val="bottom"/>
            <w:tcBorders>
              <w:top w:val="single" w:sz="8" w:color="CCEEFF"/>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tcPr>
          <w:p>
            <w:pPr>
              <w:spacing w:after="0"/>
              <w:rPr>
                <w:sz w:val="22"/>
                <w:szCs w:val="22"/>
                <w:color w:val="auto"/>
              </w:rPr>
            </w:pPr>
          </w:p>
        </w:tc>
        <w:tc>
          <w:tcPr>
            <w:tcW w:w="20" w:type="dxa"/>
            <w:vAlign w:val="bottom"/>
            <w:tcBorders>
              <w:top w:val="single" w:sz="8" w:color="CCEEFF"/>
              <w:bottom w:val="single" w:sz="8" w:color="CCEEFF"/>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$ 202,728,972</w:t>
            </w:r>
          </w:p>
        </w:tc>
        <w:tc>
          <w:tcPr>
            <w:tcW w:w="16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(4,950,357</w:t>
            </w:r>
          </w:p>
        </w:tc>
        <w:tc>
          <w:tcPr>
            <w:tcW w:w="160" w:type="dxa"/>
            <w:vAlign w:val="bottom"/>
            <w:tcBorders>
              <w:top w:val="single" w:sz="8" w:color="CCEEFF"/>
              <w:bottom w:val="single" w:sz="8" w:color="CCEEFF"/>
            </w:tcBorders>
          </w:tcPr>
          <w:p>
            <w:pPr>
              <w:jc w:val="right"/>
              <w:ind w:right="2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$ 297,033,642</w:t>
            </w:r>
          </w:p>
        </w:tc>
        <w:tc>
          <w:tcPr>
            <w:tcW w:w="100" w:type="dxa"/>
            <w:vAlign w:val="bottom"/>
            <w:tcBorders>
              <w:top w:val="single" w:sz="8" w:color="CCEEFF"/>
              <w:bottom w:val="single" w:sz="8" w:color="CCEEFF"/>
            </w:tcBorders>
          </w:tcPr>
          <w:p>
            <w:pPr>
              <w:spacing w:after="0"/>
              <w:rPr>
                <w:sz w:val="22"/>
                <w:szCs w:val="22"/>
                <w:color w:val="auto"/>
              </w:rPr>
            </w:pPr>
          </w:p>
        </w:tc>
      </w:tr>
      <w:tr>
        <w:trPr>
          <w:trHeight w:val="197"/>
        </w:trPr>
        <w:tc>
          <w:tcPr>
            <w:tcW w:w="2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Net earnings</w:t>
            </w:r>
          </w:p>
        </w:tc>
        <w:tc>
          <w:tcPr>
            <w:tcW w:w="1160" w:type="dxa"/>
            <w:vAlign w:val="bottom"/>
            <w:gridSpan w:val="5"/>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5"/>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5"/>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right"/>
              <w:ind w:right="61"/>
              <w:spacing w:after="0"/>
              <w:rPr>
                <w:sz w:val="20"/>
                <w:szCs w:val="20"/>
                <w:color w:val="auto"/>
              </w:rPr>
            </w:pPr>
            <w:r>
              <w:rPr>
                <w:rFonts w:ascii="Arial" w:cs="Arial" w:eastAsia="Arial" w:hAnsi="Arial"/>
                <w:sz w:val="18"/>
                <w:szCs w:val="18"/>
                <w:color w:val="auto"/>
              </w:rPr>
              <w:t>-</w:t>
            </w:r>
          </w:p>
        </w:tc>
        <w:tc>
          <w:tcPr>
            <w:tcW w:w="1300" w:type="dxa"/>
            <w:vAlign w:val="bottom"/>
            <w:gridSpan w:val="4"/>
          </w:tcPr>
          <w:p>
            <w:pPr>
              <w:jc w:val="right"/>
              <w:ind w:right="160"/>
              <w:spacing w:after="0"/>
              <w:rPr>
                <w:sz w:val="20"/>
                <w:szCs w:val="20"/>
                <w:color w:val="auto"/>
              </w:rPr>
            </w:pPr>
            <w:r>
              <w:rPr>
                <w:rFonts w:ascii="Arial" w:cs="Arial" w:eastAsia="Arial" w:hAnsi="Arial"/>
                <w:sz w:val="18"/>
                <w:szCs w:val="18"/>
                <w:color w:val="auto"/>
              </w:rPr>
              <w:t>6,352,706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6,352,706</w:t>
            </w: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1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(3,952,052)</w:t>
            </w:r>
          </w:p>
        </w:tc>
        <w:tc>
          <w:tcPr>
            <w:tcW w:w="13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(3,952,052)</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w w:val="90"/>
              </w:rPr>
              <w:t>Stock-based compensation expense</w:t>
            </w:r>
          </w:p>
        </w:tc>
        <w:tc>
          <w:tcPr>
            <w:tcW w:w="1160" w:type="dxa"/>
            <w:vAlign w:val="bottom"/>
            <w:gridSpan w:val="5"/>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5"/>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5"/>
          </w:tcPr>
          <w:p>
            <w:pPr>
              <w:jc w:val="right"/>
              <w:ind w:right="140"/>
              <w:spacing w:after="0"/>
              <w:rPr>
                <w:sz w:val="20"/>
                <w:szCs w:val="20"/>
                <w:color w:val="auto"/>
              </w:rPr>
            </w:pPr>
            <w:r>
              <w:rPr>
                <w:rFonts w:ascii="Arial" w:cs="Arial" w:eastAsia="Arial" w:hAnsi="Arial"/>
                <w:sz w:val="18"/>
                <w:szCs w:val="18"/>
                <w:color w:val="auto"/>
              </w:rPr>
              <w:t>141,954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right"/>
              <w:ind w:right="61"/>
              <w:spacing w:after="0"/>
              <w:rPr>
                <w:sz w:val="20"/>
                <w:szCs w:val="20"/>
                <w:color w:val="auto"/>
              </w:rPr>
            </w:pPr>
            <w:r>
              <w:rPr>
                <w:rFonts w:ascii="Arial" w:cs="Arial" w:eastAsia="Arial" w:hAnsi="Arial"/>
                <w:sz w:val="18"/>
                <w:szCs w:val="18"/>
                <w:color w:val="auto"/>
              </w:rPr>
              <w:t>-</w:t>
            </w:r>
          </w:p>
        </w:tc>
        <w:tc>
          <w:tcPr>
            <w:tcW w:w="130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141,954</w:t>
            </w: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1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159,284</w:t>
            </w:r>
          </w:p>
        </w:tc>
        <w:tc>
          <w:tcPr>
            <w:tcW w:w="114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(154,424)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3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4,860</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Vesting of restricted stock units</w:t>
            </w:r>
          </w:p>
        </w:tc>
        <w:tc>
          <w:tcPr>
            <w:tcW w:w="1160" w:type="dxa"/>
            <w:vAlign w:val="bottom"/>
            <w:gridSpan w:val="5"/>
          </w:tcPr>
          <w:p>
            <w:pPr>
              <w:jc w:val="right"/>
              <w:ind w:right="100"/>
              <w:spacing w:after="0"/>
              <w:rPr>
                <w:sz w:val="20"/>
                <w:szCs w:val="20"/>
                <w:color w:val="auto"/>
              </w:rPr>
            </w:pPr>
            <w:r>
              <w:rPr>
                <w:rFonts w:ascii="Arial" w:cs="Arial" w:eastAsia="Arial" w:hAnsi="Arial"/>
                <w:sz w:val="18"/>
                <w:szCs w:val="18"/>
                <w:color w:val="auto"/>
              </w:rPr>
              <w:t>810</w:t>
            </w:r>
          </w:p>
        </w:tc>
        <w:tc>
          <w:tcPr>
            <w:tcW w:w="1140" w:type="dxa"/>
            <w:vAlign w:val="bottom"/>
            <w:gridSpan w:val="5"/>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5"/>
          </w:tcPr>
          <w:p>
            <w:pPr>
              <w:jc w:val="right"/>
              <w:ind w:right="80"/>
              <w:spacing w:after="0"/>
              <w:rPr>
                <w:sz w:val="20"/>
                <w:szCs w:val="20"/>
                <w:color w:val="auto"/>
              </w:rPr>
            </w:pPr>
            <w:r>
              <w:rPr>
                <w:rFonts w:ascii="Arial" w:cs="Arial" w:eastAsia="Arial" w:hAnsi="Arial"/>
                <w:sz w:val="18"/>
                <w:szCs w:val="18"/>
                <w:color w:val="auto"/>
              </w:rPr>
              <w:t>(810)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right"/>
              <w:ind w:right="61"/>
              <w:spacing w:after="0"/>
              <w:rPr>
                <w:sz w:val="20"/>
                <w:szCs w:val="20"/>
                <w:color w:val="auto"/>
              </w:rPr>
            </w:pPr>
            <w:r>
              <w:rPr>
                <w:rFonts w:ascii="Arial" w:cs="Arial" w:eastAsia="Arial" w:hAnsi="Arial"/>
                <w:sz w:val="18"/>
                <w:szCs w:val="18"/>
                <w:color w:val="auto"/>
              </w:rPr>
              <w:t>-</w:t>
            </w:r>
          </w:p>
        </w:tc>
        <w:tc>
          <w:tcPr>
            <w:tcW w:w="130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Sale of treasury stock</w:t>
            </w:r>
          </w:p>
        </w:tc>
        <w:tc>
          <w:tcPr>
            <w:tcW w:w="11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(54,350)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3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623,056</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568,706</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Purchase of treasury stock</w:t>
            </w:r>
          </w:p>
        </w:tc>
        <w:tc>
          <w:tcPr>
            <w:tcW w:w="1160" w:type="dxa"/>
            <w:vAlign w:val="bottom"/>
            <w:gridSpan w:val="5"/>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5"/>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5"/>
          </w:tcPr>
          <w:p>
            <w:pPr>
              <w:jc w:val="right"/>
              <w:ind w:right="140"/>
              <w:spacing w:after="0"/>
              <w:rPr>
                <w:sz w:val="20"/>
                <w:szCs w:val="20"/>
                <w:color w:val="auto"/>
              </w:rPr>
            </w:pPr>
            <w:r>
              <w:rPr>
                <w:rFonts w:ascii="Arial" w:cs="Arial" w:eastAsia="Arial" w:hAnsi="Arial"/>
                <w:sz w:val="18"/>
                <w:szCs w:val="18"/>
                <w:color w:val="auto"/>
              </w:rPr>
              <w:t>126,990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right"/>
              <w:ind w:right="61"/>
              <w:spacing w:after="0"/>
              <w:rPr>
                <w:sz w:val="20"/>
                <w:szCs w:val="20"/>
                <w:color w:val="auto"/>
              </w:rPr>
            </w:pPr>
            <w:r>
              <w:rPr>
                <w:rFonts w:ascii="Arial" w:cs="Arial" w:eastAsia="Arial" w:hAnsi="Arial"/>
                <w:sz w:val="18"/>
                <w:szCs w:val="18"/>
                <w:color w:val="auto"/>
              </w:rPr>
              <w:t>-</w:t>
            </w:r>
          </w:p>
        </w:tc>
        <w:tc>
          <w:tcPr>
            <w:tcW w:w="130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w w:val="93"/>
              </w:rPr>
              <w:t>(1,514,049)</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(1,387,059)</w:t>
            </w: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Conversion Class C to Class A</w:t>
            </w:r>
          </w:p>
        </w:tc>
        <w:tc>
          <w:tcPr>
            <w:tcW w:w="11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113,930</w:t>
            </w:r>
          </w:p>
        </w:tc>
        <w:tc>
          <w:tcPr>
            <w:tcW w:w="114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(113,930)</w:t>
            </w:r>
          </w:p>
        </w:tc>
        <w:tc>
          <w:tcPr>
            <w:tcW w:w="120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3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2640" w:type="dxa"/>
            <w:vAlign w:val="bottom"/>
          </w:tcPr>
          <w:p>
            <w:pPr>
              <w:spacing w:after="0"/>
              <w:rPr>
                <w:sz w:val="20"/>
                <w:szCs w:val="20"/>
                <w:color w:val="auto"/>
              </w:rPr>
            </w:pPr>
            <w:r>
              <w:rPr>
                <w:rFonts w:ascii="Arial" w:cs="Arial" w:eastAsia="Arial" w:hAnsi="Arial"/>
                <w:sz w:val="18"/>
                <w:szCs w:val="18"/>
                <w:color w:val="auto"/>
              </w:rPr>
              <w:t>Stock dividends</w:t>
            </w:r>
          </w:p>
        </w:tc>
        <w:tc>
          <w:tcPr>
            <w:tcW w:w="1160" w:type="dxa"/>
            <w:vAlign w:val="bottom"/>
            <w:gridSpan w:val="5"/>
          </w:tcPr>
          <w:p>
            <w:pPr>
              <w:jc w:val="right"/>
              <w:ind w:right="100"/>
              <w:spacing w:after="0"/>
              <w:rPr>
                <w:sz w:val="20"/>
                <w:szCs w:val="20"/>
                <w:color w:val="auto"/>
              </w:rPr>
            </w:pPr>
            <w:r>
              <w:rPr>
                <w:rFonts w:ascii="Arial" w:cs="Arial" w:eastAsia="Arial" w:hAnsi="Arial"/>
                <w:sz w:val="18"/>
                <w:szCs w:val="18"/>
                <w:color w:val="auto"/>
              </w:rPr>
              <w:t>1,899,350</w:t>
            </w:r>
          </w:p>
        </w:tc>
        <w:tc>
          <w:tcPr>
            <w:tcW w:w="1140" w:type="dxa"/>
            <w:vAlign w:val="bottom"/>
            <w:gridSpan w:val="5"/>
          </w:tcPr>
          <w:p>
            <w:pPr>
              <w:jc w:val="right"/>
              <w:ind w:right="140"/>
              <w:spacing w:after="0"/>
              <w:rPr>
                <w:sz w:val="20"/>
                <w:szCs w:val="20"/>
                <w:color w:val="auto"/>
              </w:rPr>
            </w:pPr>
            <w:r>
              <w:rPr>
                <w:rFonts w:ascii="Arial" w:cs="Arial" w:eastAsia="Arial" w:hAnsi="Arial"/>
                <w:sz w:val="18"/>
                <w:szCs w:val="18"/>
                <w:color w:val="auto"/>
              </w:rPr>
              <w:t>283,188</w:t>
            </w:r>
          </w:p>
        </w:tc>
        <w:tc>
          <w:tcPr>
            <w:tcW w:w="1200" w:type="dxa"/>
            <w:vAlign w:val="bottom"/>
            <w:gridSpan w:val="5"/>
          </w:tcPr>
          <w:p>
            <w:pPr>
              <w:jc w:val="right"/>
              <w:ind w:right="140"/>
              <w:spacing w:after="0"/>
              <w:rPr>
                <w:sz w:val="20"/>
                <w:szCs w:val="20"/>
                <w:color w:val="auto"/>
              </w:rPr>
            </w:pPr>
            <w:r>
              <w:rPr>
                <w:rFonts w:ascii="Arial" w:cs="Arial" w:eastAsia="Arial" w:hAnsi="Arial"/>
                <w:sz w:val="18"/>
                <w:szCs w:val="18"/>
                <w:color w:val="auto"/>
              </w:rPr>
              <w:t>6,820,431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3"/>
          </w:tcPr>
          <w:p>
            <w:pPr>
              <w:jc w:val="right"/>
              <w:ind w:right="61"/>
              <w:spacing w:after="0"/>
              <w:rPr>
                <w:sz w:val="20"/>
                <w:szCs w:val="20"/>
                <w:color w:val="auto"/>
              </w:rPr>
            </w:pPr>
            <w:r>
              <w:rPr>
                <w:rFonts w:ascii="Arial" w:cs="Arial" w:eastAsia="Arial" w:hAnsi="Arial"/>
                <w:sz w:val="18"/>
                <w:szCs w:val="18"/>
                <w:color w:val="auto"/>
              </w:rPr>
              <w:t>-</w:t>
            </w:r>
          </w:p>
        </w:tc>
        <w:tc>
          <w:tcPr>
            <w:tcW w:w="1300" w:type="dxa"/>
            <w:vAlign w:val="bottom"/>
            <w:gridSpan w:val="4"/>
          </w:tcPr>
          <w:p>
            <w:pPr>
              <w:jc w:val="right"/>
              <w:ind w:right="100"/>
              <w:spacing w:after="0"/>
              <w:rPr>
                <w:sz w:val="20"/>
                <w:szCs w:val="20"/>
                <w:color w:val="auto"/>
              </w:rPr>
            </w:pPr>
            <w:r>
              <w:rPr>
                <w:rFonts w:ascii="Arial" w:cs="Arial" w:eastAsia="Arial" w:hAnsi="Arial"/>
                <w:sz w:val="18"/>
                <w:szCs w:val="18"/>
                <w:color w:val="auto"/>
              </w:rPr>
              <w:t>(9,002,969)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2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June 30, 2023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$ 39,787,400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$ 5,947,104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$ 71,685,665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(12,894,771</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$ 200,078,709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(5,841,350</w:t>
            </w:r>
          </w:p>
        </w:tc>
        <w:tc>
          <w:tcPr>
            <w:tcW w:w="16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$ 298,762,757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3"/>
        </w:trPr>
        <w:tc>
          <w:tcPr>
            <w:tcW w:w="2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13"/>
          </w:tcPr>
          <w:p>
            <w:pPr>
              <w:jc w:val="right"/>
              <w:ind w:right="700"/>
              <w:spacing w:after="0"/>
              <w:rPr>
                <w:sz w:val="20"/>
                <w:szCs w:val="20"/>
                <w:color w:val="auto"/>
              </w:rPr>
            </w:pPr>
            <w:r>
              <w:rPr>
                <w:rFonts w:ascii="Arial" w:cs="Arial" w:eastAsia="Arial" w:hAnsi="Arial"/>
                <w:sz w:val="18"/>
                <w:szCs w:val="18"/>
                <w:color w:val="auto"/>
              </w:rPr>
              <w:t>Six Months Ended June 30, 2022</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2"/>
        </w:trPr>
        <w:tc>
          <w:tcPr>
            <w:tcW w:w="2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4"/>
          </w:tcPr>
          <w:p>
            <w:pPr>
              <w:jc w:val="center"/>
              <w:ind w:right="101"/>
              <w:spacing w:after="0" w:line="201" w:lineRule="exact"/>
              <w:rPr>
                <w:sz w:val="20"/>
                <w:szCs w:val="20"/>
                <w:color w:val="auto"/>
              </w:rPr>
            </w:pPr>
            <w:r>
              <w:rPr>
                <w:rFonts w:ascii="Arial" w:cs="Arial" w:eastAsia="Arial" w:hAnsi="Arial"/>
                <w:sz w:val="18"/>
                <w:szCs w:val="18"/>
                <w:color w:val="auto"/>
                <w:w w:val="92"/>
              </w:rPr>
              <w:t>Accumulated</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gridSpan w:val="3"/>
          </w:tcPr>
          <w:p>
            <w:pPr>
              <w:jc w:val="center"/>
              <w:ind w:right="140"/>
              <w:spacing w:after="0"/>
              <w:rPr>
                <w:sz w:val="20"/>
                <w:szCs w:val="20"/>
                <w:color w:val="auto"/>
              </w:rPr>
            </w:pPr>
            <w:r>
              <w:rPr>
                <w:rFonts w:ascii="Arial" w:cs="Arial" w:eastAsia="Arial" w:hAnsi="Arial"/>
                <w:sz w:val="18"/>
                <w:szCs w:val="18"/>
                <w:color w:val="auto"/>
                <w:w w:val="90"/>
              </w:rPr>
              <w:t>Class A</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3"/>
          </w:tcPr>
          <w:p>
            <w:pPr>
              <w:jc w:val="center"/>
              <w:ind w:right="160"/>
              <w:spacing w:after="0"/>
              <w:rPr>
                <w:sz w:val="20"/>
                <w:szCs w:val="20"/>
                <w:color w:val="auto"/>
              </w:rPr>
            </w:pPr>
            <w:r>
              <w:rPr>
                <w:rFonts w:ascii="Arial" w:cs="Arial" w:eastAsia="Arial" w:hAnsi="Arial"/>
                <w:sz w:val="18"/>
                <w:szCs w:val="18"/>
                <w:color w:val="auto"/>
                <w:w w:val="85"/>
              </w:rPr>
              <w:t>Class C</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gridSpan w:val="3"/>
          </w:tcPr>
          <w:p>
            <w:pPr>
              <w:jc w:val="center"/>
              <w:ind w:right="180"/>
              <w:spacing w:after="0"/>
              <w:rPr>
                <w:sz w:val="20"/>
                <w:szCs w:val="20"/>
                <w:color w:val="auto"/>
              </w:rPr>
            </w:pPr>
            <w:r>
              <w:rPr>
                <w:rFonts w:ascii="Arial" w:cs="Arial" w:eastAsia="Arial" w:hAnsi="Arial"/>
                <w:sz w:val="18"/>
                <w:szCs w:val="18"/>
                <w:color w:val="auto"/>
                <w:w w:val="96"/>
              </w:rPr>
              <w:t>Additional</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center"/>
              <w:ind w:right="261"/>
              <w:spacing w:after="0"/>
              <w:rPr>
                <w:sz w:val="20"/>
                <w:szCs w:val="20"/>
                <w:color w:val="auto"/>
              </w:rPr>
            </w:pPr>
            <w:r>
              <w:rPr>
                <w:rFonts w:ascii="Arial" w:cs="Arial" w:eastAsia="Arial" w:hAnsi="Arial"/>
                <w:sz w:val="18"/>
                <w:szCs w:val="18"/>
                <w:color w:val="auto"/>
                <w:w w:val="88"/>
              </w:rPr>
              <w:t>Other</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Common</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3"/>
          </w:tcPr>
          <w:p>
            <w:pPr>
              <w:jc w:val="center"/>
              <w:ind w:right="160"/>
              <w:spacing w:after="0"/>
              <w:rPr>
                <w:sz w:val="20"/>
                <w:szCs w:val="20"/>
                <w:color w:val="auto"/>
              </w:rPr>
            </w:pPr>
            <w:r>
              <w:rPr>
                <w:rFonts w:ascii="Arial" w:cs="Arial" w:eastAsia="Arial" w:hAnsi="Arial"/>
                <w:sz w:val="18"/>
                <w:szCs w:val="18"/>
                <w:color w:val="auto"/>
                <w:w w:val="90"/>
              </w:rPr>
              <w:t>Common</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gridSpan w:val="3"/>
          </w:tcPr>
          <w:p>
            <w:pPr>
              <w:jc w:val="center"/>
              <w:ind w:right="180"/>
              <w:spacing w:after="0"/>
              <w:rPr>
                <w:sz w:val="20"/>
                <w:szCs w:val="20"/>
                <w:color w:val="auto"/>
              </w:rPr>
            </w:pPr>
            <w:r>
              <w:rPr>
                <w:rFonts w:ascii="Arial" w:cs="Arial" w:eastAsia="Arial" w:hAnsi="Arial"/>
                <w:sz w:val="18"/>
                <w:szCs w:val="18"/>
                <w:color w:val="auto"/>
                <w:w w:val="92"/>
              </w:rPr>
              <w:t>Paid-in</w:t>
            </w:r>
          </w:p>
        </w:tc>
        <w:tc>
          <w:tcPr>
            <w:tcW w:w="100" w:type="dxa"/>
            <w:vAlign w:val="bottom"/>
          </w:tcPr>
          <w:p>
            <w:pPr>
              <w:spacing w:after="0"/>
              <w:rPr>
                <w:sz w:val="18"/>
                <w:szCs w:val="18"/>
                <w:color w:val="auto"/>
              </w:rPr>
            </w:pPr>
          </w:p>
        </w:tc>
        <w:tc>
          <w:tcPr>
            <w:tcW w:w="1280" w:type="dxa"/>
            <w:vAlign w:val="bottom"/>
            <w:gridSpan w:val="5"/>
          </w:tcPr>
          <w:p>
            <w:pPr>
              <w:jc w:val="center"/>
              <w:ind w:right="81"/>
              <w:spacing w:after="0"/>
              <w:rPr>
                <w:sz w:val="20"/>
                <w:szCs w:val="20"/>
                <w:color w:val="auto"/>
              </w:rPr>
            </w:pPr>
            <w:r>
              <w:rPr>
                <w:rFonts w:ascii="Arial" w:cs="Arial" w:eastAsia="Arial" w:hAnsi="Arial"/>
                <w:sz w:val="18"/>
                <w:szCs w:val="18"/>
                <w:color w:val="auto"/>
                <w:w w:val="88"/>
              </w:rPr>
              <w:t>Comprehensive</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Retained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181"/>
              <w:spacing w:after="0"/>
              <w:rPr>
                <w:sz w:val="20"/>
                <w:szCs w:val="20"/>
                <w:color w:val="auto"/>
              </w:rPr>
            </w:pPr>
            <w:r>
              <w:rPr>
                <w:rFonts w:ascii="Arial" w:cs="Arial" w:eastAsia="Arial" w:hAnsi="Arial"/>
                <w:sz w:val="18"/>
                <w:szCs w:val="18"/>
                <w:color w:val="auto"/>
                <w:w w:val="90"/>
              </w:rPr>
              <w:t>Treasury</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2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gridSpan w:val="3"/>
          </w:tcPr>
          <w:p>
            <w:pPr>
              <w:jc w:val="center"/>
              <w:ind w:right="120"/>
              <w:spacing w:after="0"/>
              <w:rPr>
                <w:sz w:val="20"/>
                <w:szCs w:val="20"/>
                <w:color w:val="auto"/>
              </w:rPr>
            </w:pPr>
            <w:r>
              <w:rPr>
                <w:rFonts w:ascii="Arial" w:cs="Arial" w:eastAsia="Arial" w:hAnsi="Arial"/>
                <w:sz w:val="18"/>
                <w:szCs w:val="18"/>
                <w:color w:val="auto"/>
                <w:w w:val="93"/>
              </w:rPr>
              <w:t>Stock</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gridSpan w:val="3"/>
          </w:tcPr>
          <w:p>
            <w:pPr>
              <w:jc w:val="center"/>
              <w:ind w:right="160"/>
              <w:spacing w:after="0"/>
              <w:rPr>
                <w:sz w:val="20"/>
                <w:szCs w:val="20"/>
                <w:color w:val="auto"/>
              </w:rPr>
            </w:pPr>
            <w:r>
              <w:rPr>
                <w:rFonts w:ascii="Arial" w:cs="Arial" w:eastAsia="Arial" w:hAnsi="Arial"/>
                <w:sz w:val="18"/>
                <w:szCs w:val="18"/>
                <w:color w:val="auto"/>
                <w:w w:val="93"/>
              </w:rPr>
              <w:t>Stock</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gridSpan w:val="3"/>
          </w:tcPr>
          <w:p>
            <w:pPr>
              <w:jc w:val="center"/>
              <w:ind w:right="180"/>
              <w:spacing w:after="0"/>
              <w:rPr>
                <w:sz w:val="20"/>
                <w:szCs w:val="20"/>
                <w:color w:val="auto"/>
              </w:rPr>
            </w:pPr>
            <w:r>
              <w:rPr>
                <w:rFonts w:ascii="Arial" w:cs="Arial" w:eastAsia="Arial" w:hAnsi="Arial"/>
                <w:sz w:val="18"/>
                <w:szCs w:val="18"/>
                <w:color w:val="auto"/>
                <w:w w:val="92"/>
              </w:rPr>
              <w:t>Capital</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gridSpan w:val="4"/>
          </w:tcPr>
          <w:p>
            <w:pPr>
              <w:jc w:val="center"/>
              <w:ind w:right="101"/>
              <w:spacing w:after="0"/>
              <w:rPr>
                <w:sz w:val="20"/>
                <w:szCs w:val="20"/>
                <w:color w:val="auto"/>
              </w:rPr>
            </w:pPr>
            <w:r>
              <w:rPr>
                <w:rFonts w:ascii="Arial" w:cs="Arial" w:eastAsia="Arial" w:hAnsi="Arial"/>
                <w:sz w:val="18"/>
                <w:szCs w:val="18"/>
                <w:color w:val="auto"/>
                <w:w w:val="91"/>
              </w:rPr>
              <w:t>Income (Loss)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Earnings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center"/>
              <w:ind w:right="181"/>
              <w:spacing w:after="0"/>
              <w:rPr>
                <w:sz w:val="20"/>
                <w:szCs w:val="20"/>
                <w:color w:val="auto"/>
              </w:rPr>
            </w:pPr>
            <w:r>
              <w:rPr>
                <w:rFonts w:ascii="Arial" w:cs="Arial" w:eastAsia="Arial" w:hAnsi="Arial"/>
                <w:sz w:val="18"/>
                <w:szCs w:val="18"/>
                <w:color w:val="auto"/>
                <w:w w:val="88"/>
              </w:rPr>
              <w:t>Stock</w:t>
            </w:r>
          </w:p>
        </w:tc>
        <w:tc>
          <w:tcPr>
            <w:tcW w:w="100" w:type="dxa"/>
            <w:vAlign w:val="bottom"/>
          </w:tcPr>
          <w:p>
            <w:pPr>
              <w:spacing w:after="0"/>
              <w:rPr>
                <w:sz w:val="20"/>
                <w:szCs w:val="20"/>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Total</w:t>
            </w:r>
          </w:p>
        </w:tc>
      </w:tr>
      <w:tr>
        <w:trPr>
          <w:trHeight w:val="216"/>
        </w:trPr>
        <w:tc>
          <w:tcPr>
            <w:tcW w:w="2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January 1, 2022</w:t>
            </w:r>
          </w:p>
        </w:tc>
        <w:tc>
          <w:tcPr>
            <w:tcW w:w="10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8"/>
              </w:rPr>
              <w:t>$ 35,285,444</w:t>
            </w:r>
          </w:p>
        </w:tc>
        <w:tc>
          <w:tcPr>
            <w:tcW w:w="8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$ 5,733,130</w:t>
            </w:r>
          </w:p>
        </w:tc>
        <w:tc>
          <w:tcPr>
            <w:tcW w:w="14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7"/>
              </w:rPr>
              <w:t>$ 57,985,947</w:t>
            </w:r>
          </w:p>
        </w:tc>
        <w:tc>
          <w:tcPr>
            <w:tcW w:w="14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18,070,448</w:t>
            </w:r>
          </w:p>
        </w:tc>
        <w:tc>
          <w:tcPr>
            <w:tcW w:w="14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97"/>
              </w:rPr>
              <w:t>$ 184,537,489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3"/>
              </w:rPr>
              <w:t>(1,845,624)</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7"/>
              </w:rPr>
              <w:t>$ 299,766,834</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Net earnings</w:t>
            </w:r>
          </w:p>
        </w:tc>
        <w:tc>
          <w:tcPr>
            <w:tcW w:w="108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4"/>
          </w:tcPr>
          <w:p>
            <w:pPr>
              <w:jc w:val="right"/>
              <w:ind w:right="160"/>
              <w:spacing w:after="0"/>
              <w:rPr>
                <w:sz w:val="20"/>
                <w:szCs w:val="20"/>
                <w:color w:val="auto"/>
              </w:rPr>
            </w:pPr>
            <w:r>
              <w:rPr>
                <w:rFonts w:ascii="Arial" w:cs="Arial" w:eastAsia="Arial" w:hAnsi="Arial"/>
                <w:sz w:val="18"/>
                <w:szCs w:val="18"/>
                <w:color w:val="auto"/>
              </w:rPr>
              <w:t>3,228,718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3,228,718</w:t>
            </w: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0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1"/>
              <w:spacing w:after="0"/>
              <w:rPr>
                <w:sz w:val="20"/>
                <w:szCs w:val="20"/>
                <w:color w:val="auto"/>
              </w:rPr>
            </w:pPr>
            <w:r>
              <w:rPr>
                <w:rFonts w:ascii="Arial" w:cs="Arial" w:eastAsia="Arial" w:hAnsi="Arial"/>
                <w:sz w:val="18"/>
                <w:szCs w:val="18"/>
                <w:color w:val="auto"/>
                <w:w w:val="95"/>
              </w:rPr>
              <w:t>(12,190,330)</w:t>
            </w:r>
          </w:p>
        </w:tc>
        <w:tc>
          <w:tcPr>
            <w:tcW w:w="13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(12,190,330)</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w w:val="90"/>
              </w:rPr>
              <w:t>Stock-based compensation expense</w:t>
            </w:r>
          </w:p>
        </w:tc>
        <w:tc>
          <w:tcPr>
            <w:tcW w:w="108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4"/>
          </w:tcPr>
          <w:p>
            <w:pPr>
              <w:jc w:val="right"/>
              <w:ind w:right="20"/>
              <w:spacing w:after="0"/>
              <w:rPr>
                <w:sz w:val="20"/>
                <w:szCs w:val="20"/>
                <w:color w:val="auto"/>
              </w:rPr>
            </w:pPr>
            <w:r>
              <w:rPr>
                <w:rFonts w:ascii="Arial" w:cs="Arial" w:eastAsia="Arial" w:hAnsi="Arial"/>
                <w:sz w:val="18"/>
                <w:szCs w:val="18"/>
                <w:color w:val="auto"/>
              </w:rPr>
              <w:t>271,747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271,747</w:t>
            </w: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0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100,446</w:t>
            </w:r>
          </w:p>
        </w:tc>
        <w:tc>
          <w:tcPr>
            <w:tcW w:w="8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(8,487)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91,959</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Sale of treasury stock</w:t>
            </w:r>
          </w:p>
        </w:tc>
        <w:tc>
          <w:tcPr>
            <w:tcW w:w="108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4"/>
          </w:tcPr>
          <w:p>
            <w:pPr>
              <w:jc w:val="right"/>
              <w:ind w:right="20"/>
              <w:spacing w:after="0"/>
              <w:rPr>
                <w:sz w:val="20"/>
                <w:szCs w:val="20"/>
                <w:color w:val="auto"/>
              </w:rPr>
            </w:pPr>
            <w:r>
              <w:rPr>
                <w:rFonts w:ascii="Arial" w:cs="Arial" w:eastAsia="Arial" w:hAnsi="Arial"/>
                <w:sz w:val="18"/>
                <w:szCs w:val="18"/>
                <w:color w:val="auto"/>
              </w:rPr>
              <w:t>24,055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w w:val="99"/>
              </w:rPr>
              <w:t>1,880,125</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1,904,180</w:t>
            </w: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Purchase of treasury stock</w:t>
            </w:r>
          </w:p>
        </w:tc>
        <w:tc>
          <w:tcPr>
            <w:tcW w:w="10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106,176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(878,417)</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(772,241)</w:t>
            </w:r>
          </w:p>
        </w:tc>
      </w:tr>
      <w:tr>
        <w:trPr>
          <w:trHeight w:val="236"/>
        </w:trPr>
        <w:tc>
          <w:tcPr>
            <w:tcW w:w="2640" w:type="dxa"/>
            <w:vAlign w:val="bottom"/>
          </w:tcPr>
          <w:p>
            <w:pPr>
              <w:spacing w:after="0"/>
              <w:rPr>
                <w:sz w:val="20"/>
                <w:szCs w:val="20"/>
                <w:color w:val="auto"/>
              </w:rPr>
            </w:pPr>
            <w:r>
              <w:rPr>
                <w:rFonts w:ascii="Arial" w:cs="Arial" w:eastAsia="Arial" w:hAnsi="Arial"/>
                <w:sz w:val="18"/>
                <w:szCs w:val="18"/>
                <w:color w:val="auto"/>
              </w:rPr>
              <w:t>Conversion Class C to Class A</w:t>
            </w:r>
          </w:p>
        </w:tc>
        <w:tc>
          <w:tcPr>
            <w:tcW w:w="1080" w:type="dxa"/>
            <w:vAlign w:val="bottom"/>
            <w:gridSpan w:val="4"/>
          </w:tcPr>
          <w:p>
            <w:pPr>
              <w:jc w:val="right"/>
              <w:ind w:right="20"/>
              <w:spacing w:after="0"/>
              <w:rPr>
                <w:sz w:val="20"/>
                <w:szCs w:val="20"/>
                <w:color w:val="auto"/>
              </w:rPr>
            </w:pPr>
            <w:r>
              <w:rPr>
                <w:rFonts w:ascii="Arial" w:cs="Arial" w:eastAsia="Arial" w:hAnsi="Arial"/>
                <w:sz w:val="18"/>
                <w:szCs w:val="18"/>
                <w:color w:val="auto"/>
              </w:rPr>
              <w:t>414</w:t>
            </w:r>
          </w:p>
        </w:tc>
        <w:tc>
          <w:tcPr>
            <w:tcW w:w="80" w:type="dxa"/>
            <w:vAlign w:val="bottom"/>
          </w:tcPr>
          <w:p>
            <w:pPr>
              <w:spacing w:after="0"/>
              <w:rPr>
                <w:sz w:val="20"/>
                <w:szCs w:val="20"/>
                <w:color w:val="auto"/>
              </w:rPr>
            </w:pPr>
          </w:p>
        </w:tc>
        <w:tc>
          <w:tcPr>
            <w:tcW w:w="1140" w:type="dxa"/>
            <w:vAlign w:val="bottom"/>
            <w:gridSpan w:val="5"/>
          </w:tcPr>
          <w:p>
            <w:pPr>
              <w:jc w:val="right"/>
              <w:ind w:right="100"/>
              <w:spacing w:after="0"/>
              <w:rPr>
                <w:sz w:val="20"/>
                <w:szCs w:val="20"/>
                <w:color w:val="auto"/>
              </w:rPr>
            </w:pPr>
            <w:r>
              <w:rPr>
                <w:rFonts w:ascii="Arial" w:cs="Arial" w:eastAsia="Arial" w:hAnsi="Arial"/>
                <w:sz w:val="18"/>
                <w:szCs w:val="18"/>
                <w:color w:val="auto"/>
              </w:rPr>
              <w:t>(414)</w:t>
            </w:r>
          </w:p>
        </w:tc>
        <w:tc>
          <w:tcPr>
            <w:tcW w:w="106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0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March 31, 2022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$ 35,386,304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2"/>
              </w:rPr>
              <w:t>$ 5,732,716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1"/>
              </w:rPr>
              <w:t>$ 58,379,438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5,880,118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$ 187,766,207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(843,916</w:t>
            </w:r>
          </w:p>
        </w:tc>
        <w:tc>
          <w:tcPr>
            <w:tcW w:w="16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$ 292,300,867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r>
      <w:tr>
        <w:trPr>
          <w:trHeight w:val="196"/>
        </w:trPr>
        <w:tc>
          <w:tcPr>
            <w:tcW w:w="2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10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3,574,449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3,574,449</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08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right"/>
              <w:ind w:right="21"/>
              <w:spacing w:after="0"/>
              <w:rPr>
                <w:sz w:val="20"/>
                <w:szCs w:val="20"/>
                <w:color w:val="auto"/>
              </w:rPr>
            </w:pPr>
            <w:r>
              <w:rPr>
                <w:rFonts w:ascii="Arial" w:cs="Arial" w:eastAsia="Arial" w:hAnsi="Arial"/>
                <w:sz w:val="18"/>
                <w:szCs w:val="18"/>
                <w:color w:val="auto"/>
                <w:w w:val="95"/>
              </w:rPr>
              <w:t>(10,310,485)</w:t>
            </w:r>
          </w:p>
        </w:tc>
        <w:tc>
          <w:tcPr>
            <w:tcW w:w="130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(10,310,485)</w:t>
            </w: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w w:val="90"/>
              </w:rPr>
              <w:t>Stock-based compensation expense</w:t>
            </w:r>
          </w:p>
        </w:tc>
        <w:tc>
          <w:tcPr>
            <w:tcW w:w="10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220,175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220,175</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080" w:type="dxa"/>
            <w:vAlign w:val="bottom"/>
            <w:gridSpan w:val="4"/>
          </w:tcPr>
          <w:p>
            <w:pPr>
              <w:jc w:val="right"/>
              <w:ind w:right="20"/>
              <w:spacing w:after="0"/>
              <w:rPr>
                <w:sz w:val="20"/>
                <w:szCs w:val="20"/>
                <w:color w:val="auto"/>
              </w:rPr>
            </w:pPr>
            <w:r>
              <w:rPr>
                <w:rFonts w:ascii="Arial" w:cs="Arial" w:eastAsia="Arial" w:hAnsi="Arial"/>
                <w:sz w:val="18"/>
                <w:szCs w:val="18"/>
                <w:color w:val="auto"/>
              </w:rPr>
              <w:t>37,746</w:t>
            </w:r>
          </w:p>
        </w:tc>
        <w:tc>
          <w:tcPr>
            <w:tcW w:w="80" w:type="dxa"/>
            <w:vAlign w:val="bottom"/>
          </w:tcPr>
          <w:p>
            <w:pPr>
              <w:spacing w:after="0"/>
              <w:rPr>
                <w:sz w:val="18"/>
                <w:szCs w:val="18"/>
                <w:color w:val="auto"/>
              </w:rPr>
            </w:pP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0" w:type="dxa"/>
            <w:vAlign w:val="bottom"/>
            <w:gridSpan w:val="5"/>
          </w:tcPr>
          <w:p>
            <w:pPr>
              <w:jc w:val="right"/>
              <w:ind w:right="100"/>
              <w:spacing w:after="0"/>
              <w:rPr>
                <w:sz w:val="20"/>
                <w:szCs w:val="20"/>
                <w:color w:val="auto"/>
              </w:rPr>
            </w:pPr>
            <w:r>
              <w:rPr>
                <w:rFonts w:ascii="Arial" w:cs="Arial" w:eastAsia="Arial" w:hAnsi="Arial"/>
                <w:sz w:val="18"/>
                <w:szCs w:val="18"/>
                <w:color w:val="auto"/>
              </w:rPr>
              <w:t>(2,440)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35,306</w:t>
            </w: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Sale of treasury stock</w:t>
            </w:r>
          </w:p>
        </w:tc>
        <w:tc>
          <w:tcPr>
            <w:tcW w:w="10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50,401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9"/>
              </w:rPr>
              <w:t>1,119,392</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1,169,793</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Purchase of treasury stock</w:t>
            </w:r>
          </w:p>
        </w:tc>
        <w:tc>
          <w:tcPr>
            <w:tcW w:w="108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w w:val="93"/>
              </w:rPr>
              <w:t>(6,505,050)</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(6,505,050)</w:t>
            </w: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Conversion Class C to Class A</w:t>
            </w:r>
          </w:p>
        </w:tc>
        <w:tc>
          <w:tcPr>
            <w:tcW w:w="10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154,218</w:t>
            </w:r>
          </w:p>
        </w:tc>
        <w:tc>
          <w:tcPr>
            <w:tcW w:w="8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(154,218)</w:t>
            </w:r>
          </w:p>
        </w:tc>
        <w:tc>
          <w:tcPr>
            <w:tcW w:w="10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6"/>
        </w:trPr>
        <w:tc>
          <w:tcPr>
            <w:tcW w:w="2640" w:type="dxa"/>
            <w:vAlign w:val="bottom"/>
          </w:tcPr>
          <w:p>
            <w:pPr>
              <w:spacing w:after="0"/>
              <w:rPr>
                <w:sz w:val="20"/>
                <w:szCs w:val="20"/>
                <w:color w:val="auto"/>
              </w:rPr>
            </w:pPr>
            <w:r>
              <w:rPr>
                <w:rFonts w:ascii="Arial" w:cs="Arial" w:eastAsia="Arial" w:hAnsi="Arial"/>
                <w:sz w:val="18"/>
                <w:szCs w:val="18"/>
                <w:color w:val="auto"/>
              </w:rPr>
              <w:t>Stock dividends</w:t>
            </w:r>
          </w:p>
        </w:tc>
        <w:tc>
          <w:tcPr>
            <w:tcW w:w="1080" w:type="dxa"/>
            <w:vAlign w:val="bottom"/>
            <w:gridSpan w:val="4"/>
          </w:tcPr>
          <w:p>
            <w:pPr>
              <w:jc w:val="right"/>
              <w:ind w:right="20"/>
              <w:spacing w:after="0"/>
              <w:rPr>
                <w:sz w:val="20"/>
                <w:szCs w:val="20"/>
                <w:color w:val="auto"/>
              </w:rPr>
            </w:pPr>
            <w:r>
              <w:rPr>
                <w:rFonts w:ascii="Arial" w:cs="Arial" w:eastAsia="Arial" w:hAnsi="Arial"/>
                <w:sz w:val="18"/>
                <w:szCs w:val="18"/>
                <w:color w:val="auto"/>
              </w:rPr>
              <w:t>1,779,108</w:t>
            </w:r>
          </w:p>
        </w:tc>
        <w:tc>
          <w:tcPr>
            <w:tcW w:w="80" w:type="dxa"/>
            <w:vAlign w:val="bottom"/>
          </w:tcPr>
          <w:p>
            <w:pPr>
              <w:spacing w:after="0"/>
              <w:rPr>
                <w:sz w:val="20"/>
                <w:szCs w:val="20"/>
                <w:color w:val="auto"/>
              </w:rPr>
            </w:pP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auto"/>
              </w:rPr>
              <w:t>278,924</w:t>
            </w:r>
          </w:p>
        </w:tc>
        <w:tc>
          <w:tcPr>
            <w:tcW w:w="140" w:type="dxa"/>
            <w:vAlign w:val="bottom"/>
          </w:tcPr>
          <w:p>
            <w:pPr>
              <w:spacing w:after="0"/>
              <w:rPr>
                <w:sz w:val="20"/>
                <w:szCs w:val="20"/>
                <w:color w:val="auto"/>
              </w:rPr>
            </w:pPr>
          </w:p>
        </w:tc>
        <w:tc>
          <w:tcPr>
            <w:tcW w:w="1060" w:type="dxa"/>
            <w:vAlign w:val="bottom"/>
            <w:gridSpan w:val="4"/>
          </w:tcPr>
          <w:p>
            <w:pPr>
              <w:jc w:val="right"/>
              <w:ind w:right="20"/>
              <w:spacing w:after="0"/>
              <w:rPr>
                <w:sz w:val="20"/>
                <w:szCs w:val="20"/>
                <w:color w:val="auto"/>
              </w:rPr>
            </w:pPr>
            <w:r>
              <w:rPr>
                <w:rFonts w:ascii="Arial" w:cs="Arial" w:eastAsia="Arial" w:hAnsi="Arial"/>
                <w:sz w:val="18"/>
                <w:szCs w:val="18"/>
                <w:color w:val="auto"/>
              </w:rPr>
              <w:t>6,009,453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00" w:type="dxa"/>
            <w:vAlign w:val="bottom"/>
            <w:gridSpan w:val="4"/>
          </w:tcPr>
          <w:p>
            <w:pPr>
              <w:jc w:val="right"/>
              <w:ind w:right="100"/>
              <w:spacing w:after="0"/>
              <w:rPr>
                <w:sz w:val="20"/>
                <w:szCs w:val="20"/>
                <w:color w:val="auto"/>
              </w:rPr>
            </w:pPr>
            <w:r>
              <w:rPr>
                <w:rFonts w:ascii="Arial" w:cs="Arial" w:eastAsia="Arial" w:hAnsi="Arial"/>
                <w:sz w:val="18"/>
                <w:szCs w:val="18"/>
                <w:color w:val="auto"/>
              </w:rPr>
              <w:t>(8,067,485)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2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June 30, 2022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$ 37,357,376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2"/>
              </w:rPr>
              <w:t>$ 5,857,422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1"/>
              </w:rPr>
              <w:t>$ 64,657,027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(4,430,367</w:t>
            </w:r>
          </w:p>
        </w:tc>
        <w:tc>
          <w:tcPr>
            <w:tcW w:w="160" w:type="dxa"/>
            <w:vAlign w:val="bottom"/>
            <w:tcBorders>
              <w:top w:val="single" w:sz="8" w:color="CCEEFF"/>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$ 183,273,171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(6,229,574</w:t>
            </w:r>
          </w:p>
        </w:tc>
        <w:tc>
          <w:tcPr>
            <w:tcW w:w="16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$ 280,485,055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20" w:type="dxa"/>
            <w:vAlign w:val="bottom"/>
            <w:gridSpan w:val="5"/>
          </w:tcPr>
          <w:p>
            <w:pPr>
              <w:jc w:val="right"/>
              <w:ind w:right="881"/>
              <w:spacing w:after="0"/>
              <w:rPr>
                <w:sz w:val="20"/>
                <w:szCs w:val="20"/>
                <w:color w:val="auto"/>
              </w:rPr>
            </w:pPr>
            <w:r>
              <w:rPr>
                <w:rFonts w:ascii="Arial" w:cs="Arial" w:eastAsia="Arial" w:hAnsi="Arial"/>
                <w:sz w:val="18"/>
                <w:szCs w:val="18"/>
                <w:color w:val="auto"/>
              </w:rPr>
              <w:t>Six Months Ended June 30,</w:t>
            </w:r>
          </w:p>
        </w:tc>
      </w:tr>
      <w:tr>
        <w:trPr>
          <w:trHeight w:val="236"/>
        </w:trPr>
        <w:tc>
          <w:tcPr>
            <w:tcW w:w="7440" w:type="dxa"/>
            <w:vAlign w:val="bottom"/>
            <w:tcBorders>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rPr>
              <w:t>2023</w:t>
            </w:r>
          </w:p>
        </w:tc>
        <w:tc>
          <w:tcPr>
            <w:tcW w:w="32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7440" w:type="dxa"/>
            <w:vAlign w:val="bottom"/>
          </w:tcPr>
          <w:p>
            <w:pPr>
              <w:ind w:left="18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jc w:val="right"/>
              <w:ind w:right="241"/>
              <w:spacing w:after="0"/>
              <w:rPr>
                <w:sz w:val="20"/>
                <w:szCs w:val="20"/>
                <w:color w:val="auto"/>
              </w:rPr>
            </w:pPr>
            <w:r>
              <w:rPr>
                <w:rFonts w:ascii="Arial" w:cs="Arial" w:eastAsia="Arial" w:hAnsi="Arial"/>
                <w:sz w:val="18"/>
                <w:szCs w:val="18"/>
                <w:color w:val="auto"/>
              </w:rPr>
              <w:t>2,181,039</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1"/>
              <w:spacing w:after="0"/>
              <w:rPr>
                <w:sz w:val="20"/>
                <w:szCs w:val="20"/>
                <w:color w:val="auto"/>
              </w:rPr>
            </w:pPr>
            <w:r>
              <w:rPr>
                <w:rFonts w:ascii="Arial" w:cs="Arial" w:eastAsia="Arial" w:hAnsi="Arial"/>
                <w:sz w:val="18"/>
                <w:szCs w:val="18"/>
                <w:color w:val="auto"/>
              </w:rPr>
              <w:t>97,638,887</w:t>
            </w:r>
          </w:p>
        </w:tc>
      </w:tr>
      <w:tr>
        <w:trPr>
          <w:trHeight w:val="216"/>
        </w:trPr>
        <w:tc>
          <w:tcPr>
            <w:tcW w:w="74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Purchases of fixed maturity securities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(28,549,767)</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(49,382,284)</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Sales, calls and maturities of fixed maturity securities</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Arial" w:cs="Arial" w:eastAsia="Arial" w:hAnsi="Arial"/>
                <w:sz w:val="18"/>
                <w:szCs w:val="18"/>
                <w:color w:val="auto"/>
              </w:rPr>
              <w:t>19,851,603</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Arial" w:cs="Arial" w:eastAsia="Arial" w:hAnsi="Arial"/>
                <w:sz w:val="18"/>
                <w:szCs w:val="18"/>
                <w:color w:val="auto"/>
              </w:rPr>
              <w:t>9,286,436</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Purchases of equity securities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(5,949,902)</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(3,166,256)</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Sales of equity securities</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Arial" w:cs="Arial" w:eastAsia="Arial" w:hAnsi="Arial"/>
                <w:sz w:val="18"/>
                <w:szCs w:val="18"/>
                <w:color w:val="auto"/>
              </w:rPr>
              <w:t>5,430,156</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Arial" w:cs="Arial" w:eastAsia="Arial" w:hAnsi="Arial"/>
                <w:sz w:val="18"/>
                <w:szCs w:val="18"/>
                <w:color w:val="auto"/>
              </w:rPr>
              <w:t>1,918,057</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Net changes in restricted assets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(635,844)</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Purchases of restricted assets</w:t>
            </w:r>
          </w:p>
        </w:tc>
        <w:tc>
          <w:tcPr>
            <w:tcW w:w="380" w:type="dxa"/>
            <w:vAlign w:val="bottom"/>
          </w:tcPr>
          <w:p>
            <w:pPr>
              <w:spacing w:after="0"/>
              <w:rPr>
                <w:sz w:val="18"/>
                <w:szCs w:val="18"/>
                <w:color w:val="auto"/>
              </w:rPr>
            </w:pPr>
          </w:p>
        </w:tc>
        <w:tc>
          <w:tcPr>
            <w:tcW w:w="1640" w:type="dxa"/>
            <w:vAlign w:val="bottom"/>
            <w:gridSpan w:val="2"/>
          </w:tcPr>
          <w:p>
            <w:pPr>
              <w:jc w:val="right"/>
              <w:ind w:right="181"/>
              <w:spacing w:after="0"/>
              <w:rPr>
                <w:sz w:val="20"/>
                <w:szCs w:val="20"/>
                <w:color w:val="auto"/>
              </w:rPr>
            </w:pPr>
            <w:r>
              <w:rPr>
                <w:rFonts w:ascii="Arial" w:cs="Arial" w:eastAsia="Arial" w:hAnsi="Arial"/>
                <w:sz w:val="18"/>
                <w:szCs w:val="18"/>
                <w:color w:val="auto"/>
              </w:rPr>
              <w:t>(1,148,199)</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Sales, calls and maturities of restricted assets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64,746</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Net changes in cemetery perpetual care trust investments</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Arial" w:cs="Arial" w:eastAsia="Arial" w:hAnsi="Arial"/>
                <w:sz w:val="18"/>
                <w:szCs w:val="18"/>
                <w:color w:val="auto"/>
              </w:rPr>
              <w:t>330,999</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Purchases of cemetery perpetual care trust investments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(355,152)</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Sales, calls and maturities of perpetual care trust investments</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Arial" w:cs="Arial" w:eastAsia="Arial" w:hAnsi="Arial"/>
                <w:sz w:val="18"/>
                <w:szCs w:val="18"/>
                <w:color w:val="auto"/>
              </w:rPr>
              <w:t>91,504</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Mortgage loans held for investment, other investments and policy loans made</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(326,286,179)</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(382,449,025)</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w w:val="98"/>
              </w:rPr>
              <w:t>Payments received for mortgage loans held for investment, other investments and policy loans</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Arial" w:cs="Arial" w:eastAsia="Arial" w:hAnsi="Arial"/>
                <w:sz w:val="18"/>
                <w:szCs w:val="18"/>
                <w:color w:val="auto"/>
              </w:rPr>
              <w:t>369,206,657</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Arial" w:cs="Arial" w:eastAsia="Arial" w:hAnsi="Arial"/>
                <w:sz w:val="18"/>
                <w:szCs w:val="18"/>
                <w:color w:val="auto"/>
              </w:rPr>
              <w:t>386,898,902</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(527,285)</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(706,058)</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Sales of property and equipment</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Arial" w:cs="Arial" w:eastAsia="Arial" w:hAnsi="Arial"/>
                <w:sz w:val="18"/>
                <w:szCs w:val="18"/>
                <w:color w:val="auto"/>
              </w:rPr>
              <w:t>10,973</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Arial" w:cs="Arial" w:eastAsia="Arial" w:hAnsi="Arial"/>
                <w:sz w:val="18"/>
                <w:szCs w:val="18"/>
                <w:color w:val="auto"/>
              </w:rPr>
              <w:t>64,579</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Purchases of real estate</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(3,971,593)</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(11,853,775)</w:t>
            </w:r>
          </w:p>
        </w:tc>
      </w:tr>
      <w:tr>
        <w:trPr>
          <w:trHeight w:val="237"/>
        </w:trPr>
        <w:tc>
          <w:tcPr>
            <w:tcW w:w="7440" w:type="dxa"/>
            <w:vAlign w:val="bottom"/>
          </w:tcPr>
          <w:p>
            <w:pPr>
              <w:spacing w:after="0"/>
              <w:rPr>
                <w:sz w:val="20"/>
                <w:szCs w:val="20"/>
                <w:color w:val="auto"/>
              </w:rPr>
            </w:pPr>
            <w:r>
              <w:rPr>
                <w:rFonts w:ascii="Arial" w:cs="Arial" w:eastAsia="Arial" w:hAnsi="Arial"/>
                <w:sz w:val="18"/>
                <w:szCs w:val="18"/>
                <w:color w:val="auto"/>
              </w:rPr>
              <w:t>Sales of real estate</w:t>
            </w:r>
          </w:p>
        </w:tc>
        <w:tc>
          <w:tcPr>
            <w:tcW w:w="380" w:type="dxa"/>
            <w:vAlign w:val="bottom"/>
          </w:tcPr>
          <w:p>
            <w:pPr>
              <w:spacing w:after="0"/>
              <w:rPr>
                <w:sz w:val="20"/>
                <w:szCs w:val="20"/>
                <w:color w:val="auto"/>
              </w:rPr>
            </w:pPr>
          </w:p>
        </w:tc>
        <w:tc>
          <w:tcPr>
            <w:tcW w:w="1640" w:type="dxa"/>
            <w:vAlign w:val="bottom"/>
            <w:gridSpan w:val="2"/>
          </w:tcPr>
          <w:p>
            <w:pPr>
              <w:jc w:val="right"/>
              <w:ind w:right="241"/>
              <w:spacing w:after="0"/>
              <w:rPr>
                <w:sz w:val="20"/>
                <w:szCs w:val="20"/>
                <w:color w:val="auto"/>
              </w:rPr>
            </w:pPr>
            <w:r>
              <w:rPr>
                <w:rFonts w:ascii="Arial" w:cs="Arial" w:eastAsia="Arial" w:hAnsi="Arial"/>
                <w:sz w:val="18"/>
                <w:szCs w:val="18"/>
                <w:color w:val="auto"/>
              </w:rPr>
              <w:t>20,684,319</w:t>
            </w:r>
          </w:p>
        </w:tc>
        <w:tc>
          <w:tcPr>
            <w:tcW w:w="380" w:type="dxa"/>
            <w:vAlign w:val="bottom"/>
          </w:tcPr>
          <w:p>
            <w:pPr>
              <w:spacing w:after="0"/>
              <w:rPr>
                <w:sz w:val="20"/>
                <w:szCs w:val="20"/>
                <w:color w:val="auto"/>
              </w:rPr>
            </w:pPr>
          </w:p>
        </w:tc>
        <w:tc>
          <w:tcPr>
            <w:tcW w:w="1400" w:type="dxa"/>
            <w:vAlign w:val="bottom"/>
            <w:gridSpan w:val="2"/>
          </w:tcPr>
          <w:p>
            <w:pPr>
              <w:jc w:val="right"/>
              <w:ind w:right="21"/>
              <w:spacing w:after="0"/>
              <w:rPr>
                <w:sz w:val="20"/>
                <w:szCs w:val="20"/>
                <w:color w:val="auto"/>
              </w:rPr>
            </w:pPr>
            <w:r>
              <w:rPr>
                <w:rFonts w:ascii="Arial" w:cs="Arial" w:eastAsia="Arial" w:hAnsi="Arial"/>
                <w:sz w:val="18"/>
                <w:szCs w:val="18"/>
                <w:color w:val="auto"/>
              </w:rPr>
              <w:t>13,549,696</w:t>
            </w:r>
          </w:p>
        </w:tc>
      </w:tr>
      <w:tr>
        <w:trPr>
          <w:trHeight w:val="223"/>
        </w:trPr>
        <w:tc>
          <w:tcPr>
            <w:tcW w:w="74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provided by (used in) investing activities</w:t>
            </w: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48,551,881</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(36,144,573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7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Investment contract receipts</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Arial" w:cs="Arial" w:eastAsia="Arial" w:hAnsi="Arial"/>
                <w:sz w:val="18"/>
                <w:szCs w:val="18"/>
                <w:color w:val="auto"/>
              </w:rPr>
              <w:t>6,103,142</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Arial" w:cs="Arial" w:eastAsia="Arial" w:hAnsi="Arial"/>
                <w:sz w:val="18"/>
                <w:szCs w:val="18"/>
                <w:color w:val="auto"/>
              </w:rPr>
              <w:t>5,770,353</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Investment contract withdrawals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(7,663,735)</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(8,160,796)</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Proceeds from stock options exercised</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Arial" w:cs="Arial" w:eastAsia="Arial" w:hAnsi="Arial"/>
                <w:sz w:val="18"/>
                <w:szCs w:val="18"/>
                <w:color w:val="auto"/>
              </w:rPr>
              <w:t>38,879</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Arial" w:cs="Arial" w:eastAsia="Arial" w:hAnsi="Arial"/>
                <w:sz w:val="18"/>
                <w:szCs w:val="18"/>
                <w:color w:val="auto"/>
              </w:rPr>
              <w:t>127,265</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Purchases of treasury stock</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(2,591,416)</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(7,277,291)</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Repayment of bank loans</w:t>
            </w:r>
          </w:p>
        </w:tc>
        <w:tc>
          <w:tcPr>
            <w:tcW w:w="380" w:type="dxa"/>
            <w:vAlign w:val="bottom"/>
          </w:tcPr>
          <w:p>
            <w:pPr>
              <w:spacing w:after="0"/>
              <w:rPr>
                <w:sz w:val="18"/>
                <w:szCs w:val="18"/>
                <w:color w:val="auto"/>
              </w:rPr>
            </w:pPr>
          </w:p>
        </w:tc>
        <w:tc>
          <w:tcPr>
            <w:tcW w:w="1640" w:type="dxa"/>
            <w:vAlign w:val="bottom"/>
            <w:gridSpan w:val="2"/>
          </w:tcPr>
          <w:p>
            <w:pPr>
              <w:jc w:val="right"/>
              <w:ind w:right="181"/>
              <w:spacing w:after="0"/>
              <w:rPr>
                <w:sz w:val="20"/>
                <w:szCs w:val="20"/>
                <w:color w:val="auto"/>
              </w:rPr>
            </w:pPr>
            <w:r>
              <w:rPr>
                <w:rFonts w:ascii="Arial" w:cs="Arial" w:eastAsia="Arial" w:hAnsi="Arial"/>
                <w:sz w:val="18"/>
                <w:szCs w:val="18"/>
                <w:color w:val="auto"/>
              </w:rPr>
              <w:t>(68,658,021)</w:t>
            </w:r>
          </w:p>
        </w:tc>
        <w:tc>
          <w:tcPr>
            <w:tcW w:w="3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(45,217,295)</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bank loans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66,000,000</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59,618,052</w:t>
            </w:r>
          </w:p>
        </w:tc>
      </w:tr>
      <w:tr>
        <w:trPr>
          <w:trHeight w:val="237"/>
        </w:trPr>
        <w:tc>
          <w:tcPr>
            <w:tcW w:w="7440" w:type="dxa"/>
            <w:vAlign w:val="bottom"/>
          </w:tcPr>
          <w:p>
            <w:pPr>
              <w:spacing w:after="0"/>
              <w:rPr>
                <w:sz w:val="20"/>
                <w:szCs w:val="20"/>
                <w:color w:val="auto"/>
              </w:rPr>
            </w:pPr>
            <w:r>
              <w:rPr>
                <w:rFonts w:ascii="Arial" w:cs="Arial" w:eastAsia="Arial" w:hAnsi="Arial"/>
                <w:sz w:val="18"/>
                <w:szCs w:val="18"/>
                <w:color w:val="auto"/>
              </w:rPr>
              <w:t>Net change in warehouse line borrowings for loans held for sale</w:t>
            </w:r>
          </w:p>
        </w:tc>
        <w:tc>
          <w:tcPr>
            <w:tcW w:w="380" w:type="dxa"/>
            <w:vAlign w:val="bottom"/>
          </w:tcPr>
          <w:p>
            <w:pPr>
              <w:spacing w:after="0"/>
              <w:rPr>
                <w:sz w:val="20"/>
                <w:szCs w:val="20"/>
                <w:color w:val="auto"/>
              </w:rPr>
            </w:pPr>
          </w:p>
        </w:tc>
        <w:tc>
          <w:tcPr>
            <w:tcW w:w="1640" w:type="dxa"/>
            <w:vAlign w:val="bottom"/>
            <w:gridSpan w:val="2"/>
          </w:tcPr>
          <w:p>
            <w:pPr>
              <w:jc w:val="right"/>
              <w:ind w:right="181"/>
              <w:spacing w:after="0"/>
              <w:rPr>
                <w:sz w:val="20"/>
                <w:szCs w:val="20"/>
                <w:color w:val="auto"/>
              </w:rPr>
            </w:pPr>
            <w:r>
              <w:rPr>
                <w:rFonts w:ascii="Arial" w:cs="Arial" w:eastAsia="Arial" w:hAnsi="Arial"/>
                <w:sz w:val="18"/>
                <w:szCs w:val="18"/>
                <w:color w:val="auto"/>
              </w:rPr>
              <w:t>(55,805,126)</w:t>
            </w:r>
          </w:p>
        </w:tc>
        <w:tc>
          <w:tcPr>
            <w:tcW w:w="38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(65,362,776)</w:t>
            </w:r>
          </w:p>
        </w:tc>
      </w:tr>
      <w:tr>
        <w:trPr>
          <w:trHeight w:val="223"/>
        </w:trPr>
        <w:tc>
          <w:tcPr>
            <w:tcW w:w="74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used in financing activities</w:t>
            </w: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(62,576,277</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(60,502,488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7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cash, cash equivalents, restricted cash and restricted cash equivalents</w:t>
            </w:r>
          </w:p>
        </w:tc>
        <w:tc>
          <w:tcPr>
            <w:tcW w:w="38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(11,843,357)</w:t>
            </w:r>
          </w:p>
        </w:tc>
        <w:tc>
          <w:tcPr>
            <w:tcW w:w="3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991,826</w:t>
            </w:r>
          </w:p>
        </w:tc>
      </w:tr>
      <w:tr>
        <w:trPr>
          <w:trHeight w:val="216"/>
        </w:trPr>
        <w:tc>
          <w:tcPr>
            <w:tcW w:w="744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w w:val="99"/>
              </w:rPr>
              <w:t>Cash, cash equivalents, restricted cash and restricted cash equivalents at beginning of period</w:t>
            </w:r>
          </w:p>
        </w:tc>
        <w:tc>
          <w:tcPr>
            <w:tcW w:w="38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133,483,817</w:t>
            </w:r>
          </w:p>
        </w:tc>
        <w:tc>
          <w:tcPr>
            <w:tcW w:w="3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141,414,282</w:t>
            </w:r>
          </w:p>
        </w:tc>
      </w:tr>
      <w:tr>
        <w:trPr>
          <w:trHeight w:val="216"/>
        </w:trPr>
        <w:tc>
          <w:tcPr>
            <w:tcW w:w="744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8"/>
              </w:rPr>
              <w:t>Cash, cash equivalents, restricted cash and restricted cash equivalents at end of period</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6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121,640,460</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142,406,108</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7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Cash paid during the year for:</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6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3,056,099</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3,568,862</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Income taxes (net of refunds)</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Arial" w:cs="Arial" w:eastAsia="Arial" w:hAnsi="Arial"/>
                <w:sz w:val="18"/>
                <w:szCs w:val="18"/>
                <w:color w:val="auto"/>
              </w:rPr>
              <w:t>17,458,807</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Arial" w:cs="Arial" w:eastAsia="Arial" w:hAnsi="Arial"/>
                <w:sz w:val="18"/>
                <w:szCs w:val="18"/>
                <w:color w:val="auto"/>
              </w:rPr>
              <w:t>407,958</w:t>
            </w:r>
          </w:p>
        </w:tc>
      </w:tr>
      <w:tr>
        <w:trPr>
          <w:trHeight w:val="216"/>
        </w:trPr>
        <w:tc>
          <w:tcPr>
            <w:tcW w:w="7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b w:val="1"/>
                <w:bCs w:val="1"/>
                <w:color w:val="auto"/>
              </w:rPr>
              <w:t>Non Cash Operating, Investing and Financing Activities:</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Transfer from mortgage loans held for investment to restricted assets</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6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1,625,961</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w w:val="98"/>
              </w:rPr>
              <w:t>Transfer from mortgage loans held for investment to cemetery perpetual care trust investments</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Arial" w:cs="Arial" w:eastAsia="Arial" w:hAnsi="Arial"/>
                <w:sz w:val="18"/>
                <w:szCs w:val="18"/>
                <w:color w:val="auto"/>
              </w:rPr>
              <w:t>1,611,550</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Transfer from loans held for sale to mortgage loans held for investment</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1,150,074</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Benefit plans funded with treasury stock</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Arial" w:cs="Arial" w:eastAsia="Arial" w:hAnsi="Arial"/>
                <w:sz w:val="18"/>
                <w:szCs w:val="18"/>
                <w:color w:val="auto"/>
              </w:rPr>
              <w:t>1,145,864</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Arial" w:cs="Arial" w:eastAsia="Arial" w:hAnsi="Arial"/>
                <w:sz w:val="18"/>
                <w:szCs w:val="18"/>
                <w:color w:val="auto"/>
              </w:rPr>
              <w:t>3,073,973</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 obtained in exchange for operating lease liabilities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139,095</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732,005</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Right-of-use assets obtained in exchange for finance lease liabilities</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Arial" w:cs="Arial" w:eastAsia="Arial" w:hAnsi="Arial"/>
                <w:sz w:val="18"/>
                <w:szCs w:val="18"/>
                <w:color w:val="auto"/>
              </w:rPr>
              <w:t>12,332</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Accrued real estate construction costs and retainage</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1,782,556</w:t>
            </w:r>
          </w:p>
        </w:tc>
      </w:tr>
      <w:tr>
        <w:trPr>
          <w:trHeight w:val="439"/>
        </w:trPr>
        <w:tc>
          <w:tcPr>
            <w:tcW w:w="7440" w:type="dxa"/>
            <w:vAlign w:val="bottom"/>
            <w:tcBorders>
              <w:bottom w:val="single" w:sz="8" w:color="auto"/>
            </w:tcBorders>
          </w:tcPr>
          <w:p>
            <w:pPr>
              <w:ind w:left="5580"/>
              <w:spacing w:after="0"/>
              <w:rPr>
                <w:sz w:val="20"/>
                <w:szCs w:val="20"/>
                <w:color w:val="auto"/>
              </w:rPr>
            </w:pPr>
            <w:r>
              <w:rPr>
                <w:rFonts w:ascii="Arial" w:cs="Arial" w:eastAsia="Arial" w:hAnsi="Arial"/>
                <w:sz w:val="18"/>
                <w:szCs w:val="18"/>
                <w:color w:val="auto"/>
              </w:rPr>
              <w:t>8</w:t>
            </w: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Reconciliation of cash, cash equivalents, restricted cash and restricted cash equivalents as shown in the condensed consolidated statements of cash flows is presented in the table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20" w:type="dxa"/>
            <w:vAlign w:val="bottom"/>
            <w:gridSpan w:val="5"/>
          </w:tcPr>
          <w:p>
            <w:pPr>
              <w:ind w:left="480"/>
              <w:spacing w:after="0"/>
              <w:rPr>
                <w:sz w:val="20"/>
                <w:szCs w:val="20"/>
                <w:color w:val="auto"/>
              </w:rPr>
            </w:pPr>
            <w:r>
              <w:rPr>
                <w:rFonts w:ascii="Arial" w:cs="Arial" w:eastAsia="Arial" w:hAnsi="Arial"/>
                <w:sz w:val="18"/>
                <w:szCs w:val="18"/>
                <w:color w:val="auto"/>
              </w:rPr>
              <w:t>Six Months Ended June 30,</w:t>
            </w:r>
          </w:p>
        </w:tc>
        <w:tc>
          <w:tcPr>
            <w:tcW w:w="0" w:type="dxa"/>
            <w:vAlign w:val="bottom"/>
          </w:tcPr>
          <w:p>
            <w:pPr>
              <w:spacing w:after="0"/>
              <w:rPr>
                <w:sz w:val="1"/>
                <w:szCs w:val="1"/>
                <w:color w:val="auto"/>
              </w:rPr>
            </w:pPr>
          </w:p>
        </w:tc>
      </w:tr>
      <w:tr>
        <w:trPr>
          <w:trHeight w:val="237"/>
        </w:trPr>
        <w:tc>
          <w:tcPr>
            <w:tcW w:w="7440" w:type="dxa"/>
            <w:vAlign w:val="bottom"/>
            <w:tcBorders>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rPr>
              <w:t>2023</w:t>
            </w:r>
          </w:p>
        </w:tc>
        <w:tc>
          <w:tcPr>
            <w:tcW w:w="32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110,285,941</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131,296,538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Restricted assets</w:t>
            </w:r>
          </w:p>
        </w:tc>
        <w:tc>
          <w:tcPr>
            <w:tcW w:w="38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10,276,918</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9,654,673</w:t>
            </w:r>
          </w:p>
        </w:tc>
        <w:tc>
          <w:tcPr>
            <w:tcW w:w="0" w:type="dxa"/>
            <w:vAlign w:val="bottom"/>
          </w:tcPr>
          <w:p>
            <w:pPr>
              <w:spacing w:after="0"/>
              <w:rPr>
                <w:sz w:val="1"/>
                <w:szCs w:val="1"/>
                <w:color w:val="auto"/>
              </w:rPr>
            </w:pPr>
          </w:p>
        </w:tc>
      </w:tr>
      <w:tr>
        <w:trPr>
          <w:trHeight w:val="237"/>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Cemetery perpetual care trust investments</w:t>
            </w:r>
          </w:p>
        </w:tc>
        <w:tc>
          <w:tcPr>
            <w:tcW w:w="38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1,077,601</w:t>
            </w:r>
          </w:p>
        </w:tc>
        <w:tc>
          <w:tcPr>
            <w:tcW w:w="3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1,454,897</w:t>
            </w:r>
          </w:p>
        </w:tc>
        <w:tc>
          <w:tcPr>
            <w:tcW w:w="0" w:type="dxa"/>
            <w:vAlign w:val="bottom"/>
          </w:tcPr>
          <w:p>
            <w:pPr>
              <w:spacing w:after="0"/>
              <w:rPr>
                <w:sz w:val="1"/>
                <w:szCs w:val="1"/>
                <w:color w:val="auto"/>
              </w:rPr>
            </w:pPr>
          </w:p>
        </w:tc>
      </w:tr>
      <w:tr>
        <w:trPr>
          <w:trHeight w:val="216"/>
        </w:trPr>
        <w:tc>
          <w:tcPr>
            <w:tcW w:w="744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Total cash, cash equivalents, restricted cash and restricted cash equivalents</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121,640,460</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142,406,108</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See accompanying notes to condensed consolidated financial statements (unaudited).</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7440" w:type="dxa"/>
            <w:vAlign w:val="bottom"/>
            <w:tcBorders>
              <w:bottom w:val="single" w:sz="8" w:color="auto"/>
            </w:tcBorders>
          </w:tcPr>
          <w:p>
            <w:pPr>
              <w:ind w:left="5580"/>
              <w:spacing w:after="0"/>
              <w:rPr>
                <w:sz w:val="20"/>
                <w:szCs w:val="20"/>
                <w:color w:val="auto"/>
              </w:rPr>
            </w:pPr>
            <w:r>
              <w:rPr>
                <w:rFonts w:ascii="Arial" w:cs="Arial" w:eastAsia="Arial" w:hAnsi="Arial"/>
                <w:sz w:val="18"/>
                <w:szCs w:val="18"/>
                <w:color w:val="auto"/>
              </w:rPr>
              <w:t>9</w:t>
            </w: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2" w:right="339" w:bottom="1440" w:gutter="0" w:footer="0" w:header="0"/>
        </w:sectPr>
      </w:pPr>
    </w:p>
    <w:bookmarkStart w:id="9" w:name="page10"/>
    <w:bookmarkEnd w:id="9"/>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June 30, 2023 (Unaudited)</w:t>
      </w:r>
    </w:p>
    <w:p>
      <w:pPr>
        <w:spacing w:after="0" w:line="184" w:lineRule="exact"/>
        <w:rPr>
          <w:sz w:val="20"/>
          <w:szCs w:val="20"/>
          <w:color w:val="auto"/>
        </w:rPr>
      </w:pPr>
    </w:p>
    <w:p>
      <w:pPr>
        <w:ind w:left="200" w:hanging="192"/>
        <w:spacing w:after="0"/>
        <w:tabs>
          <w:tab w:leader="none" w:pos="20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Basis of Presentation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for interim financial information and with the instructions to Form 10-Q and Articles 8 and 10 of Regulation S-X. Accordingly, they do not include all of the information and disclosures required by accounting principles generally accepted in the United States of America for complete financial statements. These financial statements should be read in conjunction with the consolidated financial statements of the Company and notes thereto for the year ended December 31, 2022, included in the Company’s Annual Report on Form 10-K (File Number 000-09341). In the opinion of management, all adjustments (consisting of normal recurring accruals) considered necessary for a fair presentation have been included. Operating results for the three and six month periods ended June 30, 2023 are not necessarily indicative of the results that may be expected for the year ending December 31, 2023.</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adopt policies and make estimates and assumptions that affect the amounts reported in the financial statements and accompanying notes. In applying these policies and estimates, the Company makes judgments that frequently require assumptions about matters that are inherently uncertain. Accordingly, significant estimates used in the preparation of the Company’s financial statements may be subject to significant adjustments in future periods. Actual results could differ from those estimates.</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Material estimates that are particularly susceptible to significant changes in the near term are those used in determining the value of derivative assets and liabilities; those used in determining deferred acquisition costs and the value of business acquired; those used in determining the value of mortgage loans foreclosed to real estate held for investment or sale; those used in determining the liability for future policy benefits and unearned revenue; those used in determining the estimated future costs for pre-need sales; those used in determining the value of mortgage servicing rights; those used in determining allowances for credit losses; those used in determining loan loss reserve; and those used in determining deferred tax assets and liabilities. Although some variability is inherent in these estimates, management believes the amounts provided are fairly stated in all material respects.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Banking Environment</w:t>
      </w:r>
      <w:r>
        <w:rPr>
          <w:rFonts w:ascii="Arial" w:cs="Arial" w:eastAsia="Arial" w:hAnsi="Arial"/>
          <w:sz w:val="18"/>
          <w:szCs w:val="18"/>
          <w:color w:val="auto"/>
        </w:rPr>
        <w:t>.</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On March 10, 2023 and March 12, 2023, Silicon Valley Bank and Signature Bank were placed in receivership with the Federal Deposit Insurance Corporation (“FDIC”). Normal banking activities resumed shortly thereafter. On May 1, 2023, First Republic bank was placed in receivership with the FDIC and was immediately purchased by a national bank.</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does not maintain any deposit or other accounts or credit facilities with Silicon Valley Bank, Signature Bank or First Republic Bank. The Company may periodically transfer funds to these banks to pay for services rendered by third party vendors that continue to maintain banking relationships with these banks. The Company continues to monitor the banking industry and its relationships with regional and community banks.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0" w:name="page11"/>
    <w:bookmarkEnd w:id="10"/>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June 30, 2023 (Unaudited)</w:t>
      </w:r>
    </w:p>
    <w:p>
      <w:pPr>
        <w:spacing w:after="0" w:line="184" w:lineRule="exact"/>
        <w:rPr>
          <w:sz w:val="20"/>
          <w:szCs w:val="20"/>
          <w:color w:val="auto"/>
        </w:rPr>
      </w:pPr>
    </w:p>
    <w:p>
      <w:pPr>
        <w:ind w:left="200" w:hanging="192"/>
        <w:spacing w:after="0"/>
        <w:tabs>
          <w:tab w:leader="none" w:pos="20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Recent Accounting Pronouncements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Adopted in 2023</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u w:val="single" w:color="auto"/>
          <w:color w:val="auto"/>
        </w:rPr>
        <w:t>ASU No. 2016-13: “Financial Instruments – Credit Losses (Topic 326)”</w:t>
      </w:r>
      <w:r>
        <w:rPr>
          <w:rFonts w:ascii="Arial" w:cs="Arial" w:eastAsia="Arial" w:hAnsi="Arial"/>
          <w:sz w:val="17"/>
          <w:szCs w:val="17"/>
          <w:color w:val="auto"/>
        </w:rPr>
        <w:t xml:space="preserve"> — Issued in September 2016, ASU 2016-13 amends guidance on reporting credit losses for assets held at amortized cost basis (such as mortgage loans held for investment and held to maturity debt securities) and available for sale debt securities. For assets held at amortized cost basis, Topic 326 eliminates the probable initial recognition threshold and, instead, requires an entity to reflect its current estimate of all expected credit losses. The allowance for credit losses is a valuation account that is deducted from the amortized cost basis of the financial assets to present the net amount expected to be collected. For available for sale debt securities Topic 326 requires that credit losses be presented as an allowance rather than as a write-down. The Company adopted this standard on January 1, 2023, and after a review of the affected assets, decreased the opening balance of retained earnings in stockholders’ equity by $671,506 on January 1, 2023. The allowances for credit losses increased (decreased) by the following amounts.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Amount</w:t>
            </w:r>
          </w:p>
        </w:tc>
      </w:tr>
      <w:tr>
        <w:trPr>
          <w:trHeight w:val="216"/>
        </w:trPr>
        <w:tc>
          <w:tcPr>
            <w:tcW w:w="7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Mortgage loans held for investment:</w:t>
            </w:r>
          </w:p>
        </w:tc>
        <w:tc>
          <w:tcPr>
            <w:tcW w:w="2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380" w:type="dxa"/>
            <w:vAlign w:val="bottom"/>
          </w:tcPr>
          <w:p>
            <w:pPr>
              <w:ind w:left="180"/>
              <w:spacing w:after="0"/>
              <w:rPr>
                <w:sz w:val="20"/>
                <w:szCs w:val="20"/>
                <w:color w:val="auto"/>
              </w:rPr>
            </w:pPr>
            <w:r>
              <w:rPr>
                <w:rFonts w:ascii="Arial" w:cs="Arial" w:eastAsia="Arial" w:hAnsi="Arial"/>
                <w:sz w:val="18"/>
                <w:szCs w:val="18"/>
                <w:color w:val="auto"/>
              </w:rPr>
              <w:t>Residential</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(192,607)</w:t>
            </w:r>
          </w:p>
        </w:tc>
      </w:tr>
      <w:tr>
        <w:trPr>
          <w:trHeight w:val="216"/>
        </w:trPr>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construction</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301,830</w:t>
            </w:r>
          </w:p>
        </w:tc>
      </w:tr>
      <w:tr>
        <w:trPr>
          <w:trHeight w:val="237"/>
        </w:trPr>
        <w:tc>
          <w:tcPr>
            <w:tcW w:w="738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280" w:type="dxa"/>
            <w:vAlign w:val="bottom"/>
          </w:tcPr>
          <w:p>
            <w:pPr>
              <w:spacing w:after="0"/>
              <w:rPr>
                <w:sz w:val="20"/>
                <w:szCs w:val="20"/>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555,807</w:t>
            </w:r>
          </w:p>
        </w:tc>
      </w:tr>
      <w:tr>
        <w:trPr>
          <w:trHeight w:val="223"/>
        </w:trPr>
        <w:tc>
          <w:tcPr>
            <w:tcW w:w="7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665,030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7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Restriced assets - mortgage loans held for investment:</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7"/>
        </w:trPr>
        <w:tc>
          <w:tcPr>
            <w:tcW w:w="7380" w:type="dxa"/>
            <w:vAlign w:val="bottom"/>
          </w:tcPr>
          <w:p>
            <w:pPr>
              <w:ind w:left="180"/>
              <w:spacing w:after="0"/>
              <w:rPr>
                <w:sz w:val="20"/>
                <w:szCs w:val="20"/>
                <w:color w:val="auto"/>
              </w:rPr>
            </w:pPr>
            <w:r>
              <w:rPr>
                <w:rFonts w:ascii="Arial" w:cs="Arial" w:eastAsia="Arial" w:hAnsi="Arial"/>
                <w:sz w:val="18"/>
                <w:szCs w:val="18"/>
                <w:color w:val="auto"/>
              </w:rPr>
              <w:t>Residential construction</w:t>
            </w:r>
          </w:p>
        </w:tc>
        <w:tc>
          <w:tcPr>
            <w:tcW w:w="280" w:type="dxa"/>
            <w:vAlign w:val="bottom"/>
          </w:tcPr>
          <w:p>
            <w:pPr>
              <w:spacing w:after="0"/>
              <w:rPr>
                <w:sz w:val="20"/>
                <w:szCs w:val="20"/>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3,463</w:t>
            </w:r>
          </w:p>
        </w:tc>
      </w:tr>
      <w:tr>
        <w:trPr>
          <w:trHeight w:val="216"/>
        </w:trPr>
        <w:tc>
          <w:tcPr>
            <w:tcW w:w="73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Cemetery perpetual care trust investments - mortgage loans held for investment:</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6"/>
        </w:trPr>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construction</w:t>
            </w:r>
          </w:p>
        </w:tc>
        <w:tc>
          <w:tcPr>
            <w:tcW w:w="2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3,013</w:t>
            </w:r>
          </w:p>
        </w:tc>
      </w:tr>
      <w:tr>
        <w:trPr>
          <w:trHeight w:val="216"/>
        </w:trPr>
        <w:tc>
          <w:tcPr>
            <w:tcW w:w="73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43"/>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Grand Total</w:t>
            </w:r>
          </w:p>
        </w:tc>
        <w:tc>
          <w:tcPr>
            <w:tcW w:w="2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671,506</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Issued But Not Yet Adopted</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u w:val="single" w:color="auto"/>
          <w:color w:val="auto"/>
        </w:rPr>
        <w:t>ASU No. 2018-12: “Financial Services – Insurance (Topic 944): Targeted Improvements to the Accounting for Long-Duration Contracts”</w:t>
      </w:r>
      <w:r>
        <w:rPr>
          <w:rFonts w:ascii="Arial" w:cs="Arial" w:eastAsia="Arial" w:hAnsi="Arial"/>
          <w:sz w:val="17"/>
          <w:szCs w:val="17"/>
          <w:color w:val="auto"/>
        </w:rPr>
        <w:t xml:space="preserve"> — Issued in August 2018, ASU 2018-12 is intended to improve the timeliness of recognizing changes in the liability for future policy benefits on traditional long-duration contracts by requiring that assumptions be updated after contract inception and by modifying the rate used to discount future cash flows. The standard is aimed at improving the accounting for certain market-based options or guarantees associated with deposit or account balance contracts, simplify amortization of deferred acquisition costs while improving and expanding required disclosures. In November 2020, the FASB issued an update to ASU No. 2018-12 that requires the standard to be adopted by the Company commencing on January 1, 2025. The Company has made progress in the implementation of the new standard, including the involvement of actuaries, accountants, and systems specialists. However, the Company has not yet estimated the impact the new guidance will have on the consolidated financial statements.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reviewed other recent accounting pronouncements and has determined that they will not significantly impact the Company’s results of operations or financial position.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1" w:name="page12"/>
    <w:bookmarkEnd w:id="11"/>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June 30, 2023 (Unaudited)</w:t>
      </w:r>
    </w:p>
    <w:p>
      <w:pPr>
        <w:spacing w:after="0" w:line="184" w:lineRule="exact"/>
        <w:rPr>
          <w:sz w:val="20"/>
          <w:szCs w:val="20"/>
          <w:color w:val="auto"/>
        </w:rPr>
      </w:pPr>
    </w:p>
    <w:p>
      <w:pPr>
        <w:ind w:left="200" w:hanging="192"/>
        <w:spacing w:after="0"/>
        <w:tabs>
          <w:tab w:leader="none" w:pos="20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investments as of June 30, 2023 are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Gross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460"/>
              <w:spacing w:after="0"/>
              <w:rPr>
                <w:sz w:val="20"/>
                <w:szCs w:val="20"/>
                <w:color w:val="auto"/>
              </w:rPr>
            </w:pPr>
            <w:r>
              <w:rPr>
                <w:rFonts w:ascii="Arial" w:cs="Arial" w:eastAsia="Arial" w:hAnsi="Arial"/>
                <w:sz w:val="18"/>
                <w:szCs w:val="18"/>
                <w:color w:val="auto"/>
                <w:w w:val="87"/>
              </w:rPr>
              <w:t>Gross</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Amortized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Unrealized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460"/>
              <w:spacing w:after="0"/>
              <w:rPr>
                <w:sz w:val="20"/>
                <w:szCs w:val="20"/>
                <w:color w:val="auto"/>
              </w:rPr>
            </w:pPr>
            <w:r>
              <w:rPr>
                <w:rFonts w:ascii="Arial" w:cs="Arial" w:eastAsia="Arial" w:hAnsi="Arial"/>
                <w:sz w:val="18"/>
                <w:szCs w:val="18"/>
                <w:color w:val="auto"/>
                <w:w w:val="90"/>
              </w:rPr>
              <w:t>Unrealized</w:t>
            </w:r>
          </w:p>
        </w:tc>
        <w:tc>
          <w:tcPr>
            <w:tcW w:w="1420" w:type="dxa"/>
            <w:vAlign w:val="bottom"/>
            <w:gridSpan w:val="3"/>
          </w:tcPr>
          <w:p>
            <w:pPr>
              <w:jc w:val="right"/>
              <w:ind w:right="360"/>
              <w:spacing w:after="0"/>
              <w:rPr>
                <w:sz w:val="20"/>
                <w:szCs w:val="20"/>
                <w:color w:val="auto"/>
              </w:rPr>
            </w:pPr>
            <w:r>
              <w:rPr>
                <w:rFonts w:ascii="Arial" w:cs="Arial" w:eastAsia="Arial" w:hAnsi="Arial"/>
                <w:sz w:val="18"/>
                <w:szCs w:val="18"/>
                <w:color w:val="auto"/>
                <w:w w:val="96"/>
              </w:rPr>
              <w:t>Allowance for</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Estimated Fair</w:t>
            </w:r>
          </w:p>
        </w:tc>
      </w:tr>
      <w:tr>
        <w:trPr>
          <w:trHeight w:val="237"/>
        </w:trPr>
        <w:tc>
          <w:tcPr>
            <w:tcW w:w="10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Cost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Gains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center"/>
              <w:ind w:right="460"/>
              <w:spacing w:after="0"/>
              <w:rPr>
                <w:sz w:val="20"/>
                <w:szCs w:val="20"/>
                <w:color w:val="auto"/>
              </w:rPr>
            </w:pPr>
            <w:r>
              <w:rPr>
                <w:rFonts w:ascii="Arial" w:cs="Arial" w:eastAsia="Arial" w:hAnsi="Arial"/>
                <w:sz w:val="18"/>
                <w:szCs w:val="18"/>
                <w:color w:val="auto"/>
                <w:w w:val="88"/>
              </w:rPr>
              <w:t>Losses (1)</w:t>
            </w:r>
          </w:p>
        </w:tc>
        <w:tc>
          <w:tcPr>
            <w:tcW w:w="1420" w:type="dxa"/>
            <w:vAlign w:val="bottom"/>
            <w:gridSpan w:val="3"/>
          </w:tcPr>
          <w:p>
            <w:pPr>
              <w:jc w:val="right"/>
              <w:ind w:right="380"/>
              <w:spacing w:after="0"/>
              <w:rPr>
                <w:sz w:val="20"/>
                <w:szCs w:val="20"/>
                <w:color w:val="auto"/>
              </w:rPr>
            </w:pPr>
            <w:r>
              <w:rPr>
                <w:rFonts w:ascii="Arial" w:cs="Arial" w:eastAsia="Arial" w:hAnsi="Arial"/>
                <w:sz w:val="18"/>
                <w:szCs w:val="18"/>
                <w:color w:val="auto"/>
                <w:w w:val="92"/>
              </w:rPr>
              <w:t>Credit Losses</w:t>
            </w:r>
          </w:p>
        </w:tc>
        <w:tc>
          <w:tcPr>
            <w:tcW w:w="16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Value</w:t>
            </w:r>
          </w:p>
        </w:tc>
      </w:tr>
      <w:tr>
        <w:trPr>
          <w:trHeight w:val="176"/>
        </w:trPr>
        <w:tc>
          <w:tcPr>
            <w:tcW w:w="404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June 30, 2023:</w:t>
            </w: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0"/>
        </w:trPr>
        <w:tc>
          <w:tcPr>
            <w:tcW w:w="1060" w:type="dxa"/>
            <w:vAlign w:val="bottom"/>
            <w:tcBorders>
              <w:top w:val="single" w:sz="8" w:color="auto"/>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02"/>
        </w:trPr>
        <w:tc>
          <w:tcPr>
            <w:tcW w:w="4040" w:type="dxa"/>
            <w:vAlign w:val="bottom"/>
            <w:gridSpan w:val="2"/>
          </w:tcPr>
          <w:p>
            <w:pPr>
              <w:spacing w:after="0" w:line="201" w:lineRule="exact"/>
              <w:rPr>
                <w:sz w:val="20"/>
                <w:szCs w:val="20"/>
                <w:color w:val="auto"/>
              </w:rPr>
            </w:pPr>
            <w:r>
              <w:rPr>
                <w:rFonts w:ascii="Arial" w:cs="Arial" w:eastAsia="Arial" w:hAnsi="Arial"/>
                <w:sz w:val="18"/>
                <w:szCs w:val="18"/>
                <w:color w:val="auto"/>
              </w:rPr>
              <w:t>Fixed maturity securities, available for sale, at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040" w:type="dxa"/>
            <w:vAlign w:val="bottom"/>
            <w:gridSpan w:val="2"/>
          </w:tcPr>
          <w:p>
            <w:pPr>
              <w:spacing w:after="0"/>
              <w:rPr>
                <w:sz w:val="20"/>
                <w:szCs w:val="20"/>
                <w:color w:val="auto"/>
              </w:rPr>
            </w:pPr>
            <w:r>
              <w:rPr>
                <w:rFonts w:ascii="Arial" w:cs="Arial" w:eastAsia="Arial" w:hAnsi="Arial"/>
                <w:sz w:val="18"/>
                <w:szCs w:val="18"/>
                <w:color w:val="auto"/>
              </w:rPr>
              <w:t>estimated fair value:</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404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U.S. Treasury securities and obligations of U.S.</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Government agencies</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99,323,377</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50,602</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(2,554,426)</w:t>
            </w:r>
          </w:p>
        </w:tc>
        <w:tc>
          <w:tcPr>
            <w:tcW w:w="280" w:type="dxa"/>
            <w:vAlign w:val="bottom"/>
            <w:shd w:val="clear" w:color="auto" w:fill="CCEEFF"/>
          </w:tcPr>
          <w:p>
            <w:pPr>
              <w:jc w:val="right"/>
              <w:ind w:right="118"/>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96,819,553</w:t>
            </w:r>
          </w:p>
        </w:tc>
      </w:tr>
      <w:tr>
        <w:trPr>
          <w:trHeight w:val="216"/>
        </w:trPr>
        <w:tc>
          <w:tcPr>
            <w:tcW w:w="10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6,757,087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(378,987)</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6,378,503</w:t>
            </w:r>
          </w:p>
        </w:tc>
      </w:tr>
      <w:tr>
        <w:trPr>
          <w:trHeight w:val="216"/>
        </w:trPr>
        <w:tc>
          <w:tcPr>
            <w:tcW w:w="10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Corporate securities including public utilities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232,127,146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2,177,346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(11,487,153)</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(224,005)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222,593,334</w:t>
            </w:r>
          </w:p>
        </w:tc>
      </w:tr>
      <w:tr>
        <w:trPr>
          <w:trHeight w:val="216"/>
        </w:trPr>
        <w:tc>
          <w:tcPr>
            <w:tcW w:w="10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Mortgage-backed securities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33,273,655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169,558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(4,704,791)</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28,738,422</w:t>
            </w:r>
          </w:p>
        </w:tc>
      </w:tr>
      <w:tr>
        <w:trPr>
          <w:trHeight w:val="216"/>
        </w:trPr>
        <w:tc>
          <w:tcPr>
            <w:tcW w:w="10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Redeemable preferred stock</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250,000</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260,000</w:t>
            </w:r>
          </w:p>
        </w:tc>
      </w:tr>
      <w:tr>
        <w:trPr>
          <w:trHeight w:val="216"/>
        </w:trPr>
        <w:tc>
          <w:tcPr>
            <w:tcW w:w="1060" w:type="dxa"/>
            <w:vAlign w:val="bottom"/>
            <w:tcBorders>
              <w:top w:val="single" w:sz="8" w:color="CCEEFF"/>
            </w:tcBorders>
          </w:tcPr>
          <w:p>
            <w:pPr>
              <w:spacing w:after="0"/>
              <w:rPr>
                <w:sz w:val="18"/>
                <w:szCs w:val="18"/>
                <w:color w:val="auto"/>
              </w:rPr>
            </w:pPr>
          </w:p>
        </w:tc>
        <w:tc>
          <w:tcPr>
            <w:tcW w:w="29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4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8"/>
              </w:rPr>
              <w:t>Total fixed maturity securities available for sale</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371,731,265</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2,407,909</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(19,125,357)</w:t>
            </w:r>
          </w:p>
        </w:tc>
        <w:tc>
          <w:tcPr>
            <w:tcW w:w="280" w:type="dxa"/>
            <w:vAlign w:val="bottom"/>
            <w:shd w:val="clear" w:color="auto" w:fill="CCEEFF"/>
          </w:tcPr>
          <w:p>
            <w:pPr>
              <w:jc w:val="right"/>
              <w:ind w:right="118"/>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(224,005)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354,789,812</w:t>
            </w:r>
          </w:p>
        </w:tc>
      </w:tr>
      <w:tr>
        <w:trPr>
          <w:trHeight w:val="20"/>
        </w:trPr>
        <w:tc>
          <w:tcPr>
            <w:tcW w:w="106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securities at estimated fair value: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Industrial, miscellaneous and all other</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10,416,580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2,976,949</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(591,604)</w:t>
            </w: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12,801,925</w:t>
            </w:r>
          </w:p>
        </w:tc>
      </w:tr>
      <w:tr>
        <w:trPr>
          <w:trHeight w:val="216"/>
        </w:trPr>
        <w:tc>
          <w:tcPr>
            <w:tcW w:w="1060" w:type="dxa"/>
            <w:vAlign w:val="bottom"/>
            <w:tcBorders>
              <w:top w:val="single" w:sz="8" w:color="CCEEFF"/>
            </w:tcBorders>
          </w:tcPr>
          <w:p>
            <w:pPr>
              <w:spacing w:after="0"/>
              <w:rPr>
                <w:sz w:val="18"/>
                <w:szCs w:val="18"/>
                <w:color w:val="auto"/>
              </w:rPr>
            </w:pPr>
          </w:p>
        </w:tc>
        <w:tc>
          <w:tcPr>
            <w:tcW w:w="29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4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equity securities at estimated fair value</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10,416,580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2,976,949</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(591,604)</w:t>
            </w: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12,801,925</w:t>
            </w:r>
          </w:p>
        </w:tc>
      </w:tr>
      <w:tr>
        <w:trPr>
          <w:trHeight w:val="20"/>
        </w:trPr>
        <w:tc>
          <w:tcPr>
            <w:tcW w:w="106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Mortgage loans held for investment at amortized cost: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40" w:type="dxa"/>
            <w:vAlign w:val="bottom"/>
            <w:gridSpan w:val="2"/>
          </w:tcPr>
          <w:p>
            <w:pPr>
              <w:ind w:left="360"/>
              <w:spacing w:after="0"/>
              <w:rPr>
                <w:sz w:val="20"/>
                <w:szCs w:val="20"/>
                <w:color w:val="auto"/>
              </w:rPr>
            </w:pPr>
            <w:r>
              <w:rPr>
                <w:rFonts w:ascii="Arial" w:cs="Arial" w:eastAsia="Arial" w:hAnsi="Arial"/>
                <w:sz w:val="18"/>
                <w:szCs w:val="18"/>
                <w:color w:val="auto"/>
              </w:rPr>
              <w:t>Residential</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95,208,040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Residential construction</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121,322,532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40" w:type="dxa"/>
            <w:vAlign w:val="bottom"/>
            <w:gridSpan w:val="2"/>
          </w:tcPr>
          <w:p>
            <w:pPr>
              <w:ind w:left="360"/>
              <w:spacing w:after="0"/>
              <w:rPr>
                <w:sz w:val="20"/>
                <w:szCs w:val="20"/>
                <w:color w:val="auto"/>
              </w:rPr>
            </w:pPr>
            <w:r>
              <w:rPr>
                <w:rFonts w:ascii="Arial" w:cs="Arial" w:eastAsia="Arial" w:hAnsi="Arial"/>
                <w:sz w:val="18"/>
                <w:szCs w:val="18"/>
                <w:color w:val="auto"/>
              </w:rPr>
              <w:t>Commercial</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59,205,487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Less: Unamortized deferred loan fees, net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(1,689,405)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40" w:type="dxa"/>
            <w:vAlign w:val="bottom"/>
            <w:gridSpan w:val="2"/>
          </w:tcPr>
          <w:p>
            <w:pPr>
              <w:ind w:left="360"/>
              <w:spacing w:after="0"/>
              <w:rPr>
                <w:sz w:val="20"/>
                <w:szCs w:val="20"/>
                <w:color w:val="auto"/>
              </w:rPr>
            </w:pPr>
            <w:r>
              <w:rPr>
                <w:rFonts w:ascii="Arial" w:cs="Arial" w:eastAsia="Arial" w:hAnsi="Arial"/>
                <w:sz w:val="18"/>
                <w:szCs w:val="18"/>
                <w:color w:val="auto"/>
              </w:rPr>
              <w:t>Less: Allowance for credit losses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(2,663,560)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Less: Net discounts</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(333,509)</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1060" w:type="dxa"/>
            <w:vAlign w:val="bottom"/>
            <w:tcBorders>
              <w:top w:val="single" w:sz="8" w:color="CCEEFF"/>
            </w:tcBorders>
          </w:tcPr>
          <w:p>
            <w:pPr>
              <w:spacing w:after="0"/>
              <w:rPr>
                <w:sz w:val="18"/>
                <w:szCs w:val="18"/>
                <w:color w:val="auto"/>
              </w:rPr>
            </w:pPr>
          </w:p>
        </w:tc>
        <w:tc>
          <w:tcPr>
            <w:tcW w:w="29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mortgage loans held for investment</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271,049,585</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106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106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4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Real estate held for investment - net of accumulated</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4040" w:type="dxa"/>
            <w:vAlign w:val="bottom"/>
            <w:gridSpan w:val="2"/>
          </w:tcPr>
          <w:p>
            <w:pPr>
              <w:ind w:left="360"/>
              <w:spacing w:after="0"/>
              <w:rPr>
                <w:sz w:val="20"/>
                <w:szCs w:val="20"/>
                <w:color w:val="auto"/>
              </w:rPr>
            </w:pPr>
            <w:r>
              <w:rPr>
                <w:rFonts w:ascii="Arial" w:cs="Arial" w:eastAsia="Arial" w:hAnsi="Arial"/>
                <w:sz w:val="18"/>
                <w:szCs w:val="18"/>
                <w:color w:val="auto"/>
              </w:rPr>
              <w:t>Residential</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30,680,836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Commercial</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150,282,066</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1060" w:type="dxa"/>
            <w:vAlign w:val="bottom"/>
            <w:tcBorders>
              <w:top w:val="single" w:sz="8" w:color="CCEEFF"/>
            </w:tcBorders>
          </w:tcPr>
          <w:p>
            <w:pPr>
              <w:spacing w:after="0"/>
              <w:rPr>
                <w:sz w:val="18"/>
                <w:szCs w:val="18"/>
                <w:color w:val="auto"/>
              </w:rPr>
            </w:pPr>
          </w:p>
        </w:tc>
        <w:tc>
          <w:tcPr>
            <w:tcW w:w="29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real estate held for investment</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180,962,902</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106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 held for sale: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40" w:type="dxa"/>
            <w:vAlign w:val="bottom"/>
            <w:gridSpan w:val="2"/>
          </w:tcPr>
          <w:p>
            <w:pPr>
              <w:ind w:left="360"/>
              <w:spacing w:after="0"/>
              <w:rPr>
                <w:sz w:val="20"/>
                <w:szCs w:val="20"/>
                <w:color w:val="auto"/>
              </w:rPr>
            </w:pPr>
            <w:r>
              <w:rPr>
                <w:rFonts w:ascii="Arial" w:cs="Arial" w:eastAsia="Arial" w:hAnsi="Arial"/>
                <w:sz w:val="18"/>
                <w:szCs w:val="18"/>
                <w:color w:val="auto"/>
              </w:rPr>
              <w:t>Residential</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1,675,921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4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Commercial</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151,553</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1060" w:type="dxa"/>
            <w:vAlign w:val="bottom"/>
            <w:tcBorders>
              <w:top w:val="single" w:sz="8" w:color="CCEEFF"/>
            </w:tcBorders>
          </w:tcPr>
          <w:p>
            <w:pPr>
              <w:spacing w:after="0"/>
              <w:rPr>
                <w:sz w:val="18"/>
                <w:szCs w:val="18"/>
                <w:color w:val="auto"/>
              </w:rPr>
            </w:pPr>
          </w:p>
        </w:tc>
        <w:tc>
          <w:tcPr>
            <w:tcW w:w="29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real estate held for sale</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1,827,474</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106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Other investments and policy loans at amortized cost: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40" w:type="dxa"/>
            <w:vAlign w:val="bottom"/>
            <w:gridSpan w:val="2"/>
          </w:tcPr>
          <w:p>
            <w:pPr>
              <w:ind w:left="360"/>
              <w:spacing w:after="0"/>
              <w:rPr>
                <w:sz w:val="20"/>
                <w:szCs w:val="20"/>
                <w:color w:val="auto"/>
              </w:rPr>
            </w:pPr>
            <w:r>
              <w:rPr>
                <w:rFonts w:ascii="Arial" w:cs="Arial" w:eastAsia="Arial" w:hAnsi="Arial"/>
                <w:sz w:val="18"/>
                <w:szCs w:val="18"/>
                <w:color w:val="auto"/>
              </w:rPr>
              <w:t>Policy loans</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13,020,654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Insurance assignments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41,157,301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40" w:type="dxa"/>
            <w:vAlign w:val="bottom"/>
            <w:gridSpan w:val="2"/>
          </w:tcPr>
          <w:p>
            <w:pPr>
              <w:ind w:left="360"/>
              <w:spacing w:after="0"/>
              <w:rPr>
                <w:sz w:val="20"/>
                <w:szCs w:val="20"/>
                <w:color w:val="auto"/>
              </w:rPr>
            </w:pPr>
            <w:r>
              <w:rPr>
                <w:rFonts w:ascii="Arial" w:cs="Arial" w:eastAsia="Arial" w:hAnsi="Arial"/>
                <w:sz w:val="18"/>
                <w:szCs w:val="18"/>
                <w:color w:val="auto"/>
              </w:rPr>
              <w:t>Federal Home Loan Bank stock (2)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2,677,100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investments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9,389,786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4040" w:type="dxa"/>
            <w:vAlign w:val="bottom"/>
            <w:gridSpan w:val="2"/>
          </w:tcPr>
          <w:p>
            <w:pPr>
              <w:ind w:left="360"/>
              <w:spacing w:after="0" w:line="201" w:lineRule="exact"/>
              <w:rPr>
                <w:sz w:val="20"/>
                <w:szCs w:val="20"/>
                <w:color w:val="auto"/>
              </w:rPr>
            </w:pPr>
            <w:r>
              <w:rPr>
                <w:rFonts w:ascii="Arial" w:cs="Arial" w:eastAsia="Arial" w:hAnsi="Arial"/>
                <w:sz w:val="18"/>
                <w:szCs w:val="18"/>
                <w:color w:val="auto"/>
                <w:w w:val="98"/>
              </w:rPr>
              <w:t>Less: Allowance for credit losses for insurance</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1"/>
        </w:trPr>
        <w:tc>
          <w:tcPr>
            <w:tcW w:w="4040" w:type="dxa"/>
            <w:vAlign w:val="bottom"/>
            <w:gridSpan w:val="2"/>
          </w:tcPr>
          <w:p>
            <w:pPr>
              <w:ind w:left="360"/>
              <w:spacing w:after="0"/>
              <w:rPr>
                <w:sz w:val="20"/>
                <w:szCs w:val="20"/>
                <w:color w:val="auto"/>
              </w:rPr>
            </w:pPr>
            <w:r>
              <w:rPr>
                <w:rFonts w:ascii="Arial" w:cs="Arial" w:eastAsia="Arial" w:hAnsi="Arial"/>
                <w:sz w:val="18"/>
                <w:szCs w:val="18"/>
                <w:color w:val="auto"/>
              </w:rPr>
              <w:t>assignments</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(1,690,693)</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1060" w:type="dxa"/>
            <w:vAlign w:val="bottom"/>
            <w:tcBorders>
              <w:top w:val="single" w:sz="8" w:color="CCEEFF"/>
            </w:tcBorders>
            <w:shd w:val="clear" w:color="auto" w:fill="CCEEFF"/>
          </w:tcPr>
          <w:p>
            <w:pPr>
              <w:spacing w:after="0"/>
              <w:rPr>
                <w:sz w:val="18"/>
                <w:szCs w:val="18"/>
                <w:color w:val="auto"/>
              </w:rPr>
            </w:pPr>
          </w:p>
        </w:tc>
        <w:tc>
          <w:tcPr>
            <w:tcW w:w="29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83"/>
        </w:trPr>
        <w:tc>
          <w:tcPr>
            <w:tcW w:w="4040" w:type="dxa"/>
            <w:vAlign w:val="bottom"/>
            <w:gridSpan w:val="2"/>
          </w:tcPr>
          <w:p>
            <w:pPr>
              <w:spacing w:after="0"/>
              <w:rPr>
                <w:sz w:val="20"/>
                <w:szCs w:val="20"/>
                <w:color w:val="auto"/>
              </w:rPr>
            </w:pPr>
            <w:r>
              <w:rPr>
                <w:rFonts w:ascii="Arial" w:cs="Arial" w:eastAsia="Arial" w:hAnsi="Arial"/>
                <w:sz w:val="18"/>
                <w:szCs w:val="18"/>
                <w:color w:val="auto"/>
              </w:rPr>
              <w:t>Total other investments and policy loans</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64,554,148</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1060" w:type="dxa"/>
            <w:vAlign w:val="bottom"/>
            <w:tcBorders>
              <w:top w:val="single" w:sz="8" w:color="CCEEFF"/>
            </w:tcBorders>
            <w:shd w:val="clear" w:color="auto" w:fill="CCEEFF"/>
          </w:tcPr>
          <w:p>
            <w:pPr>
              <w:spacing w:after="0"/>
              <w:rPr>
                <w:sz w:val="17"/>
                <w:szCs w:val="17"/>
                <w:color w:val="auto"/>
              </w:rPr>
            </w:pPr>
          </w:p>
        </w:tc>
        <w:tc>
          <w:tcPr>
            <w:tcW w:w="29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83"/>
        </w:trPr>
        <w:tc>
          <w:tcPr>
            <w:tcW w:w="4040" w:type="dxa"/>
            <w:vAlign w:val="bottom"/>
            <w:gridSpan w:val="2"/>
          </w:tcPr>
          <w:p>
            <w:pPr>
              <w:spacing w:after="0"/>
              <w:rPr>
                <w:sz w:val="20"/>
                <w:szCs w:val="20"/>
                <w:color w:val="auto"/>
              </w:rPr>
            </w:pPr>
            <w:r>
              <w:rPr>
                <w:rFonts w:ascii="Arial" w:cs="Arial" w:eastAsia="Arial" w:hAnsi="Arial"/>
                <w:sz w:val="18"/>
                <w:szCs w:val="18"/>
                <w:color w:val="auto"/>
              </w:rPr>
              <w:t>Accrued investment income</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10,188,551</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060" w:type="dxa"/>
            <w:vAlign w:val="bottom"/>
            <w:tcBorders>
              <w:top w:val="single" w:sz="8" w:color="CCEEFF"/>
            </w:tcBorders>
            <w:shd w:val="clear" w:color="auto" w:fill="CCEEFF"/>
          </w:tcPr>
          <w:p>
            <w:pPr>
              <w:spacing w:after="0"/>
              <w:rPr>
                <w:sz w:val="17"/>
                <w:szCs w:val="17"/>
                <w:color w:val="auto"/>
              </w:rPr>
            </w:pPr>
          </w:p>
        </w:tc>
        <w:tc>
          <w:tcPr>
            <w:tcW w:w="29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bl>
    <w:p>
      <w:pPr>
        <w:sectPr>
          <w:pgSz w:w="11900" w:h="16838" w:orient="portrait"/>
          <w:cols w:equalWidth="0" w:num="1">
            <w:col w:w="11240"/>
          </w:cols>
          <w:pgMar w:left="320" w:top="692" w:right="339"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8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1140" w:type="dxa"/>
            <w:vAlign w:val="bottom"/>
          </w:tcPr>
          <w:p>
            <w:pPr>
              <w:jc w:val="right"/>
              <w:spacing w:after="0"/>
              <w:rPr>
                <w:sz w:val="20"/>
                <w:szCs w:val="20"/>
                <w:color w:val="auto"/>
              </w:rPr>
            </w:pPr>
            <w:r>
              <w:rPr>
                <w:rFonts w:ascii="Arial" w:cs="Arial" w:eastAsia="Arial" w:hAnsi="Arial"/>
                <w:sz w:val="18"/>
                <w:szCs w:val="18"/>
                <w:color w:val="auto"/>
                <w:w w:val="93"/>
              </w:rPr>
              <w:t>$  896,174,397</w:t>
            </w:r>
          </w:p>
        </w:tc>
      </w:tr>
      <w:tr>
        <w:trPr>
          <w:trHeight w:val="27"/>
        </w:trPr>
        <w:tc>
          <w:tcPr>
            <w:tcW w:w="28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2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03"/>
        </w:trPr>
        <w:tc>
          <w:tcPr>
            <w:tcW w:w="2820" w:type="dxa"/>
            <w:vAlign w:val="bottom"/>
            <w:tcBorders>
              <w:bottom w:val="single" w:sz="8" w:color="auto"/>
            </w:tcBorders>
          </w:tcPr>
          <w:p>
            <w:pPr>
              <w:spacing w:after="0"/>
              <w:rPr>
                <w:sz w:val="17"/>
                <w:szCs w:val="17"/>
                <w:color w:val="auto"/>
              </w:rPr>
            </w:pPr>
          </w:p>
        </w:tc>
        <w:tc>
          <w:tcPr>
            <w:tcW w:w="1360" w:type="dxa"/>
            <w:vAlign w:val="bottom"/>
          </w:tcPr>
          <w:p>
            <w:pPr>
              <w:spacing w:after="0"/>
              <w:rPr>
                <w:sz w:val="17"/>
                <w:szCs w:val="17"/>
                <w:color w:val="auto"/>
              </w:rPr>
            </w:pPr>
          </w:p>
        </w:tc>
        <w:tc>
          <w:tcPr>
            <w:tcW w:w="1140" w:type="dxa"/>
            <w:vAlign w:val="bottom"/>
          </w:tcPr>
          <w:p>
            <w:pPr>
              <w:spacing w:after="0"/>
              <w:rPr>
                <w:sz w:val="17"/>
                <w:szCs w:val="17"/>
                <w:color w:val="auto"/>
              </w:rPr>
            </w:pPr>
          </w:p>
        </w:tc>
      </w:tr>
    </w:tbl>
    <w:p>
      <w:pPr>
        <w:spacing w:after="0" w:line="215" w:lineRule="exact"/>
        <w:rPr>
          <w:sz w:val="20"/>
          <w:szCs w:val="20"/>
          <w:color w:val="auto"/>
        </w:rPr>
      </w:pPr>
    </w:p>
    <w:p>
      <w:pPr>
        <w:ind w:left="360" w:hanging="292"/>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Gross unrealized losses are net of allowance for credit losses</w:t>
      </w:r>
    </w:p>
    <w:p>
      <w:pPr>
        <w:spacing w:after="0" w:line="117" w:lineRule="exact"/>
        <w:rPr>
          <w:rFonts w:ascii="Arial" w:cs="Arial" w:eastAsia="Arial" w:hAnsi="Arial"/>
          <w:sz w:val="18"/>
          <w:szCs w:val="18"/>
          <w:color w:val="auto"/>
        </w:rPr>
      </w:pPr>
    </w:p>
    <w:p>
      <w:pPr>
        <w:ind w:left="360" w:hanging="292"/>
        <w:spacing w:after="0"/>
        <w:tabs>
          <w:tab w:leader="none" w:pos="3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$84,800 of Membership stock and $2,592,300 of Activity stock attributable to short-term borrowings and letters of credit.</w:t>
      </w:r>
    </w:p>
    <w:p>
      <w:pPr>
        <w:spacing w:after="0" w:line="35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13" w:name="page14"/>
    <w:bookmarkEnd w:id="13"/>
    <w:p>
      <w:pPr>
        <w:spacing w:after="0" w:line="16"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June 30, 2023 (Unaudited)</w:t>
      </w:r>
    </w:p>
    <w:p>
      <w:pPr>
        <w:spacing w:after="0" w:line="184" w:lineRule="exact"/>
        <w:rPr>
          <w:sz w:val="20"/>
          <w:szCs w:val="20"/>
          <w:color w:val="auto"/>
        </w:rPr>
      </w:pPr>
    </w:p>
    <w:p>
      <w:pPr>
        <w:ind w:left="200" w:hanging="192"/>
        <w:spacing w:after="0"/>
        <w:tabs>
          <w:tab w:leader="none" w:pos="20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investments as of December 31, 2022 are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8"/>
                <w:szCs w:val="18"/>
                <w:color w:val="auto"/>
                <w:w w:val="90"/>
              </w:rPr>
              <w:t>Unrealized</w:t>
            </w:r>
          </w:p>
        </w:tc>
        <w:tc>
          <w:tcPr>
            <w:tcW w:w="14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Unrealized</w:t>
            </w:r>
          </w:p>
        </w:tc>
        <w:tc>
          <w:tcPr>
            <w:tcW w:w="120" w:type="dxa"/>
            <w:vAlign w:val="bottom"/>
          </w:tcPr>
          <w:p>
            <w:pPr>
              <w:spacing w:after="0"/>
              <w:rPr>
                <w:sz w:val="18"/>
                <w:szCs w:val="18"/>
                <w:color w:val="auto"/>
              </w:rPr>
            </w:pPr>
          </w:p>
        </w:tc>
        <w:tc>
          <w:tcPr>
            <w:tcW w:w="134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Estimated Fair</w:t>
            </w:r>
          </w:p>
        </w:tc>
      </w:tr>
      <w:tr>
        <w:trPr>
          <w:trHeight w:val="237"/>
        </w:trPr>
        <w:tc>
          <w:tcPr>
            <w:tcW w:w="148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460" w:type="dxa"/>
            <w:vAlign w:val="bottom"/>
            <w:gridSpan w:val="3"/>
          </w:tcPr>
          <w:p>
            <w:pPr>
              <w:jc w:val="right"/>
              <w:ind w:right="260"/>
              <w:spacing w:after="0"/>
              <w:rPr>
                <w:sz w:val="20"/>
                <w:szCs w:val="20"/>
                <w:color w:val="auto"/>
              </w:rPr>
            </w:pPr>
            <w:r>
              <w:rPr>
                <w:rFonts w:ascii="Arial" w:cs="Arial" w:eastAsia="Arial" w:hAnsi="Arial"/>
                <w:sz w:val="18"/>
                <w:szCs w:val="18"/>
                <w:color w:val="auto"/>
                <w:w w:val="95"/>
              </w:rPr>
              <w:t>Amortized Cost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8"/>
                <w:szCs w:val="18"/>
                <w:color w:val="auto"/>
                <w:w w:val="89"/>
              </w:rPr>
              <w:t>Gains</w:t>
            </w:r>
          </w:p>
        </w:tc>
        <w:tc>
          <w:tcPr>
            <w:tcW w:w="140" w:type="dxa"/>
            <w:vAlign w:val="bottom"/>
          </w:tcPr>
          <w:p>
            <w:pPr>
              <w:spacing w:after="0"/>
              <w:rPr>
                <w:sz w:val="20"/>
                <w:szCs w:val="20"/>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Losses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Value</w:t>
            </w:r>
          </w:p>
        </w:tc>
      </w:tr>
      <w:tr>
        <w:trPr>
          <w:trHeight w:val="196"/>
        </w:trPr>
        <w:tc>
          <w:tcPr>
            <w:tcW w:w="1480" w:type="dxa"/>
            <w:vAlign w:val="bottom"/>
            <w:tcBorders>
              <w:top w:val="single" w:sz="8" w:color="CCEEFF"/>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9"/>
              </w:rPr>
              <w:t>December 31, 2022:</w:t>
            </w:r>
          </w:p>
        </w:tc>
        <w:tc>
          <w:tcPr>
            <w:tcW w:w="37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spacing w:after="0"/>
              <w:rPr>
                <w:sz w:val="17"/>
                <w:szCs w:val="17"/>
                <w:color w:val="auto"/>
              </w:rPr>
            </w:pPr>
          </w:p>
        </w:tc>
        <w:tc>
          <w:tcPr>
            <w:tcW w:w="1060" w:type="dxa"/>
            <w:vAlign w:val="bottom"/>
            <w:tcBorders>
              <w:top w:val="single" w:sz="8" w:color="auto"/>
              <w:bottom w:val="single" w:sz="8" w:color="CCEEFF"/>
            </w:tcBorders>
            <w:shd w:val="clear" w:color="auto" w:fill="CCEEFF"/>
          </w:tcPr>
          <w:p>
            <w:pPr>
              <w:spacing w:after="0"/>
              <w:rPr>
                <w:sz w:val="17"/>
                <w:szCs w:val="17"/>
                <w:color w:val="auto"/>
              </w:rPr>
            </w:pP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w w:val="97"/>
              </w:rPr>
              <w:t>Fixed maturity securities, available for sale, at estimated fair value:</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520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U.S. Treasury securities and obligations of U.S. Government</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agencies</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93,182,210</w:t>
            </w:r>
          </w:p>
        </w:tc>
        <w:tc>
          <w:tcPr>
            <w:tcW w:w="22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180,643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(2,685,277)</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90,677,576</w:t>
            </w:r>
          </w:p>
        </w:tc>
      </w:tr>
      <w:tr>
        <w:trPr>
          <w:trHeight w:val="216"/>
        </w:trPr>
        <w:tc>
          <w:tcPr>
            <w:tcW w:w="14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6,675,071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13,869</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(458,137)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6,230,803</w:t>
            </w:r>
          </w:p>
        </w:tc>
      </w:tr>
      <w:tr>
        <w:trPr>
          <w:trHeight w:val="216"/>
        </w:trPr>
        <w:tc>
          <w:tcPr>
            <w:tcW w:w="14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Corporate securities including public utilities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229,141,544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1,909,630</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(11,930,773)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219,120,401</w:t>
            </w:r>
          </w:p>
        </w:tc>
      </w:tr>
      <w:tr>
        <w:trPr>
          <w:trHeight w:val="216"/>
        </w:trPr>
        <w:tc>
          <w:tcPr>
            <w:tcW w:w="14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Mortgage-backed securities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33,501,686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168,700</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(4,100,674)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29,569,712</w:t>
            </w:r>
          </w:p>
        </w:tc>
      </w:tr>
      <w:tr>
        <w:trPr>
          <w:trHeight w:val="216"/>
        </w:trPr>
        <w:tc>
          <w:tcPr>
            <w:tcW w:w="14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Redeemable preferred stock</w:t>
            </w: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10,000</w:t>
            </w: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260,000</w:t>
            </w:r>
          </w:p>
        </w:tc>
      </w:tr>
      <w:tr>
        <w:trPr>
          <w:trHeight w:val="216"/>
        </w:trPr>
        <w:tc>
          <w:tcPr>
            <w:tcW w:w="1480" w:type="dxa"/>
            <w:vAlign w:val="bottom"/>
            <w:tcBorders>
              <w:top w:val="single" w:sz="8" w:color="CCEEFF"/>
            </w:tcBorders>
          </w:tcPr>
          <w:p>
            <w:pPr>
              <w:spacing w:after="0"/>
              <w:rPr>
                <w:sz w:val="18"/>
                <w:szCs w:val="18"/>
                <w:color w:val="auto"/>
              </w:rPr>
            </w:pPr>
          </w:p>
        </w:tc>
        <w:tc>
          <w:tcPr>
            <w:tcW w:w="37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5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fixed maturity securities available for sale</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362,750,511</w:t>
            </w:r>
          </w:p>
        </w:tc>
        <w:tc>
          <w:tcPr>
            <w:tcW w:w="22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2,282,842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(19,174,861)</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345,858,492</w:t>
            </w: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securities at estimated fair value:</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Industrial, miscellaneous and all other</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9,942,265</w:t>
            </w:r>
          </w:p>
        </w:tc>
        <w:tc>
          <w:tcPr>
            <w:tcW w:w="22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2,688,375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(948,114)</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11,682,526</w:t>
            </w:r>
          </w:p>
        </w:tc>
      </w:tr>
      <w:tr>
        <w:trPr>
          <w:trHeight w:val="216"/>
        </w:trPr>
        <w:tc>
          <w:tcPr>
            <w:tcW w:w="1480" w:type="dxa"/>
            <w:vAlign w:val="bottom"/>
            <w:tcBorders>
              <w:top w:val="single" w:sz="8" w:color="CCEEFF"/>
            </w:tcBorders>
          </w:tcPr>
          <w:p>
            <w:pPr>
              <w:spacing w:after="0"/>
              <w:rPr>
                <w:sz w:val="18"/>
                <w:szCs w:val="18"/>
                <w:color w:val="auto"/>
              </w:rPr>
            </w:pPr>
          </w:p>
        </w:tc>
        <w:tc>
          <w:tcPr>
            <w:tcW w:w="37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5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equity securities at estimated fair value</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9,942,265</w:t>
            </w:r>
          </w:p>
        </w:tc>
        <w:tc>
          <w:tcPr>
            <w:tcW w:w="22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2,688,375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(948,114)</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11,682,526</w:t>
            </w: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14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loans held for investment at amortized cost: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gridSpan w:val="2"/>
          </w:tcPr>
          <w:p>
            <w:pPr>
              <w:ind w:left="360"/>
              <w:spacing w:after="0"/>
              <w:rPr>
                <w:sz w:val="20"/>
                <w:szCs w:val="20"/>
                <w:color w:val="auto"/>
              </w:rPr>
            </w:pPr>
            <w:r>
              <w:rPr>
                <w:rFonts w:ascii="Arial" w:cs="Arial" w:eastAsia="Arial" w:hAnsi="Arial"/>
                <w:sz w:val="18"/>
                <w:szCs w:val="18"/>
                <w:color w:val="auto"/>
              </w:rPr>
              <w:t>Residential</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93,355,623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Residential construction</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172,516,125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gridSpan w:val="2"/>
          </w:tcPr>
          <w:p>
            <w:pPr>
              <w:ind w:left="360"/>
              <w:spacing w:after="0"/>
              <w:rPr>
                <w:sz w:val="20"/>
                <w:szCs w:val="20"/>
                <w:color w:val="auto"/>
              </w:rPr>
            </w:pPr>
            <w:r>
              <w:rPr>
                <w:rFonts w:ascii="Arial" w:cs="Arial" w:eastAsia="Arial" w:hAnsi="Arial"/>
                <w:sz w:val="18"/>
                <w:szCs w:val="18"/>
                <w:color w:val="auto"/>
              </w:rPr>
              <w:t>Commercial</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46,311,955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Less: Unamortized deferred loan fees, net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(1,746,605)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gridSpan w:val="2"/>
          </w:tcPr>
          <w:p>
            <w:pPr>
              <w:ind w:left="360"/>
              <w:spacing w:after="0"/>
              <w:rPr>
                <w:sz w:val="20"/>
                <w:szCs w:val="20"/>
                <w:color w:val="auto"/>
              </w:rPr>
            </w:pPr>
            <w:r>
              <w:rPr>
                <w:rFonts w:ascii="Arial" w:cs="Arial" w:eastAsia="Arial" w:hAnsi="Arial"/>
                <w:sz w:val="18"/>
                <w:szCs w:val="18"/>
                <w:color w:val="auto"/>
              </w:rPr>
              <w:t>Less: Allowance for credit losses</w:t>
            </w:r>
          </w:p>
        </w:tc>
        <w:tc>
          <w:tcPr>
            <w:tcW w:w="2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(1,970,311)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Less: Net discounts</w:t>
            </w:r>
          </w:p>
        </w:tc>
        <w:tc>
          <w:tcPr>
            <w:tcW w:w="2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(342,860)</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1480" w:type="dxa"/>
            <w:vAlign w:val="bottom"/>
            <w:tcBorders>
              <w:top w:val="single" w:sz="8" w:color="CCEEFF"/>
            </w:tcBorders>
          </w:tcPr>
          <w:p>
            <w:pPr>
              <w:spacing w:after="0"/>
              <w:rPr>
                <w:sz w:val="18"/>
                <w:szCs w:val="18"/>
                <w:color w:val="auto"/>
              </w:rPr>
            </w:pPr>
          </w:p>
        </w:tc>
        <w:tc>
          <w:tcPr>
            <w:tcW w:w="37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5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mortgage loans held for investment</w:t>
            </w:r>
          </w:p>
        </w:tc>
        <w:tc>
          <w:tcPr>
            <w:tcW w:w="2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308,123,927</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14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4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Real estate held for investment - net of accumulated depreciation:</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gridSpan w:val="2"/>
          </w:tcPr>
          <w:p>
            <w:pPr>
              <w:ind w:left="360"/>
              <w:spacing w:after="0"/>
              <w:rPr>
                <w:sz w:val="20"/>
                <w:szCs w:val="20"/>
                <w:color w:val="auto"/>
              </w:rPr>
            </w:pPr>
            <w:r>
              <w:rPr>
                <w:rFonts w:ascii="Arial" w:cs="Arial" w:eastAsia="Arial" w:hAnsi="Arial"/>
                <w:sz w:val="18"/>
                <w:szCs w:val="18"/>
                <w:color w:val="auto"/>
              </w:rPr>
              <w:t>Residential</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38,437,960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52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Commercial</w:t>
            </w:r>
          </w:p>
        </w:tc>
        <w:tc>
          <w:tcPr>
            <w:tcW w:w="2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152,890,656</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14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real estate held for investment</w:t>
            </w:r>
          </w:p>
        </w:tc>
        <w:tc>
          <w:tcPr>
            <w:tcW w:w="2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191,328,616</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14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 held for sale:</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gridSpan w:val="2"/>
          </w:tcPr>
          <w:p>
            <w:pPr>
              <w:ind w:left="360"/>
              <w:spacing w:after="0"/>
              <w:rPr>
                <w:sz w:val="20"/>
                <w:szCs w:val="20"/>
                <w:color w:val="auto"/>
              </w:rPr>
            </w:pPr>
            <w:r>
              <w:rPr>
                <w:rFonts w:ascii="Arial" w:cs="Arial" w:eastAsia="Arial" w:hAnsi="Arial"/>
                <w:sz w:val="18"/>
                <w:szCs w:val="18"/>
                <w:color w:val="auto"/>
              </w:rPr>
              <w:t>Residential</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11,010,029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52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Commercial</w:t>
            </w:r>
          </w:p>
        </w:tc>
        <w:tc>
          <w:tcPr>
            <w:tcW w:w="2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151,553</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14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real estate held for sale</w:t>
            </w:r>
          </w:p>
        </w:tc>
        <w:tc>
          <w:tcPr>
            <w:tcW w:w="2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11,161,582</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14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investments and policy loans at amortized cost: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gridSpan w:val="2"/>
          </w:tcPr>
          <w:p>
            <w:pPr>
              <w:ind w:left="360"/>
              <w:spacing w:after="0"/>
              <w:rPr>
                <w:sz w:val="20"/>
                <w:szCs w:val="20"/>
                <w:color w:val="auto"/>
              </w:rPr>
            </w:pPr>
            <w:r>
              <w:rPr>
                <w:rFonts w:ascii="Arial" w:cs="Arial" w:eastAsia="Arial" w:hAnsi="Arial"/>
                <w:sz w:val="18"/>
                <w:szCs w:val="18"/>
                <w:color w:val="auto"/>
              </w:rPr>
              <w:t>Policy loans</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13,095,473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Insurance assignments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46,942,536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gridSpan w:val="2"/>
          </w:tcPr>
          <w:p>
            <w:pPr>
              <w:ind w:left="360"/>
              <w:spacing w:after="0"/>
              <w:rPr>
                <w:sz w:val="20"/>
                <w:szCs w:val="20"/>
                <w:color w:val="auto"/>
              </w:rPr>
            </w:pPr>
            <w:r>
              <w:rPr>
                <w:rFonts w:ascii="Arial" w:cs="Arial" w:eastAsia="Arial" w:hAnsi="Arial"/>
                <w:sz w:val="18"/>
                <w:szCs w:val="18"/>
                <w:color w:val="auto"/>
              </w:rPr>
              <w:t>Federal Home Loan Bank stock (1)</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2,600,300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investments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9,479,798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5200" w:type="dxa"/>
            <w:vAlign w:val="bottom"/>
            <w:gridSpan w:val="2"/>
          </w:tcPr>
          <w:p>
            <w:pPr>
              <w:ind w:left="360"/>
              <w:spacing w:after="0"/>
              <w:rPr>
                <w:sz w:val="20"/>
                <w:szCs w:val="20"/>
                <w:color w:val="auto"/>
              </w:rPr>
            </w:pPr>
            <w:r>
              <w:rPr>
                <w:rFonts w:ascii="Arial" w:cs="Arial" w:eastAsia="Arial" w:hAnsi="Arial"/>
                <w:sz w:val="18"/>
                <w:szCs w:val="18"/>
                <w:color w:val="auto"/>
              </w:rPr>
              <w:t>Less: Allowance for credit losses for insurance assignments</w:t>
            </w:r>
          </w:p>
        </w:tc>
        <w:tc>
          <w:tcPr>
            <w:tcW w:w="22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(1,609,951)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480" w:type="dxa"/>
            <w:vAlign w:val="bottom"/>
            <w:tcBorders>
              <w:top w:val="single" w:sz="8" w:color="CCEEFF"/>
            </w:tcBorders>
            <w:shd w:val="clear" w:color="auto" w:fill="CCEEFF"/>
          </w:tcPr>
          <w:p>
            <w:pPr>
              <w:spacing w:after="0"/>
              <w:rPr>
                <w:sz w:val="18"/>
                <w:szCs w:val="18"/>
                <w:color w:val="auto"/>
              </w:rPr>
            </w:pPr>
          </w:p>
        </w:tc>
        <w:tc>
          <w:tcPr>
            <w:tcW w:w="37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83"/>
        </w:trPr>
        <w:tc>
          <w:tcPr>
            <w:tcW w:w="52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other investments and policy loans</w:t>
            </w:r>
          </w:p>
        </w:tc>
        <w:tc>
          <w:tcPr>
            <w:tcW w:w="2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70,508,156</w:t>
            </w:r>
          </w:p>
        </w:tc>
        <w:tc>
          <w:tcPr>
            <w:tcW w:w="2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r>
      <w:tr>
        <w:trPr>
          <w:trHeight w:val="197"/>
        </w:trPr>
        <w:tc>
          <w:tcPr>
            <w:tcW w:w="1480" w:type="dxa"/>
            <w:vAlign w:val="bottom"/>
            <w:shd w:val="clear" w:color="auto" w:fill="CCEEFF"/>
          </w:tcPr>
          <w:p>
            <w:pPr>
              <w:spacing w:after="0"/>
              <w:rPr>
                <w:sz w:val="17"/>
                <w:szCs w:val="17"/>
                <w:color w:val="auto"/>
              </w:rPr>
            </w:pPr>
          </w:p>
        </w:tc>
        <w:tc>
          <w:tcPr>
            <w:tcW w:w="3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83"/>
        </w:trPr>
        <w:tc>
          <w:tcPr>
            <w:tcW w:w="52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Accrued investment income</w:t>
            </w:r>
          </w:p>
        </w:tc>
        <w:tc>
          <w:tcPr>
            <w:tcW w:w="2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10,299,826</w:t>
            </w:r>
          </w:p>
        </w:tc>
        <w:tc>
          <w:tcPr>
            <w:tcW w:w="2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r>
      <w:tr>
        <w:trPr>
          <w:trHeight w:val="197"/>
        </w:trPr>
        <w:tc>
          <w:tcPr>
            <w:tcW w:w="1480" w:type="dxa"/>
            <w:vAlign w:val="bottom"/>
            <w:shd w:val="clear" w:color="auto" w:fill="CCEEFF"/>
          </w:tcPr>
          <w:p>
            <w:pPr>
              <w:spacing w:after="0"/>
              <w:rPr>
                <w:sz w:val="17"/>
                <w:szCs w:val="17"/>
                <w:color w:val="auto"/>
              </w:rPr>
            </w:pPr>
          </w:p>
        </w:tc>
        <w:tc>
          <w:tcPr>
            <w:tcW w:w="3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3"/>
        </w:trPr>
        <w:tc>
          <w:tcPr>
            <w:tcW w:w="520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2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948,963,125</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14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color w:val="auto"/>
        </w:rPr>
        <w:t>(1)Includes $938,500 of Membership stock and $1,661,800 of Activity stock attributable to short-term borrowings and letters of credit.</w:t>
      </w:r>
    </w:p>
    <w:p>
      <w:pPr>
        <w:sectPr>
          <w:pgSz w:w="11900" w:h="16854" w:orient="portrait"/>
          <w:cols w:equalWidth="0" w:num="1">
            <w:col w:w="11240"/>
          </w:cols>
          <w:pgMar w:left="320" w:top="692" w:right="339" w:bottom="0" w:gutter="0" w:footer="0" w:header="0"/>
        </w:sectPr>
      </w:pPr>
    </w:p>
    <w:bookmarkStart w:id="14" w:name="page15"/>
    <w:bookmarkEnd w:id="14"/>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29210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5" w:name="page16"/>
    <w:bookmarkEnd w:id="15"/>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June 30, 2023 (Unaudited)</w:t>
      </w:r>
    </w:p>
    <w:p>
      <w:pPr>
        <w:spacing w:after="0" w:line="184" w:lineRule="exact"/>
        <w:rPr>
          <w:sz w:val="20"/>
          <w:szCs w:val="20"/>
          <w:color w:val="auto"/>
        </w:rPr>
      </w:pPr>
    </w:p>
    <w:p>
      <w:pPr>
        <w:ind w:left="200" w:hanging="192"/>
        <w:spacing w:after="0"/>
        <w:tabs>
          <w:tab w:leader="none" w:pos="20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Fixed Maturity Securities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table below summarizes unrealized losses on fixed maturity securities available for sale that were carried at estimated fair value at June 30, 2023 and at December 31, 2022. The unrealized losses were primarily related to interest rate fluctuations and inflation. The fair values of fixed maturity securities are based on quoted market prices, when available. For fixed maturity securities not actively traded, fair values are estimated using values obtained from independent pricing services, or in the case of private placements, are estimated by discounting expected future cash flows using a current market value applicable to the coupon rate, credit and maturity of the investments. The table below sets forth unrealized losses by duration with the fair value of the related fixed maturity securities.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Unrealized</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3"/>
          </w:tcPr>
          <w:p>
            <w:pPr>
              <w:jc w:val="center"/>
              <w:ind w:right="260"/>
              <w:spacing w:after="0"/>
              <w:rPr>
                <w:sz w:val="20"/>
                <w:szCs w:val="20"/>
                <w:color w:val="auto"/>
              </w:rPr>
            </w:pPr>
            <w:r>
              <w:rPr>
                <w:rFonts w:ascii="Arial" w:cs="Arial" w:eastAsia="Arial" w:hAnsi="Arial"/>
                <w:sz w:val="18"/>
                <w:szCs w:val="18"/>
                <w:color w:val="auto"/>
                <w:w w:val="90"/>
              </w:rPr>
              <w:t>Unrealized</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Losses for</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3"/>
          </w:tcPr>
          <w:p>
            <w:pPr>
              <w:jc w:val="center"/>
              <w:ind w:right="260"/>
              <w:spacing w:after="0"/>
              <w:rPr>
                <w:sz w:val="20"/>
                <w:szCs w:val="20"/>
                <w:color w:val="auto"/>
              </w:rPr>
            </w:pPr>
            <w:r>
              <w:rPr>
                <w:rFonts w:ascii="Arial" w:cs="Arial" w:eastAsia="Arial" w:hAnsi="Arial"/>
                <w:sz w:val="18"/>
                <w:szCs w:val="18"/>
                <w:color w:val="auto"/>
                <w:w w:val="89"/>
              </w:rPr>
              <w:t>Losses for</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color w:val="auto"/>
                <w:w w:val="87"/>
              </w:rPr>
              <w:t>Less than</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3"/>
          </w:tcPr>
          <w:p>
            <w:pPr>
              <w:jc w:val="center"/>
              <w:ind w:right="260"/>
              <w:spacing w:after="0"/>
              <w:rPr>
                <w:sz w:val="20"/>
                <w:szCs w:val="20"/>
                <w:color w:val="auto"/>
              </w:rPr>
            </w:pPr>
            <w:r>
              <w:rPr>
                <w:rFonts w:ascii="Arial" w:cs="Arial" w:eastAsia="Arial" w:hAnsi="Arial"/>
                <w:sz w:val="18"/>
                <w:szCs w:val="18"/>
                <w:color w:val="auto"/>
                <w:w w:val="91"/>
              </w:rPr>
              <w:t>More than</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Total</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Twelve</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Twelve</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Unrealized</w:t>
            </w:r>
          </w:p>
        </w:tc>
        <w:tc>
          <w:tcPr>
            <w:tcW w:w="120" w:type="dxa"/>
            <w:vAlign w:val="bottom"/>
          </w:tcPr>
          <w:p>
            <w:pPr>
              <w:spacing w:after="0"/>
              <w:rPr>
                <w:sz w:val="18"/>
                <w:szCs w:val="18"/>
                <w:color w:val="auto"/>
              </w:rPr>
            </w:pPr>
          </w:p>
        </w:tc>
        <w:tc>
          <w:tcPr>
            <w:tcW w:w="1040" w:type="dxa"/>
            <w:vAlign w:val="bottom"/>
            <w:gridSpan w:val="2"/>
          </w:tcPr>
          <w:p>
            <w:pPr>
              <w:ind w:left="40"/>
              <w:spacing w:after="0"/>
              <w:rPr>
                <w:sz w:val="20"/>
                <w:szCs w:val="20"/>
                <w:color w:val="auto"/>
              </w:rPr>
            </w:pPr>
            <w:r>
              <w:rPr>
                <w:rFonts w:ascii="Arial" w:cs="Arial" w:eastAsia="Arial" w:hAnsi="Arial"/>
                <w:sz w:val="18"/>
                <w:szCs w:val="18"/>
                <w:color w:val="auto"/>
              </w:rPr>
              <w:t>Combined</w:t>
            </w:r>
          </w:p>
        </w:tc>
      </w:tr>
      <w:tr>
        <w:trPr>
          <w:trHeight w:val="237"/>
        </w:trPr>
        <w:tc>
          <w:tcPr>
            <w:tcW w:w="1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Months</w:t>
            </w:r>
          </w:p>
        </w:tc>
        <w:tc>
          <w:tcPr>
            <w:tcW w:w="12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color w:val="auto"/>
              </w:rPr>
              <w:t>Fair Value</w:t>
            </w:r>
          </w:p>
        </w:tc>
        <w:tc>
          <w:tcPr>
            <w:tcW w:w="100" w:type="dxa"/>
            <w:vAlign w:val="bottom"/>
          </w:tcPr>
          <w:p>
            <w:pPr>
              <w:spacing w:after="0"/>
              <w:rPr>
                <w:sz w:val="20"/>
                <w:szCs w:val="20"/>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Months</w:t>
            </w:r>
          </w:p>
        </w:tc>
        <w:tc>
          <w:tcPr>
            <w:tcW w:w="100" w:type="dxa"/>
            <w:vAlign w:val="bottom"/>
          </w:tcPr>
          <w:p>
            <w:pPr>
              <w:spacing w:after="0"/>
              <w:rPr>
                <w:sz w:val="20"/>
                <w:szCs w:val="20"/>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Fair Value</w:t>
            </w:r>
          </w:p>
        </w:tc>
        <w:tc>
          <w:tcPr>
            <w:tcW w:w="100" w:type="dxa"/>
            <w:vAlign w:val="bottom"/>
          </w:tcPr>
          <w:p>
            <w:pPr>
              <w:spacing w:after="0"/>
              <w:rPr>
                <w:sz w:val="20"/>
                <w:szCs w:val="20"/>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Loss</w:t>
            </w:r>
          </w:p>
        </w:tc>
        <w:tc>
          <w:tcPr>
            <w:tcW w:w="120" w:type="dxa"/>
            <w:vAlign w:val="bottom"/>
          </w:tcPr>
          <w:p>
            <w:pPr>
              <w:spacing w:after="0"/>
              <w:rPr>
                <w:sz w:val="20"/>
                <w:szCs w:val="20"/>
                <w:color w:val="auto"/>
              </w:rPr>
            </w:pPr>
          </w:p>
        </w:tc>
        <w:tc>
          <w:tcPr>
            <w:tcW w:w="1040" w:type="dxa"/>
            <w:vAlign w:val="bottom"/>
            <w:gridSpan w:val="2"/>
          </w:tcPr>
          <w:p>
            <w:pPr>
              <w:ind w:left="40"/>
              <w:spacing w:after="0"/>
              <w:rPr>
                <w:sz w:val="20"/>
                <w:szCs w:val="20"/>
                <w:color w:val="auto"/>
              </w:rPr>
            </w:pPr>
            <w:r>
              <w:rPr>
                <w:rFonts w:ascii="Arial" w:cs="Arial" w:eastAsia="Arial" w:hAnsi="Arial"/>
                <w:sz w:val="18"/>
                <w:szCs w:val="18"/>
                <w:color w:val="auto"/>
              </w:rPr>
              <w:t>Fair Value</w:t>
            </w:r>
          </w:p>
        </w:tc>
      </w:tr>
      <w:tr>
        <w:trPr>
          <w:trHeight w:val="196"/>
        </w:trPr>
        <w:tc>
          <w:tcPr>
            <w:tcW w:w="1240" w:type="dxa"/>
            <w:vAlign w:val="bottom"/>
            <w:tcBorders>
              <w:top w:val="single" w:sz="8" w:color="CCEEFF"/>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9"/>
              </w:rPr>
              <w:t>At June 30, 2023</w:t>
            </w:r>
          </w:p>
        </w:tc>
        <w:tc>
          <w:tcPr>
            <w:tcW w:w="252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CCEEFF"/>
            </w:tcBorders>
            <w:shd w:val="clear" w:color="auto" w:fill="CCEEFF"/>
          </w:tcPr>
          <w:p>
            <w:pPr>
              <w:spacing w:after="0"/>
              <w:rPr>
                <w:sz w:val="17"/>
                <w:szCs w:val="17"/>
                <w:color w:val="auto"/>
              </w:rPr>
            </w:pP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CCEEFF"/>
            </w:tcBorders>
            <w:shd w:val="clear" w:color="auto" w:fill="CCEEFF"/>
          </w:tcPr>
          <w:p>
            <w:pPr>
              <w:spacing w:after="0"/>
              <w:rPr>
                <w:sz w:val="17"/>
                <w:szCs w:val="17"/>
                <w:color w:val="auto"/>
              </w:rPr>
            </w:pP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CCEEFF"/>
            </w:tcBorders>
            <w:shd w:val="clear" w:color="auto" w:fill="CCEEFF"/>
          </w:tcPr>
          <w:p>
            <w:pPr>
              <w:spacing w:after="0"/>
              <w:rPr>
                <w:sz w:val="17"/>
                <w:szCs w:val="17"/>
                <w:color w:val="auto"/>
              </w:rPr>
            </w:pP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CCEEFF"/>
            </w:tcBorders>
            <w:shd w:val="clear" w:color="auto" w:fill="CCEEFF"/>
          </w:tcPr>
          <w:p>
            <w:pPr>
              <w:spacing w:after="0"/>
              <w:rPr>
                <w:sz w:val="17"/>
                <w:szCs w:val="17"/>
                <w:color w:val="auto"/>
              </w:rPr>
            </w:pP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CCEEFF"/>
            </w:tcBorders>
            <w:shd w:val="clear" w:color="auto" w:fill="CCEEFF"/>
          </w:tcPr>
          <w:p>
            <w:pPr>
              <w:spacing w:after="0"/>
              <w:rPr>
                <w:sz w:val="17"/>
                <w:szCs w:val="17"/>
                <w:color w:val="auto"/>
              </w:rPr>
            </w:pP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2"/>
        </w:trPr>
        <w:tc>
          <w:tcPr>
            <w:tcW w:w="3760" w:type="dxa"/>
            <w:vAlign w:val="bottom"/>
            <w:gridSpan w:val="3"/>
          </w:tcPr>
          <w:p>
            <w:pPr>
              <w:spacing w:after="0" w:line="201" w:lineRule="exact"/>
              <w:rPr>
                <w:sz w:val="20"/>
                <w:szCs w:val="20"/>
                <w:color w:val="auto"/>
              </w:rPr>
            </w:pPr>
            <w:r>
              <w:rPr>
                <w:rFonts w:ascii="Arial" w:cs="Arial" w:eastAsia="Arial" w:hAnsi="Arial"/>
                <w:sz w:val="18"/>
                <w:szCs w:val="18"/>
                <w:color w:val="auto"/>
                <w:w w:val="96"/>
              </w:rPr>
              <w:t>U.S. Treasury Securities And Obligations of U.S.</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760" w:type="dxa"/>
            <w:vAlign w:val="bottom"/>
            <w:gridSpan w:val="3"/>
          </w:tcPr>
          <w:p>
            <w:pPr>
              <w:spacing w:after="0"/>
              <w:rPr>
                <w:sz w:val="20"/>
                <w:szCs w:val="20"/>
                <w:color w:val="auto"/>
              </w:rPr>
            </w:pPr>
            <w:r>
              <w:rPr>
                <w:rFonts w:ascii="Arial" w:cs="Arial" w:eastAsia="Arial" w:hAnsi="Arial"/>
                <w:sz w:val="18"/>
                <w:szCs w:val="18"/>
                <w:color w:val="auto"/>
              </w:rPr>
              <w:t>Government Agencies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872,936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56,265,029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1,681,490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28,818,980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2,554,426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85,084,009</w:t>
            </w:r>
          </w:p>
        </w:tc>
      </w:tr>
      <w:tr>
        <w:trPr>
          <w:trHeight w:val="216"/>
        </w:trPr>
        <w:tc>
          <w:tcPr>
            <w:tcW w:w="37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9"/>
              </w:rPr>
              <w:t>Obligations of States and Political Subdivisions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159,415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3,758,985</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219,572</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2,149,115</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378,987</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5,908,100</w:t>
            </w:r>
          </w:p>
        </w:tc>
      </w:tr>
      <w:tr>
        <w:trPr>
          <w:trHeight w:val="216"/>
        </w:trPr>
        <w:tc>
          <w:tcPr>
            <w:tcW w:w="3760" w:type="dxa"/>
            <w:vAlign w:val="bottom"/>
            <w:gridSpan w:val="3"/>
          </w:tcPr>
          <w:p>
            <w:pPr>
              <w:spacing w:after="0"/>
              <w:rPr>
                <w:sz w:val="20"/>
                <w:szCs w:val="20"/>
                <w:color w:val="auto"/>
              </w:rPr>
            </w:pPr>
            <w:r>
              <w:rPr>
                <w:rFonts w:ascii="Arial" w:cs="Arial" w:eastAsia="Arial" w:hAnsi="Arial"/>
                <w:sz w:val="18"/>
                <w:szCs w:val="18"/>
                <w:color w:val="auto"/>
              </w:rPr>
              <w:t>Corporate Securities</w:t>
            </w:r>
          </w:p>
        </w:tc>
        <w:tc>
          <w:tcPr>
            <w:tcW w:w="1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3,664,905</w:t>
            </w:r>
          </w:p>
        </w:tc>
        <w:tc>
          <w:tcPr>
            <w:tcW w:w="1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96,981,686</w:t>
            </w:r>
          </w:p>
        </w:tc>
        <w:tc>
          <w:tcPr>
            <w:tcW w:w="1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7,822,248</w:t>
            </w:r>
          </w:p>
        </w:tc>
        <w:tc>
          <w:tcPr>
            <w:tcW w:w="1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71,988,258</w:t>
            </w:r>
          </w:p>
        </w:tc>
        <w:tc>
          <w:tcPr>
            <w:tcW w:w="1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11,487,153</w:t>
            </w:r>
          </w:p>
        </w:tc>
        <w:tc>
          <w:tcPr>
            <w:tcW w:w="1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168,969,944</w:t>
            </w:r>
          </w:p>
        </w:tc>
      </w:tr>
      <w:tr>
        <w:trPr>
          <w:trHeight w:val="249"/>
        </w:trPr>
        <w:tc>
          <w:tcPr>
            <w:tcW w:w="3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Mortgage and other asset-backed securities</w:t>
            </w: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497,345</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5,241,798</w:t>
            </w: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4,207,446</w:t>
            </w:r>
          </w:p>
        </w:tc>
        <w:tc>
          <w:tcPr>
            <w:tcW w:w="1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20,951,604</w:t>
            </w:r>
          </w:p>
        </w:tc>
        <w:tc>
          <w:tcPr>
            <w:tcW w:w="1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4,704,791</w:t>
            </w:r>
          </w:p>
        </w:tc>
        <w:tc>
          <w:tcPr>
            <w:tcW w:w="1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26,193,402</w:t>
            </w:r>
          </w:p>
        </w:tc>
      </w:tr>
      <w:tr>
        <w:trPr>
          <w:trHeight w:val="257"/>
        </w:trPr>
        <w:tc>
          <w:tcPr>
            <w:tcW w:w="3760" w:type="dxa"/>
            <w:vAlign w:val="bottom"/>
            <w:tcBorders>
              <w:top w:val="single" w:sz="8" w:color="CCEEFF"/>
              <w:bottom w:val="single" w:sz="8" w:color="CCEEFF"/>
            </w:tcBorders>
            <w:gridSpan w:val="3"/>
          </w:tcPr>
          <w:p>
            <w:pPr>
              <w:spacing w:after="0"/>
              <w:rPr>
                <w:sz w:val="20"/>
                <w:szCs w:val="20"/>
                <w:color w:val="auto"/>
              </w:rPr>
            </w:pPr>
            <w:r>
              <w:rPr>
                <w:rFonts w:ascii="Arial" w:cs="Arial" w:eastAsia="Arial" w:hAnsi="Arial"/>
                <w:sz w:val="18"/>
                <w:szCs w:val="18"/>
                <w:color w:val="auto"/>
              </w:rPr>
              <w:t>Totals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5,194,601</w:t>
            </w:r>
          </w:p>
        </w:tc>
        <w:tc>
          <w:tcPr>
            <w:tcW w:w="26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162,247,498</w:t>
            </w:r>
          </w:p>
        </w:tc>
        <w:tc>
          <w:tcPr>
            <w:tcW w:w="26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13,930,756</w:t>
            </w:r>
          </w:p>
        </w:tc>
        <w:tc>
          <w:tcPr>
            <w:tcW w:w="28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123,907,957</w:t>
            </w:r>
          </w:p>
        </w:tc>
        <w:tc>
          <w:tcPr>
            <w:tcW w:w="28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19,125,357</w:t>
            </w:r>
          </w:p>
        </w:tc>
        <w:tc>
          <w:tcPr>
            <w:tcW w:w="30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286,155,455</w:t>
            </w:r>
          </w:p>
        </w:tc>
        <w:tc>
          <w:tcPr>
            <w:tcW w:w="100" w:type="dxa"/>
            <w:vAlign w:val="bottom"/>
            <w:tcBorders>
              <w:top w:val="single" w:sz="8" w:color="CCEEFF"/>
              <w:bottom w:val="single" w:sz="8" w:color="CCEEFF"/>
            </w:tcBorders>
          </w:tcPr>
          <w:p>
            <w:pPr>
              <w:spacing w:after="0"/>
              <w:rPr>
                <w:sz w:val="22"/>
                <w:szCs w:val="22"/>
                <w:color w:val="auto"/>
              </w:rPr>
            </w:pPr>
          </w:p>
        </w:tc>
      </w:tr>
      <w:tr>
        <w:trPr>
          <w:trHeight w:val="196"/>
        </w:trPr>
        <w:tc>
          <w:tcPr>
            <w:tcW w:w="1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76"/>
        </w:trPr>
        <w:tc>
          <w:tcPr>
            <w:tcW w:w="3760" w:type="dxa"/>
            <w:vAlign w:val="bottom"/>
            <w:gridSpan w:val="3"/>
          </w:tcPr>
          <w:p>
            <w:pPr>
              <w:spacing w:after="0" w:line="176" w:lineRule="exact"/>
              <w:rPr>
                <w:sz w:val="20"/>
                <w:szCs w:val="20"/>
                <w:color w:val="auto"/>
              </w:rPr>
            </w:pPr>
            <w:r>
              <w:rPr>
                <w:rFonts w:ascii="Arial" w:cs="Arial" w:eastAsia="Arial" w:hAnsi="Arial"/>
                <w:sz w:val="18"/>
                <w:szCs w:val="18"/>
                <w:color w:val="auto"/>
              </w:rPr>
              <w:t>At December 31, 2022</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2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2"/>
        </w:trPr>
        <w:tc>
          <w:tcPr>
            <w:tcW w:w="37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6"/>
              </w:rPr>
              <w:t>U.S. Treasury Securities And Obligations of U.S.</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Government Agencies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2,685,277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79,400,753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2,685,277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79,400,753</w:t>
            </w:r>
          </w:p>
        </w:tc>
      </w:tr>
      <w:tr>
        <w:trPr>
          <w:trHeight w:val="216"/>
        </w:trPr>
        <w:tc>
          <w:tcPr>
            <w:tcW w:w="3760" w:type="dxa"/>
            <w:vAlign w:val="bottom"/>
            <w:gridSpan w:val="3"/>
          </w:tcPr>
          <w:p>
            <w:pPr>
              <w:spacing w:after="0"/>
              <w:rPr>
                <w:sz w:val="20"/>
                <w:szCs w:val="20"/>
                <w:color w:val="auto"/>
              </w:rPr>
            </w:pPr>
            <w:r>
              <w:rPr>
                <w:rFonts w:ascii="Arial" w:cs="Arial" w:eastAsia="Arial" w:hAnsi="Arial"/>
                <w:sz w:val="18"/>
                <w:szCs w:val="18"/>
                <w:color w:val="auto"/>
                <w:w w:val="99"/>
              </w:rPr>
              <w:t>Obligations of States and Political Subdivisions</w:t>
            </w:r>
          </w:p>
        </w:tc>
        <w:tc>
          <w:tcPr>
            <w:tcW w:w="1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378,067</w:t>
            </w:r>
          </w:p>
        </w:tc>
        <w:tc>
          <w:tcPr>
            <w:tcW w:w="1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5,467,910</w:t>
            </w:r>
          </w:p>
        </w:tc>
        <w:tc>
          <w:tcPr>
            <w:tcW w:w="1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80,070</w:t>
            </w:r>
          </w:p>
        </w:tc>
        <w:tc>
          <w:tcPr>
            <w:tcW w:w="1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429,020</w:t>
            </w:r>
          </w:p>
        </w:tc>
        <w:tc>
          <w:tcPr>
            <w:tcW w:w="1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458,137</w:t>
            </w:r>
          </w:p>
        </w:tc>
        <w:tc>
          <w:tcPr>
            <w:tcW w:w="1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5,896,930</w:t>
            </w:r>
          </w:p>
        </w:tc>
      </w:tr>
      <w:tr>
        <w:trPr>
          <w:trHeight w:val="216"/>
        </w:trPr>
        <w:tc>
          <w:tcPr>
            <w:tcW w:w="3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Securities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10,935,114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162,995,969</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995,659</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5,781,822</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11,930,773</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168,777,791</w:t>
            </w:r>
          </w:p>
        </w:tc>
      </w:tr>
      <w:tr>
        <w:trPr>
          <w:trHeight w:val="237"/>
        </w:trPr>
        <w:tc>
          <w:tcPr>
            <w:tcW w:w="3760" w:type="dxa"/>
            <w:vAlign w:val="bottom"/>
            <w:gridSpan w:val="3"/>
          </w:tcPr>
          <w:p>
            <w:pPr>
              <w:spacing w:after="0"/>
              <w:rPr>
                <w:sz w:val="20"/>
                <w:szCs w:val="20"/>
                <w:color w:val="auto"/>
              </w:rPr>
            </w:pPr>
            <w:r>
              <w:rPr>
                <w:rFonts w:ascii="Arial" w:cs="Arial" w:eastAsia="Arial" w:hAnsi="Arial"/>
                <w:sz w:val="18"/>
                <w:szCs w:val="18"/>
                <w:color w:val="auto"/>
              </w:rPr>
              <w:t>Mortgage and other asset-backed securities</w:t>
            </w:r>
          </w:p>
        </w:tc>
        <w:tc>
          <w:tcPr>
            <w:tcW w:w="10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2,884,731</w:t>
            </w:r>
          </w:p>
        </w:tc>
        <w:tc>
          <w:tcPr>
            <w:tcW w:w="12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19,909,907</w:t>
            </w:r>
          </w:p>
        </w:tc>
        <w:tc>
          <w:tcPr>
            <w:tcW w:w="10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1,215,943</w:t>
            </w:r>
          </w:p>
        </w:tc>
        <w:tc>
          <w:tcPr>
            <w:tcW w:w="10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6,978,745</w:t>
            </w:r>
          </w:p>
        </w:tc>
        <w:tc>
          <w:tcPr>
            <w:tcW w:w="10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4,100,674</w:t>
            </w:r>
          </w:p>
        </w:tc>
        <w:tc>
          <w:tcPr>
            <w:tcW w:w="1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26,888,652</w:t>
            </w:r>
          </w:p>
        </w:tc>
      </w:tr>
      <w:tr>
        <w:trPr>
          <w:trHeight w:val="230"/>
        </w:trPr>
        <w:tc>
          <w:tcPr>
            <w:tcW w:w="376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16,883,189</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267,774,539</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2,291,672</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13,189,587</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19,174,861</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280,964,126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Relevant holdings were comprised of 748 securities with fair value of 93.7% of amortized cost at June 30, 2023. Relevant holdings were comprised of 713 securities with fair value of 93.6% of amortized cost at December 31, 2022. Credit losses of $44,505 and nil have been recognized for the three month periods ended June 30, 2023 and 2022, respectively. Credit losses of $224,005 and nil have been recognized for the six month periods ended June 30, 2023 and 2022, respectively. Credit losses are included in gains (losses) on investments and other assets on the condensed consolidated statements of earnings. Other unrealized losses for which no credit loss was recognized are primarily the result of the recent increases in interest and inflation rates.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Allowance for Credit Losses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Note 2 regarding the adoption of ASU 2016-13.</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 quarterly basis, the Company evaluates its fixed maturity securities classified as available for sale to identify any potential credit losses. This evaluation includes a review of current ratings by the National Association of Insurance Commissions (“NAIC”). Securities with a rating of 1 or 2 are considered investment grade and are not reviewed for credit loss, unless current market or recent company news could lead to a credit downgrade. Securities with ratings of 3 to 5 are evaluated for credit loss. Securities with a rating of 6 are automatically determined to be impaired and a credit loss is recognized in earnings. The evaluation involves assessing all facts and circumstances surrounding each security including, but not limited to, historical values, interest payment history, projected earnings, and revenue growth rates as well as a review of the reason for a downgrade in the NAIC rating. Based on the analysis of a security that is rated 3 to 5, a determination is made whether the security will likely make interest and principal payments in accordance with the terms of the financial instrument.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6" w:name="page17"/>
    <w:bookmarkEnd w:id="16"/>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June 30, 2023 (Unaudited)</w:t>
      </w:r>
    </w:p>
    <w:p>
      <w:pPr>
        <w:spacing w:after="0" w:line="184" w:lineRule="exact"/>
        <w:rPr>
          <w:sz w:val="20"/>
          <w:szCs w:val="20"/>
          <w:color w:val="auto"/>
        </w:rPr>
      </w:pPr>
    </w:p>
    <w:p>
      <w:pPr>
        <w:ind w:left="200" w:hanging="192"/>
        <w:spacing w:after="0"/>
        <w:tabs>
          <w:tab w:leader="none" w:pos="20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xml:space="preserve"> (Continued)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Where the decline in fair value of fixed maturity securities is attributable to changes in market interest rates or to factors such as market volatility, liquidity and spread widening, and the Company anticipates recovery of all contractual or expected cash flows, the Company does not consider these securities to have credit loss because the Company does not intend to sell these securities and it is not more likely than not the Company will be required to sell these securities before a recovery of amortized cost, which may be at maturity.</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If the Company intends to sell a fixed maturity security or if it is more likely than not that the Company will be required to sell a security before recovery of its amortized cost basis, a credit loss has occurred and the difference between the amortized cost and the fair value that relates to the expected credit loss is recognized as a loss in earnings, included in gains (losses) on investments and other assets on the condensed consolidated statements of earnings.</w:t>
      </w:r>
    </w:p>
    <w:p>
      <w:pPr>
        <w:spacing w:after="0" w:line="14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If the Company does not intend to sell and it is not more likely than not that the Company will be required to sell the debt security but also do not expect to recover the entire amortized cost basis of the security, a credit loss is recognized in earnings for the amount of the expected credit loss with a corresponding allowance for credit losses as a contra-asset account. The credit loss is included in gains (losses) on investments and other assets on the condensed consolidated statements of earnings. The recognized credit loss is limited to the total unrealized loss on the security due to a change in credit.</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Amounts on available for sale fixed maturities that are deemed to be uncollectible are written off and removed from the allowance for credit loss. A write-off may also occur if the Company intends to sell a security or when it is more likely than not that the Company will be required to sell the security before the recovery of its amortized cost.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does not measure a credit loss allowance on accrued interest receivable, included in accrued investment income on the condensed consolidated balance sheets, as the Company writes off any accrued interest receivable balance to net investment income in a timely manner (after 90 days) when the Company has concerns regarding collectability.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roll forward of the Company’s allowance for credit losses on fixed maturity securities available for sale:</w:t>
      </w:r>
    </w:p>
    <w:p>
      <w:pPr>
        <w:spacing w:after="0" w:line="239"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Six Months Ended June 30, 2023</w:t>
      </w:r>
    </w:p>
    <w:p>
      <w:pPr>
        <w:sectPr>
          <w:pgSz w:w="11900" w:h="16838" w:orient="portrait"/>
          <w:cols w:equalWidth="0" w:num="1">
            <w:col w:w="11240"/>
          </w:cols>
          <w:pgMar w:left="320" w:top="6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auto"/>
        </w:rPr>
        <w:t>Beginning balance</w:t>
      </w:r>
    </w:p>
    <w:p>
      <w:pPr>
        <w:spacing w:after="0" w:line="225" w:lineRule="exact"/>
        <w:rPr>
          <w:sz w:val="20"/>
          <w:szCs w:val="20"/>
          <w:color w:val="auto"/>
        </w:rPr>
      </w:pPr>
    </w:p>
    <w:p>
      <w:pPr>
        <w:ind w:left="180"/>
        <w:spacing w:after="0" w:line="255" w:lineRule="auto"/>
        <w:rPr>
          <w:sz w:val="20"/>
          <w:szCs w:val="20"/>
          <w:color w:val="auto"/>
        </w:rPr>
      </w:pPr>
      <w:r>
        <w:rPr>
          <w:rFonts w:ascii="Arial" w:cs="Arial" w:eastAsia="Arial" w:hAnsi="Arial"/>
          <w:sz w:val="18"/>
          <w:szCs w:val="18"/>
          <w:color w:val="auto"/>
        </w:rPr>
        <w:t>Additions for credit losses not previously recorded Change in allowance on securities with previous allowance</w:t>
      </w:r>
    </w:p>
    <w:p>
      <w:pPr>
        <w:spacing w:after="0" w:line="3" w:lineRule="exact"/>
        <w:rPr>
          <w:sz w:val="20"/>
          <w:szCs w:val="20"/>
          <w:color w:val="auto"/>
        </w:rPr>
      </w:pPr>
    </w:p>
    <w:p>
      <w:pPr>
        <w:ind w:left="180" w:right="80"/>
        <w:spacing w:after="0" w:line="250" w:lineRule="auto"/>
        <w:rPr>
          <w:sz w:val="20"/>
          <w:szCs w:val="20"/>
          <w:color w:val="auto"/>
        </w:rPr>
      </w:pPr>
      <w:r>
        <w:rPr>
          <w:rFonts w:ascii="Arial" w:cs="Arial" w:eastAsia="Arial" w:hAnsi="Arial"/>
          <w:sz w:val="18"/>
          <w:szCs w:val="18"/>
          <w:color w:val="auto"/>
        </w:rPr>
        <w:t>Reductions for securities sold during the period Reductions for securities with credit losses due to intent to sell</w:t>
      </w:r>
    </w:p>
    <w:p>
      <w:pPr>
        <w:spacing w:after="0" w:line="1" w:lineRule="exact"/>
        <w:rPr>
          <w:sz w:val="20"/>
          <w:szCs w:val="20"/>
          <w:color w:val="auto"/>
        </w:rPr>
      </w:pPr>
    </w:p>
    <w:p>
      <w:pPr>
        <w:ind w:left="180" w:right="400"/>
        <w:spacing w:after="0" w:line="323" w:lineRule="auto"/>
        <w:rPr>
          <w:sz w:val="20"/>
          <w:szCs w:val="20"/>
          <w:color w:val="auto"/>
        </w:rPr>
      </w:pPr>
      <w:r>
        <w:rPr>
          <w:rFonts w:ascii="Arial" w:cs="Arial" w:eastAsia="Arial" w:hAnsi="Arial"/>
          <w:sz w:val="16"/>
          <w:szCs w:val="16"/>
          <w:color w:val="auto"/>
        </w:rPr>
        <w:t>Write-offs charged against the allowance Recoveries of amounts previously written off</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Ending Balance</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1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U.S. Treasury</w:t>
            </w: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r>
      <w:tr>
        <w:trPr>
          <w:trHeight w:val="216"/>
        </w:trPr>
        <w:tc>
          <w:tcPr>
            <w:tcW w:w="124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Securities And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1240" w:type="dxa"/>
            <w:vAlign w:val="bottom"/>
            <w:gridSpan w:val="3"/>
          </w:tcPr>
          <w:p>
            <w:pPr>
              <w:jc w:val="center"/>
              <w:ind w:right="120"/>
              <w:spacing w:after="0"/>
              <w:rPr>
                <w:sz w:val="20"/>
                <w:szCs w:val="20"/>
                <w:color w:val="auto"/>
              </w:rPr>
            </w:pPr>
            <w:r>
              <w:rPr>
                <w:rFonts w:ascii="Arial" w:cs="Arial" w:eastAsia="Arial" w:hAnsi="Arial"/>
                <w:sz w:val="18"/>
                <w:szCs w:val="18"/>
                <w:color w:val="auto"/>
                <w:w w:val="94"/>
              </w:rPr>
              <w:t>Obligations of</w:t>
            </w:r>
          </w:p>
        </w:tc>
        <w:tc>
          <w:tcPr>
            <w:tcW w:w="240" w:type="dxa"/>
            <w:vAlign w:val="bottom"/>
          </w:tcPr>
          <w:p>
            <w:pPr>
              <w:spacing w:after="0"/>
              <w:rPr>
                <w:sz w:val="18"/>
                <w:szCs w:val="18"/>
                <w:color w:val="auto"/>
              </w:rPr>
            </w:pPr>
          </w:p>
        </w:tc>
        <w:tc>
          <w:tcPr>
            <w:tcW w:w="1320" w:type="dxa"/>
            <w:vAlign w:val="bottom"/>
            <w:gridSpan w:val="3"/>
          </w:tcPr>
          <w:p>
            <w:pPr>
              <w:jc w:val="center"/>
              <w:ind w:right="180"/>
              <w:spacing w:after="0"/>
              <w:rPr>
                <w:sz w:val="20"/>
                <w:szCs w:val="20"/>
                <w:color w:val="auto"/>
              </w:rPr>
            </w:pPr>
            <w:r>
              <w:rPr>
                <w:rFonts w:ascii="Arial" w:cs="Arial" w:eastAsia="Arial" w:hAnsi="Arial"/>
                <w:sz w:val="18"/>
                <w:szCs w:val="18"/>
                <w:color w:val="auto"/>
                <w:w w:val="92"/>
              </w:rPr>
              <w:t>Obligations of</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1060" w:type="dxa"/>
            <w:vAlign w:val="bottom"/>
          </w:tcPr>
          <w:p>
            <w:pPr>
              <w:jc w:val="center"/>
              <w:spacing w:after="0"/>
              <w:rPr>
                <w:sz w:val="20"/>
                <w:szCs w:val="20"/>
                <w:color w:val="auto"/>
              </w:rPr>
            </w:pPr>
            <w:r>
              <w:rPr>
                <w:rFonts w:ascii="Arial" w:cs="Arial" w:eastAsia="Arial" w:hAnsi="Arial"/>
                <w:sz w:val="18"/>
                <w:szCs w:val="18"/>
                <w:color w:val="auto"/>
                <w:w w:val="91"/>
              </w:rPr>
              <w:t>U.S.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color w:val="auto"/>
                <w:w w:val="84"/>
              </w:rPr>
              <w:t>states and</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460"/>
              <w:spacing w:after="0"/>
              <w:rPr>
                <w:sz w:val="20"/>
                <w:szCs w:val="20"/>
                <w:color w:val="auto"/>
              </w:rPr>
            </w:pPr>
            <w:r>
              <w:rPr>
                <w:rFonts w:ascii="Arial" w:cs="Arial" w:eastAsia="Arial" w:hAnsi="Arial"/>
                <w:sz w:val="18"/>
                <w:szCs w:val="18"/>
                <w:color w:val="auto"/>
                <w:w w:val="92"/>
              </w:rPr>
              <w:t>Mortgage-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1060" w:type="dxa"/>
            <w:vAlign w:val="bottom"/>
          </w:tcPr>
          <w:p>
            <w:pPr>
              <w:jc w:val="center"/>
              <w:spacing w:after="0"/>
              <w:rPr>
                <w:sz w:val="20"/>
                <w:szCs w:val="20"/>
                <w:color w:val="auto"/>
              </w:rPr>
            </w:pPr>
            <w:r>
              <w:rPr>
                <w:rFonts w:ascii="Arial" w:cs="Arial" w:eastAsia="Arial" w:hAnsi="Arial"/>
                <w:sz w:val="18"/>
                <w:szCs w:val="18"/>
                <w:color w:val="auto"/>
                <w:w w:val="90"/>
              </w:rPr>
              <w:t>Government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color w:val="auto"/>
                <w:w w:val="96"/>
              </w:rPr>
              <w:t>political</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color w:val="auto"/>
              </w:rPr>
              <w:t>Corporate</w:t>
            </w:r>
          </w:p>
        </w:tc>
        <w:tc>
          <w:tcPr>
            <w:tcW w:w="120" w:type="dxa"/>
            <w:vAlign w:val="bottom"/>
          </w:tcPr>
          <w:p>
            <w:pPr>
              <w:spacing w:after="0"/>
              <w:rPr>
                <w:sz w:val="18"/>
                <w:szCs w:val="18"/>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8"/>
                <w:szCs w:val="18"/>
                <w:color w:val="auto"/>
                <w:w w:val="86"/>
              </w:rPr>
              <w:t>backed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7"/>
        </w:trPr>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Agencies</w:t>
            </w: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1"/>
              </w:rPr>
              <w:t>subdivisions</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securities</w:t>
            </w: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securities</w:t>
            </w: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Total</w:t>
            </w:r>
          </w:p>
        </w:tc>
      </w:tr>
      <w:tr>
        <w:trPr>
          <w:trHeight w:val="432"/>
        </w:trPr>
        <w:tc>
          <w:tcPr>
            <w:tcW w:w="1060" w:type="dxa"/>
            <w:vAlign w:val="bottom"/>
          </w:tcPr>
          <w:p>
            <w:pPr>
              <w:jc w:val="right"/>
              <w:ind w:right="894"/>
              <w:spacing w:after="0"/>
              <w:rPr>
                <w:sz w:val="20"/>
                <w:szCs w:val="20"/>
                <w:color w:val="auto"/>
              </w:rPr>
            </w:pPr>
            <w:r>
              <w:rPr>
                <w:rFonts w:ascii="Arial" w:cs="Arial" w:eastAsia="Arial" w:hAnsi="Arial"/>
                <w:sz w:val="15"/>
                <w:szCs w:val="15"/>
                <w:color w:val="auto"/>
                <w:w w:val="71"/>
              </w:rPr>
              <w:t>$</w:t>
            </w:r>
          </w:p>
        </w:tc>
        <w:tc>
          <w:tcPr>
            <w:tcW w:w="1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1060" w:type="dxa"/>
            <w:vAlign w:val="bottom"/>
          </w:tcPr>
          <w:p>
            <w:pPr>
              <w:spacing w:after="0"/>
              <w:rPr>
                <w:sz w:val="24"/>
                <w:szCs w:val="24"/>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179,500</w:t>
            </w:r>
          </w:p>
        </w:tc>
        <w:tc>
          <w:tcPr>
            <w:tcW w:w="120" w:type="dxa"/>
            <w:vAlign w:val="bottom"/>
          </w:tcPr>
          <w:p>
            <w:pPr>
              <w:spacing w:after="0"/>
              <w:rPr>
                <w:sz w:val="24"/>
                <w:szCs w:val="24"/>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179,500</w:t>
            </w:r>
          </w:p>
        </w:tc>
      </w:tr>
      <w:tr>
        <w:trPr>
          <w:trHeight w:val="418"/>
        </w:trPr>
        <w:tc>
          <w:tcPr>
            <w:tcW w:w="1060" w:type="dxa"/>
            <w:vAlign w:val="bottom"/>
          </w:tcPr>
          <w:p>
            <w:pPr>
              <w:spacing w:after="0"/>
              <w:rPr>
                <w:sz w:val="24"/>
                <w:szCs w:val="24"/>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44,505</w:t>
            </w:r>
          </w:p>
        </w:tc>
        <w:tc>
          <w:tcPr>
            <w:tcW w:w="120" w:type="dxa"/>
            <w:vAlign w:val="bottom"/>
          </w:tcPr>
          <w:p>
            <w:pPr>
              <w:spacing w:after="0"/>
              <w:rPr>
                <w:sz w:val="24"/>
                <w:szCs w:val="24"/>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44,505</w:t>
            </w:r>
          </w:p>
        </w:tc>
      </w:tr>
      <w:tr>
        <w:trPr>
          <w:trHeight w:val="230"/>
        </w:trPr>
        <w:tc>
          <w:tcPr>
            <w:tcW w:w="1060" w:type="dxa"/>
            <w:vAlign w:val="bottom"/>
          </w:tcPr>
          <w:p>
            <w:pPr>
              <w:spacing w:after="0"/>
              <w:rPr>
                <w:sz w:val="20"/>
                <w:szCs w:val="20"/>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18"/>
        </w:trPr>
        <w:tc>
          <w:tcPr>
            <w:tcW w:w="1060" w:type="dxa"/>
            <w:vAlign w:val="bottom"/>
          </w:tcPr>
          <w:p>
            <w:pPr>
              <w:spacing w:after="0"/>
              <w:rPr>
                <w:sz w:val="24"/>
                <w:szCs w:val="24"/>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060" w:type="dxa"/>
            <w:vAlign w:val="bottom"/>
          </w:tcPr>
          <w:p>
            <w:pPr>
              <w:spacing w:after="0"/>
              <w:rPr>
                <w:sz w:val="19"/>
                <w:szCs w:val="19"/>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06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10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r>
      <w:tr>
        <w:trPr>
          <w:trHeight w:val="459"/>
        </w:trPr>
        <w:tc>
          <w:tcPr>
            <w:tcW w:w="1060" w:type="dxa"/>
            <w:vAlign w:val="bottom"/>
          </w:tcPr>
          <w:p>
            <w:pPr>
              <w:jc w:val="right"/>
              <w:ind w:right="894"/>
              <w:spacing w:after="0"/>
              <w:rPr>
                <w:sz w:val="20"/>
                <w:szCs w:val="20"/>
                <w:color w:val="auto"/>
              </w:rPr>
            </w:pPr>
            <w:r>
              <w:rPr>
                <w:rFonts w:ascii="Arial" w:cs="Arial" w:eastAsia="Arial" w:hAnsi="Arial"/>
                <w:sz w:val="15"/>
                <w:szCs w:val="15"/>
                <w:color w:val="auto"/>
                <w:w w:val="71"/>
              </w:rPr>
              <w:t>$</w:t>
            </w: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224,005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224,005</w:t>
            </w:r>
          </w:p>
        </w:tc>
      </w:tr>
      <w:tr>
        <w:trPr>
          <w:trHeight w:val="20"/>
        </w:trPr>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412"/>
        </w:trPr>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-2648585</wp:posOffset>
            </wp:positionH>
            <wp:positionV relativeFrom="paragraph">
              <wp:posOffset>-1988185</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-1713865</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-1302385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-890905</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-599440</wp:posOffset>
            </wp:positionV>
            <wp:extent cx="71323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3840" w:space="340"/>
            <w:col w:w="7060"/>
          </w:cols>
          <w:pgMar w:left="320" w:top="692" w:right="339" w:bottom="1440" w:gutter="0" w:footer="0" w:header="0"/>
          <w:type w:val="continuous"/>
        </w:sectPr>
      </w:pPr>
    </w:p>
    <w:bookmarkStart w:id="17" w:name="page18"/>
    <w:bookmarkEnd w:id="17"/>
    <w:p>
      <w:pPr>
        <w:jc w:val="center"/>
        <w:ind w:left="340" w:right="2680"/>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June 30, 2023 (Unaudited)</w:t>
      </w:r>
    </w:p>
    <w:p>
      <w:pPr>
        <w:spacing w:after="0" w:line="184" w:lineRule="exact"/>
        <w:rPr>
          <w:sz w:val="20"/>
          <w:szCs w:val="20"/>
          <w:color w:val="auto"/>
        </w:rPr>
      </w:pPr>
    </w:p>
    <w:p>
      <w:pPr>
        <w:ind w:left="200" w:hanging="192"/>
        <w:spacing w:after="0"/>
        <w:tabs>
          <w:tab w:leader="none" w:pos="20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xml:space="preserve"> (Continued)</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presents a roll forward of the Company’s cumulative other than temporary credit impairments (“OTTI”) recognized in earnings on fixed maturity securities available for sale which was required to be presented prior to the adoption of ASU 2016-13:</w:t>
      </w:r>
    </w:p>
    <w:p>
      <w:pPr>
        <w:sectPr>
          <w:pgSz w:w="11900" w:h="16838" w:orient="portrait"/>
          <w:cols w:equalWidth="0" w:num="1">
            <w:col w:w="11240"/>
          </w:cols>
          <w:pgMar w:left="320" w:top="692" w:right="3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Balance of credit-related OTTI at January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5700395"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Additions for credit impairments recognized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700395"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Securities not previously impaired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700395"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Securities previously impaired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Reductions for credit impairments previously recognized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700395"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Securities that matured or were sold during the period (realized)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5700395"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1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Securities due to an increase in expected cash flows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Balance of credit-related OTTI at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700395"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jc w:val="center"/>
        <w:ind w:right="2339"/>
        <w:spacing w:after="0"/>
        <w:rPr>
          <w:sz w:val="20"/>
          <w:szCs w:val="20"/>
          <w:color w:val="auto"/>
        </w:rPr>
      </w:pPr>
      <w:r>
        <w:rPr>
          <w:rFonts w:ascii="Arial" w:cs="Arial" w:eastAsia="Arial" w:hAnsi="Arial"/>
          <w:sz w:val="18"/>
          <w:szCs w:val="18"/>
          <w:color w:val="auto"/>
        </w:rPr>
        <w:t>2022</w:t>
      </w:r>
    </w:p>
    <w:p>
      <w:pPr>
        <w:spacing w:after="0" w:line="36" w:lineRule="exact"/>
        <w:rPr>
          <w:sz w:val="20"/>
          <w:szCs w:val="20"/>
          <w:color w:val="auto"/>
        </w:rPr>
      </w:pPr>
    </w:p>
    <w:p>
      <w:pPr>
        <w:ind w:left="941" w:hanging="941"/>
        <w:spacing w:after="0"/>
        <w:tabs>
          <w:tab w:leader="none" w:pos="941" w:val="left"/>
        </w:tabs>
        <w:numPr>
          <w:ilvl w:val="0"/>
          <w:numId w:val="12"/>
        </w:numPr>
        <w:rPr>
          <w:rFonts w:ascii="Arial" w:cs="Arial" w:eastAsia="Arial" w:hAnsi="Arial"/>
          <w:sz w:val="17"/>
          <w:szCs w:val="17"/>
          <w:color w:val="auto"/>
        </w:rPr>
      </w:pPr>
      <w:r>
        <w:rPr>
          <w:rFonts w:ascii="Arial" w:cs="Arial" w:eastAsia="Arial" w:hAnsi="Arial"/>
          <w:sz w:val="17"/>
          <w:szCs w:val="17"/>
          <w:color w:val="auto"/>
        </w:rPr>
        <w:t>264,977</w:t>
      </w:r>
    </w:p>
    <w:p>
      <w:pPr>
        <w:spacing w:after="0" w:line="200" w:lineRule="exact"/>
        <w:rPr>
          <w:sz w:val="20"/>
          <w:szCs w:val="20"/>
          <w:color w:val="auto"/>
        </w:rPr>
      </w:pPr>
    </w:p>
    <w:p>
      <w:pPr>
        <w:spacing w:after="0" w:line="253" w:lineRule="exact"/>
        <w:rPr>
          <w:sz w:val="20"/>
          <w:szCs w:val="20"/>
          <w:color w:val="auto"/>
        </w:rPr>
      </w:pPr>
    </w:p>
    <w:p>
      <w:pPr>
        <w:ind w:left="1461"/>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461"/>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27" w:lineRule="exact"/>
        <w:rPr>
          <w:sz w:val="20"/>
          <w:szCs w:val="20"/>
          <w:color w:val="auto"/>
        </w:rPr>
      </w:pPr>
    </w:p>
    <w:p>
      <w:pPr>
        <w:jc w:val="right"/>
        <w:ind w:right="2280"/>
        <w:spacing w:after="0"/>
        <w:rPr>
          <w:sz w:val="20"/>
          <w:szCs w:val="20"/>
          <w:color w:val="auto"/>
        </w:rPr>
      </w:pPr>
      <w:r>
        <w:rPr>
          <w:rFonts w:ascii="Arial" w:cs="Arial" w:eastAsia="Arial" w:hAnsi="Arial"/>
          <w:sz w:val="18"/>
          <w:szCs w:val="18"/>
          <w:color w:val="auto"/>
        </w:rPr>
        <w:t>(39,502)</w:t>
      </w:r>
    </w:p>
    <w:p>
      <w:pPr>
        <w:spacing w:after="0" w:line="23" w:lineRule="exact"/>
        <w:rPr>
          <w:sz w:val="20"/>
          <w:szCs w:val="20"/>
          <w:color w:val="auto"/>
        </w:rPr>
      </w:pPr>
    </w:p>
    <w:p>
      <w:pPr>
        <w:jc w:val="right"/>
        <w:ind w:right="2340"/>
        <w:spacing w:after="0"/>
        <w:rPr>
          <w:sz w:val="20"/>
          <w:szCs w:val="20"/>
          <w:color w:val="auto"/>
        </w:rPr>
      </w:pPr>
      <w:r>
        <w:rPr>
          <w:rFonts w:ascii="Arial" w:cs="Arial" w:eastAsia="Arial" w:hAnsi="Arial"/>
          <w:sz w:val="18"/>
          <w:szCs w:val="18"/>
          <w:color w:val="auto"/>
        </w:rPr>
        <w:t>-</w:t>
      </w:r>
    </w:p>
    <w:p>
      <w:pPr>
        <w:spacing w:after="0" w:line="278" w:lineRule="exact"/>
        <w:rPr>
          <w:sz w:val="20"/>
          <w:szCs w:val="20"/>
          <w:color w:val="auto"/>
        </w:rPr>
      </w:pPr>
    </w:p>
    <w:p>
      <w:pPr>
        <w:ind w:left="941" w:hanging="941"/>
        <w:spacing w:after="0"/>
        <w:tabs>
          <w:tab w:leader="none" w:pos="941" w:val="left"/>
        </w:tabs>
        <w:numPr>
          <w:ilvl w:val="0"/>
          <w:numId w:val="13"/>
        </w:numPr>
        <w:rPr>
          <w:rFonts w:ascii="Arial" w:cs="Arial" w:eastAsia="Arial" w:hAnsi="Arial"/>
          <w:sz w:val="17"/>
          <w:szCs w:val="17"/>
          <w:color w:val="auto"/>
        </w:rPr>
      </w:pPr>
      <w:r>
        <w:rPr>
          <w:rFonts w:ascii="Arial" w:cs="Arial" w:eastAsia="Arial" w:hAnsi="Arial"/>
          <w:sz w:val="17"/>
          <w:szCs w:val="17"/>
          <w:color w:val="auto"/>
        </w:rPr>
        <w:t>225,475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96837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59" w:space="720"/>
            <w:col w:w="3861"/>
          </w:cols>
          <w:pgMar w:left="320" w:top="692" w:right="339" w:bottom="1440" w:gutter="0" w:footer="0" w:header="0"/>
          <w:type w:val="continuous"/>
        </w:sectPr>
      </w:pPr>
    </w:p>
    <w:p>
      <w:pPr>
        <w:spacing w:after="0" w:line="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table below presents the amortized cost and the estimated fair value of fixed maturity securities available for sale at June 30, 2023, by contractual maturity. Actual or expected maturities may differ from contractual maturities because certain borrowers may have the right to call or prepay obligations with or without call or prepayment penalties.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Estimated Fair</w:t>
            </w:r>
          </w:p>
        </w:tc>
      </w:tr>
      <w:tr>
        <w:trPr>
          <w:trHeight w:val="237"/>
        </w:trPr>
        <w:tc>
          <w:tcPr>
            <w:tcW w:w="4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Amortized Cost</w:t>
            </w:r>
          </w:p>
        </w:tc>
        <w:tc>
          <w:tcPr>
            <w:tcW w:w="120" w:type="dxa"/>
            <w:vAlign w:val="bottom"/>
          </w:tcPr>
          <w:p>
            <w:pPr>
              <w:spacing w:after="0"/>
              <w:rPr>
                <w:sz w:val="20"/>
                <w:szCs w:val="20"/>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Value</w:t>
            </w:r>
          </w:p>
        </w:tc>
      </w:tr>
      <w:tr>
        <w:trPr>
          <w:trHeight w:val="216"/>
        </w:trPr>
        <w:tc>
          <w:tcPr>
            <w:tcW w:w="4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in 1 year</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19,976,902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19,882,628</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Due in 2-5 years</w:t>
            </w:r>
          </w:p>
        </w:tc>
        <w:tc>
          <w:tcPr>
            <w:tcW w:w="10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149,667,318</w:t>
            </w:r>
          </w:p>
        </w:tc>
        <w:tc>
          <w:tcPr>
            <w:tcW w:w="12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144,707,290</w:t>
            </w: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Due in 5-10 years</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82,678,874</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79,333,563</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Due in more than 10 years</w:t>
            </w:r>
          </w:p>
        </w:tc>
        <w:tc>
          <w:tcPr>
            <w:tcW w:w="10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85,884,516</w:t>
            </w:r>
          </w:p>
        </w:tc>
        <w:tc>
          <w:tcPr>
            <w:tcW w:w="12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81,867,909</w:t>
            </w: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33,273,655</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28,738,422</w:t>
            </w:r>
          </w:p>
        </w:tc>
      </w:tr>
      <w:tr>
        <w:trPr>
          <w:trHeight w:val="236"/>
        </w:trPr>
        <w:tc>
          <w:tcPr>
            <w:tcW w:w="4880" w:type="dxa"/>
            <w:vAlign w:val="bottom"/>
          </w:tcPr>
          <w:p>
            <w:pPr>
              <w:spacing w:after="0"/>
              <w:rPr>
                <w:sz w:val="20"/>
                <w:szCs w:val="20"/>
                <w:color w:val="auto"/>
              </w:rPr>
            </w:pPr>
            <w:r>
              <w:rPr>
                <w:rFonts w:ascii="Arial" w:cs="Arial" w:eastAsia="Arial" w:hAnsi="Arial"/>
                <w:sz w:val="18"/>
                <w:szCs w:val="18"/>
                <w:color w:val="auto"/>
              </w:rPr>
              <w:t>Redeemable preferred stock</w:t>
            </w:r>
          </w:p>
        </w:tc>
        <w:tc>
          <w:tcPr>
            <w:tcW w:w="10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20"/>
                <w:szCs w:val="20"/>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260,000</w:t>
            </w:r>
          </w:p>
        </w:tc>
      </w:tr>
      <w:tr>
        <w:trPr>
          <w:trHeight w:val="230"/>
        </w:trPr>
        <w:tc>
          <w:tcPr>
            <w:tcW w:w="48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371,731,265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354,789,812</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is a member of the Federal Home Loan Bank of Des Moines and Dallas (“FHLB”). The Company had pledged a total of $84,531,263, at estimated fair value, of fixed maturity securities with the FHLB at June 30, 2023. These pledged securities are used as collateral for any FHLB cash advances. As of June 30, 2023, the Company owed nil to the FHLB and its estimated maximum borrowing capacity was $76,274,326.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Quality Indicators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NAIC assigns designations to fixed maturity securities. These designations range from Class 1 (highest quality) to Class 6 (lowest quality). The NAIC designations are utilized by insurers in preparing their annual statutory statements. NAIC Class 1 and 2 are considered “investment grade” while the NAIC Class 3 through 6 designations are considered “non-investment grade.” Based on the NAIC designations, the Company had 98.0% and 97.7% of its fixed maturity securities rated investment grade as of June 30, 2023 and December 31, 2022, respectively.</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credit quality, by NAIC designation, of the Company’s fixed maturity securities available for sale, excluding redeemable preferred stock.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18" w:name="page19"/>
    <w:bookmarkEnd w:id="18"/>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June 30, 2023 (Unaudited)</w:t>
      </w:r>
    </w:p>
    <w:p>
      <w:pPr>
        <w:spacing w:after="0" w:line="184" w:lineRule="exact"/>
        <w:rPr>
          <w:sz w:val="20"/>
          <w:szCs w:val="20"/>
          <w:color w:val="auto"/>
        </w:rPr>
      </w:pPr>
    </w:p>
    <w:p>
      <w:pPr>
        <w:ind w:left="200" w:hanging="192"/>
        <w:spacing w:after="0"/>
        <w:tabs>
          <w:tab w:leader="none" w:pos="20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xml:space="preserve"> (Continued)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00" w:type="dxa"/>
            <w:vAlign w:val="bottom"/>
            <w:gridSpan w:val="5"/>
          </w:tcPr>
          <w:p>
            <w:pPr>
              <w:jc w:val="right"/>
              <w:ind w:right="1340"/>
              <w:spacing w:after="0"/>
              <w:rPr>
                <w:sz w:val="20"/>
                <w:szCs w:val="20"/>
                <w:color w:val="auto"/>
              </w:rPr>
            </w:pPr>
            <w:r>
              <w:rPr>
                <w:rFonts w:ascii="Arial" w:cs="Arial" w:eastAsia="Arial" w:hAnsi="Arial"/>
                <w:sz w:val="18"/>
                <w:szCs w:val="18"/>
                <w:color w:val="auto"/>
              </w:rPr>
              <w:t>June 30, 2023</w:t>
            </w:r>
          </w:p>
        </w:tc>
        <w:tc>
          <w:tcPr>
            <w:tcW w:w="120" w:type="dxa"/>
            <w:vAlign w:val="bottom"/>
          </w:tcPr>
          <w:p>
            <w:pPr>
              <w:spacing w:after="0"/>
              <w:rPr>
                <w:sz w:val="20"/>
                <w:szCs w:val="20"/>
                <w:color w:val="auto"/>
              </w:rPr>
            </w:pPr>
          </w:p>
        </w:tc>
        <w:tc>
          <w:tcPr>
            <w:tcW w:w="3080" w:type="dxa"/>
            <w:vAlign w:val="bottom"/>
            <w:gridSpan w:val="5"/>
          </w:tcPr>
          <w:p>
            <w:pPr>
              <w:jc w:val="right"/>
              <w:ind w:right="920"/>
              <w:spacing w:after="0"/>
              <w:rPr>
                <w:sz w:val="20"/>
                <w:szCs w:val="20"/>
                <w:color w:val="auto"/>
              </w:rPr>
            </w:pPr>
            <w:r>
              <w:rPr>
                <w:rFonts w:ascii="Arial" w:cs="Arial" w:eastAsia="Arial" w:hAnsi="Arial"/>
                <w:sz w:val="18"/>
                <w:szCs w:val="18"/>
                <w:color w:val="auto"/>
              </w:rPr>
              <w:t>December 31, 2022</w:t>
            </w:r>
          </w:p>
        </w:tc>
      </w:tr>
      <w:tr>
        <w:trPr>
          <w:trHeight w:val="202"/>
        </w:trPr>
        <w:tc>
          <w:tcPr>
            <w:tcW w:w="2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ind w:left="40"/>
              <w:spacing w:after="0" w:line="201" w:lineRule="exact"/>
              <w:rPr>
                <w:sz w:val="20"/>
                <w:szCs w:val="20"/>
                <w:color w:val="auto"/>
              </w:rPr>
            </w:pPr>
            <w:r>
              <w:rPr>
                <w:rFonts w:ascii="Arial" w:cs="Arial" w:eastAsia="Arial" w:hAnsi="Arial"/>
                <w:sz w:val="18"/>
                <w:szCs w:val="18"/>
                <w:color w:val="auto"/>
              </w:rPr>
              <w:t>Estimated Fair</w:t>
            </w:r>
          </w:p>
        </w:tc>
        <w:tc>
          <w:tcPr>
            <w:tcW w:w="2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90"/>
              <w:spacing w:after="0" w:line="201" w:lineRule="exact"/>
              <w:rPr>
                <w:sz w:val="20"/>
                <w:szCs w:val="20"/>
                <w:color w:val="auto"/>
              </w:rPr>
            </w:pPr>
            <w:r>
              <w:rPr>
                <w:rFonts w:ascii="Arial" w:cs="Arial" w:eastAsia="Arial" w:hAnsi="Arial"/>
                <w:sz w:val="18"/>
                <w:szCs w:val="18"/>
                <w:color w:val="auto"/>
                <w:w w:val="93"/>
              </w:rPr>
              <w:t>Estimated Fair</w:t>
            </w:r>
          </w:p>
        </w:tc>
        <w:tc>
          <w:tcPr>
            <w:tcW w:w="80" w:type="dxa"/>
            <w:vAlign w:val="bottom"/>
          </w:tcPr>
          <w:p>
            <w:pPr>
              <w:spacing w:after="0"/>
              <w:rPr>
                <w:sz w:val="17"/>
                <w:szCs w:val="17"/>
                <w:color w:val="auto"/>
              </w:rPr>
            </w:pPr>
          </w:p>
        </w:tc>
      </w:tr>
      <w:tr>
        <w:trPr>
          <w:trHeight w:val="237"/>
        </w:trPr>
        <w:tc>
          <w:tcPr>
            <w:tcW w:w="236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NAIC Designation</w:t>
            </w:r>
          </w:p>
        </w:tc>
        <w:tc>
          <w:tcPr>
            <w:tcW w:w="120" w:type="dxa"/>
            <w:vAlign w:val="bottom"/>
          </w:tcPr>
          <w:p>
            <w:pPr>
              <w:spacing w:after="0"/>
              <w:rPr>
                <w:sz w:val="20"/>
                <w:szCs w:val="20"/>
                <w:color w:val="auto"/>
              </w:rPr>
            </w:pP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Amortized Cost</w:t>
            </w:r>
          </w:p>
        </w:tc>
        <w:tc>
          <w:tcPr>
            <w:tcW w:w="140" w:type="dxa"/>
            <w:vAlign w:val="bottom"/>
          </w:tcPr>
          <w:p>
            <w:pPr>
              <w:spacing w:after="0"/>
              <w:rPr>
                <w:sz w:val="20"/>
                <w:szCs w:val="20"/>
                <w:color w:val="auto"/>
              </w:rPr>
            </w:pPr>
          </w:p>
        </w:tc>
        <w:tc>
          <w:tcPr>
            <w:tcW w:w="1540" w:type="dxa"/>
            <w:vAlign w:val="bottom"/>
            <w:gridSpan w:val="2"/>
          </w:tcPr>
          <w:p>
            <w:pPr>
              <w:ind w:left="360"/>
              <w:spacing w:after="0"/>
              <w:rPr>
                <w:sz w:val="20"/>
                <w:szCs w:val="20"/>
                <w:color w:val="auto"/>
              </w:rPr>
            </w:pPr>
            <w:r>
              <w:rPr>
                <w:rFonts w:ascii="Arial" w:cs="Arial" w:eastAsia="Arial" w:hAnsi="Arial"/>
                <w:sz w:val="18"/>
                <w:szCs w:val="18"/>
                <w:color w:val="auto"/>
              </w:rPr>
              <w:t>Value</w:t>
            </w:r>
          </w:p>
        </w:tc>
        <w:tc>
          <w:tcPr>
            <w:tcW w:w="120" w:type="dxa"/>
            <w:vAlign w:val="bottom"/>
          </w:tcPr>
          <w:p>
            <w:pPr>
              <w:spacing w:after="0"/>
              <w:rPr>
                <w:sz w:val="20"/>
                <w:szCs w:val="20"/>
                <w:color w:val="auto"/>
              </w:rPr>
            </w:pPr>
          </w:p>
        </w:tc>
        <w:tc>
          <w:tcPr>
            <w:tcW w:w="1580" w:type="dxa"/>
            <w:vAlign w:val="bottom"/>
            <w:gridSpan w:val="2"/>
          </w:tcPr>
          <w:p>
            <w:pPr>
              <w:ind w:left="20"/>
              <w:spacing w:after="0"/>
              <w:rPr>
                <w:sz w:val="20"/>
                <w:szCs w:val="20"/>
                <w:color w:val="auto"/>
              </w:rPr>
            </w:pPr>
            <w:r>
              <w:rPr>
                <w:rFonts w:ascii="Arial" w:cs="Arial" w:eastAsia="Arial" w:hAnsi="Arial"/>
                <w:sz w:val="18"/>
                <w:szCs w:val="18"/>
                <w:color w:val="auto"/>
              </w:rPr>
              <w:t>Amortized Cost</w:t>
            </w:r>
          </w:p>
        </w:tc>
        <w:tc>
          <w:tcPr>
            <w:tcW w:w="140" w:type="dxa"/>
            <w:vAlign w:val="bottom"/>
          </w:tcPr>
          <w:p>
            <w:pPr>
              <w:spacing w:after="0"/>
              <w:rPr>
                <w:sz w:val="20"/>
                <w:szCs w:val="20"/>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Value</w:t>
            </w:r>
          </w:p>
        </w:tc>
      </w:tr>
      <w:tr>
        <w:trPr>
          <w:trHeight w:val="216"/>
        </w:trPr>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203,707,382</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87"/>
              </w:rPr>
              <w:t>195,622,815</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197,753,818</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189,691,540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16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160,122,716</w:t>
            </w:r>
          </w:p>
        </w:tc>
        <w:tc>
          <w:tcPr>
            <w:tcW w:w="14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151,974,611</w:t>
            </w:r>
          </w:p>
        </w:tc>
        <w:tc>
          <w:tcPr>
            <w:tcW w:w="120" w:type="dxa"/>
            <w:vAlign w:val="bottom"/>
          </w:tcPr>
          <w:p>
            <w:pPr>
              <w:spacing w:after="0"/>
              <w:rPr>
                <w:sz w:val="18"/>
                <w:szCs w:val="18"/>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156,261,804</w:t>
            </w:r>
          </w:p>
        </w:tc>
        <w:tc>
          <w:tcPr>
            <w:tcW w:w="14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148,073,873</w:t>
            </w:r>
          </w:p>
        </w:tc>
      </w:tr>
      <w:tr>
        <w:trPr>
          <w:trHeight w:val="216"/>
        </w:trPr>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5,667,117</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5,264,194</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7,080,305</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6,635,786</w:t>
            </w:r>
          </w:p>
        </w:tc>
      </w:tr>
      <w:tr>
        <w:trPr>
          <w:trHeight w:val="216"/>
        </w:trPr>
        <w:tc>
          <w:tcPr>
            <w:tcW w:w="216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1,720,314</w:t>
            </w:r>
          </w:p>
        </w:tc>
        <w:tc>
          <w:tcPr>
            <w:tcW w:w="14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1,563,190</w:t>
            </w:r>
          </w:p>
        </w:tc>
        <w:tc>
          <w:tcPr>
            <w:tcW w:w="120" w:type="dxa"/>
            <w:vAlign w:val="bottom"/>
          </w:tcPr>
          <w:p>
            <w:pPr>
              <w:spacing w:after="0"/>
              <w:rPr>
                <w:sz w:val="18"/>
                <w:szCs w:val="18"/>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1,377,541</w:t>
            </w:r>
          </w:p>
        </w:tc>
        <w:tc>
          <w:tcPr>
            <w:tcW w:w="14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1,157,454</w:t>
            </w:r>
          </w:p>
        </w:tc>
      </w:tr>
      <w:tr>
        <w:trPr>
          <w:trHeight w:val="216"/>
        </w:trPr>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262,465</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104,832</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25,736</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39,155</w:t>
            </w:r>
          </w:p>
        </w:tc>
      </w:tr>
      <w:tr>
        <w:trPr>
          <w:trHeight w:val="237"/>
        </w:trPr>
        <w:tc>
          <w:tcPr>
            <w:tcW w:w="216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1,271</w:t>
            </w:r>
          </w:p>
        </w:tc>
        <w:tc>
          <w:tcPr>
            <w:tcW w:w="140" w:type="dxa"/>
            <w:vAlign w:val="bottom"/>
          </w:tcPr>
          <w:p>
            <w:pPr>
              <w:spacing w:after="0"/>
              <w:rPr>
                <w:sz w:val="20"/>
                <w:szCs w:val="20"/>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0"/>
                <w:szCs w:val="20"/>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1,307</w:t>
            </w:r>
          </w:p>
        </w:tc>
        <w:tc>
          <w:tcPr>
            <w:tcW w:w="140" w:type="dxa"/>
            <w:vAlign w:val="bottom"/>
          </w:tcPr>
          <w:p>
            <w:pPr>
              <w:spacing w:after="0"/>
              <w:rPr>
                <w:sz w:val="20"/>
                <w:szCs w:val="20"/>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684</w:t>
            </w:r>
          </w:p>
        </w:tc>
      </w:tr>
      <w:tr>
        <w:trPr>
          <w:trHeight w:val="230"/>
        </w:trPr>
        <w:tc>
          <w:tcPr>
            <w:tcW w:w="2360" w:type="dxa"/>
            <w:vAlign w:val="bottom"/>
            <w:tcBorders>
              <w:top w:val="single" w:sz="8" w:color="CCEEFF"/>
              <w:bottom w:val="single" w:sz="8" w:color="CCEEFF"/>
            </w:tcBorders>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4"/>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371,481,265</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87"/>
              </w:rPr>
              <w:t>354,529,812</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362,500,511</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345,598,492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sales of fixed maturity securities available for sale is presented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60" w:type="dxa"/>
            <w:vAlign w:val="bottom"/>
          </w:tcPr>
          <w:p>
            <w:pPr>
              <w:spacing w:after="0"/>
              <w:rPr>
                <w:sz w:val="20"/>
                <w:szCs w:val="20"/>
                <w:color w:val="auto"/>
              </w:rPr>
            </w:pPr>
          </w:p>
        </w:tc>
        <w:tc>
          <w:tcPr>
            <w:tcW w:w="3060" w:type="dxa"/>
            <w:vAlign w:val="bottom"/>
            <w:gridSpan w:val="6"/>
          </w:tcPr>
          <w:p>
            <w:pPr>
              <w:jc w:val="right"/>
              <w:ind w:right="600"/>
              <w:spacing w:after="0"/>
              <w:rPr>
                <w:sz w:val="20"/>
                <w:szCs w:val="20"/>
                <w:color w:val="auto"/>
              </w:rPr>
            </w:pPr>
            <w:r>
              <w:rPr>
                <w:rFonts w:ascii="Arial" w:cs="Arial" w:eastAsia="Arial" w:hAnsi="Arial"/>
                <w:sz w:val="18"/>
                <w:szCs w:val="18"/>
                <w:color w:val="auto"/>
              </w:rPr>
              <w:t>Three Months Ended June 30,</w:t>
            </w:r>
          </w:p>
        </w:tc>
        <w:tc>
          <w:tcPr>
            <w:tcW w:w="240" w:type="dxa"/>
            <w:vAlign w:val="bottom"/>
          </w:tcPr>
          <w:p>
            <w:pPr>
              <w:spacing w:after="0"/>
              <w:rPr>
                <w:sz w:val="20"/>
                <w:szCs w:val="20"/>
                <w:color w:val="auto"/>
              </w:rPr>
            </w:pPr>
          </w:p>
        </w:tc>
        <w:tc>
          <w:tcPr>
            <w:tcW w:w="2600" w:type="dxa"/>
            <w:vAlign w:val="bottom"/>
            <w:gridSpan w:val="5"/>
          </w:tcPr>
          <w:p>
            <w:pPr>
              <w:jc w:val="right"/>
              <w:ind w:right="480"/>
              <w:spacing w:after="0"/>
              <w:rPr>
                <w:sz w:val="20"/>
                <w:szCs w:val="20"/>
                <w:color w:val="auto"/>
              </w:rPr>
            </w:pPr>
            <w:r>
              <w:rPr>
                <w:rFonts w:ascii="Arial" w:cs="Arial" w:eastAsia="Arial" w:hAnsi="Arial"/>
                <w:sz w:val="18"/>
                <w:szCs w:val="18"/>
                <w:color w:val="auto"/>
                <w:w w:val="95"/>
              </w:rPr>
              <w:t>Six Months Ended June 30,</w:t>
            </w:r>
          </w:p>
        </w:tc>
      </w:tr>
      <w:tr>
        <w:trPr>
          <w:trHeight w:val="236"/>
        </w:trPr>
        <w:tc>
          <w:tcPr>
            <w:tcW w:w="3660" w:type="dxa"/>
            <w:vAlign w:val="bottom"/>
            <w:tcBorders>
              <w:bottom w:val="single" w:sz="8" w:color="CCEEFF"/>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8"/>
                <w:szCs w:val="18"/>
                <w:color w:val="auto"/>
              </w:rPr>
              <w:t>2023</w:t>
            </w:r>
          </w:p>
        </w:tc>
        <w:tc>
          <w:tcPr>
            <w:tcW w:w="24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2022</w:t>
            </w:r>
          </w:p>
        </w:tc>
        <w:tc>
          <w:tcPr>
            <w:tcW w:w="2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2023</w:t>
            </w:r>
          </w:p>
        </w:tc>
        <w:tc>
          <w:tcPr>
            <w:tcW w:w="280" w:type="dxa"/>
            <w:vAlign w:val="bottom"/>
            <w:tcBorders>
              <w:top w:val="single" w:sz="8" w:color="auto"/>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w:t>
            </w:r>
          </w:p>
        </w:tc>
        <w:tc>
          <w:tcPr>
            <w:tcW w:w="1000" w:type="dxa"/>
            <w:vAlign w:val="bottom"/>
            <w:shd w:val="clear" w:color="auto" w:fill="CCEEFF"/>
          </w:tcPr>
          <w:p>
            <w:pPr>
              <w:jc w:val="right"/>
              <w:ind w:right="836"/>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74"/>
              </w:rPr>
              <w: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955,610</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688,651</w:t>
            </w:r>
          </w:p>
        </w:tc>
        <w:tc>
          <w:tcPr>
            <w:tcW w:w="100" w:type="dxa"/>
            <w:vAlign w:val="bottom"/>
            <w:shd w:val="clear" w:color="auto" w:fill="CCEEFF"/>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Gross realized gains</w:t>
            </w:r>
          </w:p>
        </w:tc>
        <w:tc>
          <w:tcPr>
            <w:tcW w:w="1000" w:type="dxa"/>
            <w:vAlign w:val="bottom"/>
          </w:tcPr>
          <w:p>
            <w:pPr>
              <w:spacing w:after="0"/>
              <w:rPr>
                <w:sz w:val="18"/>
                <w:szCs w:val="18"/>
                <w:color w:val="auto"/>
              </w:rPr>
            </w:pPr>
          </w:p>
        </w:tc>
        <w:tc>
          <w:tcPr>
            <w:tcW w:w="5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11,257</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2,354</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Gross realized losses</w:t>
            </w:r>
          </w:p>
        </w:tc>
        <w:tc>
          <w:tcPr>
            <w:tcW w:w="10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(7,825)</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(54,104)</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(7,845)</w:t>
            </w:r>
          </w:p>
        </w:tc>
      </w:tr>
    </w:tbl>
    <w:p>
      <w:pPr>
        <w:spacing w:after="0" w:line="20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Securities and cash on deposit with regulatory authorities as required by law amounted to $10,953,870 at June 30, 2023 and $11,032,165 at December 31, 2022. These restricted securities are included in various assets under investments on the accompanying condensed consolidated balance sheets.</w:t>
      </w:r>
    </w:p>
    <w:p>
      <w:pPr>
        <w:spacing w:after="0" w:line="12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There were no investments, aggregated by issuer, in excess of 10% of shareholders’ equity (before net unrealized gains and losses on equity securities and fixed maturity securities) at June 30, 2023, other than investments issued or guaranteed by the United States Government.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Held for Investment and Held for Sale</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strategically deploys resources into real estate assets to match the income and yield durations of its primary obligations. The sources for these real estate assets come through its various business units in the form of acquisition, development, and mortgage foreclosures.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Commercial Real Estate Held for Investment and Held for Sale</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owns and manages commercial real estate assets as a means of generating investment income. These assets are acquired in accordance with the Company’s goals and objectives for risk-adjusted returns. Due diligence is conducted on each asset using internal and third-party resources. The geographic locations and asset classes of investments are determined by senior management under the direction of the Board of Directors.</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employs full-time employees to attend to the day-to-day operations of those assets within the greater Salt Lake area and close surrounding markets. The Company utilizes third party property managers where the geographic location does not warrant full-time staff or through strategic lease-up periods. The Company generally looks to acquire assets that are located in regions expected to have high growth in employment and population and that provide operational efficiencies.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currently owns and operates nine commercial properties in three states. These properties include office buildings, flex office space, and the redevelopment and expansion of its corporate campus (“Center53”) in Salt Lake City, Utah. The Company uses bank debt in strategic cases, primarily where it is anticipated to improve yields, or facilitate the acquisition of higher quality assets or asset class diversification.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9" w:name="page20"/>
    <w:bookmarkEnd w:id="19"/>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June 30, 2023 (Unaudited)</w:t>
      </w:r>
    </w:p>
    <w:p>
      <w:pPr>
        <w:spacing w:after="0" w:line="184" w:lineRule="exact"/>
        <w:rPr>
          <w:sz w:val="20"/>
          <w:szCs w:val="20"/>
          <w:color w:val="auto"/>
        </w:rPr>
      </w:pPr>
    </w:p>
    <w:p>
      <w:pPr>
        <w:ind w:left="200" w:hanging="192"/>
        <w:spacing w:after="0"/>
        <w:tabs>
          <w:tab w:leader="none" w:pos="20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xml:space="preserve"> (Continued)</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aggregated net book value of commercial real estate serving as collateral for bank loans was $126,954,484 and $129,330,119 as of June 30, 2023, and December 31, 2022, respectively. The associated bank loan carrying values totaled $96,199,103 and $97,112,131 as of June 30, 2023, and December 31, 2022, respectively.</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and six month periods ended June 30, 2023, and 2022, the Company did not record any impairment losses on commercial real estate held for investment or held for sale. Impairment losses, if any, are included in gains (losses) on investment and other assets on the condensed consolidated statements of earnings.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month periods ended June 30, 2023, and 2022, the Company recorded depreciation expense on commercial real estate held for investment of $1,576,901 and $1,665,343, respectively, and of $3,142,828 and $2,989,274 during the six month periods ended June 30, 2023, and 2022, respectively. Commercial real estate held for investment is stated at cost and is depreciated over the estimated useful life, primarily using the straight-line method. Depreciation is included in net investment income on the consolidated statements of earnings.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commercial real estate held for investment is summarized as follows as of the respective dates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60" w:type="dxa"/>
            <w:vAlign w:val="bottom"/>
            <w:gridSpan w:val="5"/>
          </w:tcPr>
          <w:p>
            <w:pPr>
              <w:ind w:left="820"/>
              <w:spacing w:after="0"/>
              <w:rPr>
                <w:sz w:val="20"/>
                <w:szCs w:val="20"/>
                <w:color w:val="auto"/>
              </w:rPr>
            </w:pPr>
            <w:r>
              <w:rPr>
                <w:rFonts w:ascii="Arial" w:cs="Arial" w:eastAsia="Arial" w:hAnsi="Arial"/>
                <w:sz w:val="18"/>
                <w:szCs w:val="18"/>
                <w:color w:val="auto"/>
              </w:rPr>
              <w:t>Net Book Value</w:t>
            </w:r>
          </w:p>
        </w:tc>
        <w:tc>
          <w:tcPr>
            <w:tcW w:w="3000" w:type="dxa"/>
            <w:vAlign w:val="bottom"/>
            <w:gridSpan w:val="4"/>
          </w:tcPr>
          <w:p>
            <w:pPr>
              <w:jc w:val="right"/>
              <w:ind w:right="780"/>
              <w:spacing w:after="0"/>
              <w:rPr>
                <w:sz w:val="20"/>
                <w:szCs w:val="20"/>
                <w:color w:val="auto"/>
              </w:rPr>
            </w:pPr>
            <w:r>
              <w:rPr>
                <w:rFonts w:ascii="Arial" w:cs="Arial" w:eastAsia="Arial" w:hAnsi="Arial"/>
                <w:sz w:val="18"/>
                <w:szCs w:val="18"/>
                <w:color w:val="auto"/>
              </w:rPr>
              <w:t>Total Square Footage</w:t>
            </w:r>
          </w:p>
        </w:tc>
      </w:tr>
      <w:tr>
        <w:trPr>
          <w:trHeight w:val="202"/>
        </w:trPr>
        <w:tc>
          <w:tcPr>
            <w:tcW w:w="2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90"/>
              <w:spacing w:after="0" w:line="201" w:lineRule="exact"/>
              <w:rPr>
                <w:sz w:val="20"/>
                <w:szCs w:val="20"/>
                <w:color w:val="auto"/>
              </w:rPr>
            </w:pPr>
            <w:r>
              <w:rPr>
                <w:rFonts w:ascii="Arial" w:cs="Arial" w:eastAsia="Arial" w:hAnsi="Arial"/>
                <w:sz w:val="18"/>
                <w:szCs w:val="18"/>
                <w:color w:val="auto"/>
                <w:w w:val="90"/>
              </w:rPr>
              <w:t>December 31,</w:t>
            </w:r>
          </w:p>
        </w:tc>
        <w:tc>
          <w:tcPr>
            <w:tcW w:w="260" w:type="dxa"/>
            <w:vAlign w:val="bottom"/>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rPr>
              <w:t>December 31,</w:t>
            </w:r>
          </w:p>
        </w:tc>
        <w:tc>
          <w:tcPr>
            <w:tcW w:w="80" w:type="dxa"/>
            <w:vAlign w:val="bottom"/>
          </w:tcPr>
          <w:p>
            <w:pPr>
              <w:spacing w:after="0"/>
              <w:rPr>
                <w:sz w:val="17"/>
                <w:szCs w:val="17"/>
                <w:color w:val="auto"/>
              </w:rPr>
            </w:pPr>
          </w:p>
        </w:tc>
      </w:tr>
      <w:tr>
        <w:trPr>
          <w:trHeight w:val="237"/>
        </w:trPr>
        <w:tc>
          <w:tcPr>
            <w:tcW w:w="2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2"/>
          </w:tcPr>
          <w:p>
            <w:pPr>
              <w:ind w:left="80"/>
              <w:spacing w:after="0"/>
              <w:rPr>
                <w:sz w:val="20"/>
                <w:szCs w:val="20"/>
                <w:color w:val="auto"/>
              </w:rPr>
            </w:pPr>
            <w:r>
              <w:rPr>
                <w:rFonts w:ascii="Arial" w:cs="Arial" w:eastAsia="Arial" w:hAnsi="Arial"/>
                <w:sz w:val="18"/>
                <w:szCs w:val="18"/>
                <w:color w:val="auto"/>
              </w:rPr>
              <w:t>June 30, 2023</w:t>
            </w:r>
          </w:p>
        </w:tc>
        <w:tc>
          <w:tcPr>
            <w:tcW w:w="14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20"/>
                <w:szCs w:val="20"/>
                <w:color w:val="auto"/>
              </w:rPr>
            </w:pPr>
          </w:p>
        </w:tc>
        <w:tc>
          <w:tcPr>
            <w:tcW w:w="1580" w:type="dxa"/>
            <w:vAlign w:val="bottom"/>
            <w:gridSpan w:val="2"/>
          </w:tcPr>
          <w:p>
            <w:pPr>
              <w:ind w:left="160"/>
              <w:spacing w:after="0"/>
              <w:rPr>
                <w:sz w:val="20"/>
                <w:szCs w:val="20"/>
                <w:color w:val="auto"/>
              </w:rPr>
            </w:pPr>
            <w:r>
              <w:rPr>
                <w:rFonts w:ascii="Arial" w:cs="Arial" w:eastAsia="Arial" w:hAnsi="Arial"/>
                <w:sz w:val="18"/>
                <w:szCs w:val="18"/>
                <w:color w:val="auto"/>
              </w:rPr>
              <w:t>June 30, 2023</w:t>
            </w:r>
          </w:p>
        </w:tc>
        <w:tc>
          <w:tcPr>
            <w:tcW w:w="1340" w:type="dxa"/>
            <w:vAlign w:val="bottom"/>
          </w:tcPr>
          <w:p>
            <w:pPr>
              <w:jc w:val="right"/>
              <w:ind w:right="390"/>
              <w:spacing w:after="0"/>
              <w:rPr>
                <w:sz w:val="20"/>
                <w:szCs w:val="20"/>
                <w:color w:val="auto"/>
              </w:rPr>
            </w:pPr>
            <w:r>
              <w:rPr>
                <w:rFonts w:ascii="Arial" w:cs="Arial" w:eastAsia="Arial" w:hAnsi="Arial"/>
                <w:sz w:val="18"/>
                <w:szCs w:val="18"/>
                <w:color w:val="auto"/>
              </w:rPr>
              <w:t>2022</w:t>
            </w:r>
          </w:p>
        </w:tc>
        <w:tc>
          <w:tcPr>
            <w:tcW w:w="80" w:type="dxa"/>
            <w:vAlign w:val="bottom"/>
          </w:tcPr>
          <w:p>
            <w:pPr>
              <w:spacing w:after="0"/>
              <w:rPr>
                <w:sz w:val="20"/>
                <w:szCs w:val="20"/>
                <w:color w:val="auto"/>
              </w:rPr>
            </w:pPr>
          </w:p>
        </w:tc>
      </w:tr>
      <w:tr>
        <w:trPr>
          <w:trHeight w:val="216"/>
        </w:trPr>
        <w:tc>
          <w:tcPr>
            <w:tcW w:w="2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Utah (1)</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144,998,640</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147,627,946</w:t>
            </w:r>
          </w:p>
        </w:tc>
        <w:tc>
          <w:tcPr>
            <w:tcW w:w="26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625,920</w:t>
            </w:r>
          </w:p>
        </w:tc>
        <w:tc>
          <w:tcPr>
            <w:tcW w:w="24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625,920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Louisiana</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2,357,964</w:t>
            </w:r>
          </w:p>
        </w:tc>
        <w:tc>
          <w:tcPr>
            <w:tcW w:w="140" w:type="dxa"/>
            <w:vAlign w:val="bottom"/>
          </w:tcPr>
          <w:p>
            <w:pPr>
              <w:spacing w:after="0"/>
              <w:rPr>
                <w:sz w:val="18"/>
                <w:szCs w:val="18"/>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2,380,847</w:t>
            </w: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31,778</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31,778</w:t>
            </w:r>
          </w:p>
        </w:tc>
      </w:tr>
      <w:tr>
        <w:trPr>
          <w:trHeight w:val="216"/>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Mississippi</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2,925,462</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2,881,863</w:t>
            </w: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19,694</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19,694</w:t>
            </w:r>
          </w:p>
        </w:tc>
      </w:tr>
      <w:tr>
        <w:trPr>
          <w:trHeight w:val="236"/>
        </w:trPr>
        <w:tc>
          <w:tcPr>
            <w:tcW w:w="2180" w:type="dxa"/>
            <w:vAlign w:val="bottom"/>
            <w:tcBorders>
              <w:bottom w:val="single" w:sz="8" w:color="CCEEFF"/>
            </w:tcBorders>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30"/>
        </w:trPr>
        <w:tc>
          <w:tcPr>
            <w:tcW w:w="21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150,282,066</w:t>
            </w:r>
          </w:p>
        </w:tc>
        <w:tc>
          <w:tcPr>
            <w:tcW w:w="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152,890,656</w:t>
            </w:r>
          </w:p>
        </w:tc>
        <w:tc>
          <w:tcPr>
            <w:tcW w:w="26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677,392</w:t>
            </w:r>
          </w:p>
        </w:tc>
        <w:tc>
          <w:tcPr>
            <w:tcW w:w="2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677,392</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2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3"/>
        </w:trPr>
        <w:tc>
          <w:tcPr>
            <w:tcW w:w="2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(1)  Includes Center53</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commercial real estate held for sale is summarized as follows as of the respective dates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00" w:type="dxa"/>
            <w:vAlign w:val="bottom"/>
            <w:gridSpan w:val="5"/>
          </w:tcPr>
          <w:p>
            <w:pPr>
              <w:ind w:left="700"/>
              <w:spacing w:after="0"/>
              <w:rPr>
                <w:sz w:val="20"/>
                <w:szCs w:val="20"/>
                <w:color w:val="auto"/>
              </w:rPr>
            </w:pPr>
            <w:r>
              <w:rPr>
                <w:rFonts w:ascii="Arial" w:cs="Arial" w:eastAsia="Arial" w:hAnsi="Arial"/>
                <w:sz w:val="18"/>
                <w:szCs w:val="18"/>
                <w:color w:val="auto"/>
              </w:rPr>
              <w:t>Net Book Value</w:t>
            </w:r>
          </w:p>
        </w:tc>
      </w:tr>
      <w:tr>
        <w:trPr>
          <w:trHeight w:val="202"/>
        </w:trPr>
        <w:tc>
          <w:tcPr>
            <w:tcW w:w="39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w w:val="88"/>
              </w:rPr>
              <w:t>December 31,</w:t>
            </w:r>
          </w:p>
        </w:tc>
        <w:tc>
          <w:tcPr>
            <w:tcW w:w="40" w:type="dxa"/>
            <w:vAlign w:val="bottom"/>
          </w:tcPr>
          <w:p>
            <w:pPr>
              <w:spacing w:after="0"/>
              <w:rPr>
                <w:sz w:val="17"/>
                <w:szCs w:val="17"/>
                <w:color w:val="auto"/>
              </w:rPr>
            </w:pPr>
          </w:p>
        </w:tc>
      </w:tr>
      <w:tr>
        <w:trPr>
          <w:trHeight w:val="237"/>
        </w:trPr>
        <w:tc>
          <w:tcPr>
            <w:tcW w:w="3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June 30, 2023</w:t>
            </w:r>
          </w:p>
        </w:tc>
        <w:tc>
          <w:tcPr>
            <w:tcW w:w="120" w:type="dxa"/>
            <w:vAlign w:val="bottom"/>
          </w:tcPr>
          <w:p>
            <w:pPr>
              <w:spacing w:after="0"/>
              <w:rPr>
                <w:sz w:val="20"/>
                <w:szCs w:val="20"/>
                <w:color w:val="auto"/>
              </w:rPr>
            </w:pPr>
          </w:p>
        </w:tc>
        <w:tc>
          <w:tcPr>
            <w:tcW w:w="1180" w:type="dxa"/>
            <w:vAlign w:val="bottom"/>
          </w:tcPr>
          <w:p>
            <w:pPr>
              <w:jc w:val="right"/>
              <w:ind w:right="390"/>
              <w:spacing w:after="0"/>
              <w:rPr>
                <w:sz w:val="20"/>
                <w:szCs w:val="20"/>
                <w:color w:val="auto"/>
              </w:rPr>
            </w:pPr>
            <w:r>
              <w:rPr>
                <w:rFonts w:ascii="Arial" w:cs="Arial" w:eastAsia="Arial" w:hAnsi="Arial"/>
                <w:sz w:val="18"/>
                <w:szCs w:val="18"/>
                <w:color w:val="auto"/>
              </w:rPr>
              <w:t>2022</w:t>
            </w:r>
          </w:p>
        </w:tc>
        <w:tc>
          <w:tcPr>
            <w:tcW w:w="40" w:type="dxa"/>
            <w:vAlign w:val="bottom"/>
          </w:tcPr>
          <w:p>
            <w:pPr>
              <w:spacing w:after="0"/>
              <w:rPr>
                <w:sz w:val="20"/>
                <w:szCs w:val="20"/>
                <w:color w:val="auto"/>
              </w:rPr>
            </w:pPr>
          </w:p>
        </w:tc>
      </w:tr>
      <w:tr>
        <w:trPr>
          <w:trHeight w:val="216"/>
        </w:trPr>
        <w:tc>
          <w:tcPr>
            <w:tcW w:w="3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Mississippi (1)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151,553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151,553</w:t>
            </w:r>
          </w:p>
        </w:tc>
        <w:tc>
          <w:tcPr>
            <w:tcW w:w="40" w:type="dxa"/>
            <w:vAlign w:val="bottom"/>
            <w:tcBorders>
              <w:top w:val="single" w:sz="8" w:color="CCEEFF"/>
            </w:tcBorders>
            <w:shd w:val="clear" w:color="auto" w:fill="CCEEFF"/>
          </w:tcPr>
          <w:p>
            <w:pPr>
              <w:spacing w:after="0"/>
              <w:rPr>
                <w:sz w:val="18"/>
                <w:szCs w:val="18"/>
                <w:color w:val="auto"/>
              </w:rPr>
            </w:pPr>
          </w:p>
        </w:tc>
      </w:tr>
      <w:tr>
        <w:trPr>
          <w:trHeight w:val="236"/>
        </w:trPr>
        <w:tc>
          <w:tcPr>
            <w:tcW w:w="39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r>
      <w:tr>
        <w:trPr>
          <w:trHeight w:val="230"/>
        </w:trPr>
        <w:tc>
          <w:tcPr>
            <w:tcW w:w="3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151,553</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151,553</w:t>
            </w:r>
          </w:p>
        </w:tc>
        <w:tc>
          <w:tcPr>
            <w:tcW w:w="40" w:type="dxa"/>
            <w:vAlign w:val="bottom"/>
            <w:tcBorders>
              <w:bottom w:val="single" w:sz="8" w:color="CCEEFF"/>
            </w:tcBorders>
            <w:shd w:val="clear" w:color="auto" w:fill="CCEEFF"/>
          </w:tcPr>
          <w:p>
            <w:pPr>
              <w:spacing w:after="0"/>
              <w:rPr>
                <w:sz w:val="19"/>
                <w:szCs w:val="19"/>
                <w:color w:val="auto"/>
              </w:rPr>
            </w:pPr>
          </w:p>
        </w:tc>
      </w:tr>
      <w:tr>
        <w:trPr>
          <w:trHeight w:val="20"/>
        </w:trPr>
        <w:tc>
          <w:tcPr>
            <w:tcW w:w="3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(1)  Consists of approximately 93 acres of undeveloped land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property is being marketed with the assistance of commercial real estate brokers in Mississippi.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Residential Real Estate Held for Investment and Held for Sale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occasionally acquires a small portfolio of residential homes primarily as a result of loan foreclosures. The Company has the option to sell these properties or to continue to hold them for expected cash flow and price appreciation. The Company also invests in residential subdivision development.</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established Security National Real Estate Services (“SNRE”) to manage its residential property portfolio. SNRE cultivates and maintains the preferred vendor relationships necessary to manage costs and quality of work performed on the Company’s entire residential property portfolio.</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0" w:name="page21"/>
    <w:bookmarkEnd w:id="20"/>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June 30, 2023 (Unaudited)</w:t>
      </w:r>
    </w:p>
    <w:p>
      <w:pPr>
        <w:spacing w:after="0" w:line="184" w:lineRule="exact"/>
        <w:rPr>
          <w:sz w:val="20"/>
          <w:szCs w:val="20"/>
          <w:color w:val="auto"/>
        </w:rPr>
      </w:pPr>
    </w:p>
    <w:p>
      <w:pPr>
        <w:ind w:left="200" w:hanging="192"/>
        <w:spacing w:after="0"/>
        <w:tabs>
          <w:tab w:leader="none" w:pos="20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xml:space="preserve"> (Continued)</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and six month periods ended June 30, 2023, and 2022 the Company did not record any impairment losses on residential real estate held for sale or held for investment. Impairment losses, if any, are included in gains (losses) on investment and other assets on the condensed consolidated statements of earnings.</w:t>
      </w:r>
    </w:p>
    <w:p>
      <w:pPr>
        <w:spacing w:after="0" w:line="18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During the three month periods ended June 30, 2023, and 2022, the Company recorded depreciation expense on residential real estate held for investment of $2,648 and $2,648, respectively, and of $5,296 and $5,296 during the six month periods ended June 30, 2023, and 2022, respectively. Residential real estate held for investment is stated at cost and is depreciated over the estimated useful life, primarily using the straight-line method. Depreciation is included in net investment income on the consolidated statements of earnings.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residential real estate held for investment is summarized as follows as of the respective dates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4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0" w:type="dxa"/>
            <w:vAlign w:val="bottom"/>
            <w:gridSpan w:val="6"/>
          </w:tcPr>
          <w:p>
            <w:pPr>
              <w:ind w:left="1000"/>
              <w:spacing w:after="0"/>
              <w:rPr>
                <w:sz w:val="20"/>
                <w:szCs w:val="20"/>
                <w:color w:val="auto"/>
              </w:rPr>
            </w:pPr>
            <w:r>
              <w:rPr>
                <w:rFonts w:ascii="Arial" w:cs="Arial" w:eastAsia="Arial" w:hAnsi="Arial"/>
                <w:sz w:val="18"/>
                <w:szCs w:val="18"/>
                <w:color w:val="auto"/>
              </w:rPr>
              <w:t>Net Book Value</w:t>
            </w:r>
          </w:p>
        </w:tc>
      </w:tr>
      <w:tr>
        <w:trPr>
          <w:trHeight w:val="237"/>
        </w:trPr>
        <w:tc>
          <w:tcPr>
            <w:tcW w:w="24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color w:val="auto"/>
              </w:rPr>
              <w:t>June 30, 2023</w:t>
            </w:r>
          </w:p>
        </w:tc>
        <w:tc>
          <w:tcPr>
            <w:tcW w:w="1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9"/>
              </w:rPr>
              <w:t>December 31, 2022</w:t>
            </w:r>
          </w:p>
        </w:tc>
        <w:tc>
          <w:tcPr>
            <w:tcW w:w="60" w:type="dxa"/>
            <w:vAlign w:val="bottom"/>
            <w:gridSpan w:val="2"/>
          </w:tcPr>
          <w:p>
            <w:pPr>
              <w:spacing w:after="0"/>
              <w:rPr>
                <w:sz w:val="20"/>
                <w:szCs w:val="20"/>
                <w:color w:val="auto"/>
              </w:rPr>
            </w:pPr>
          </w:p>
        </w:tc>
      </w:tr>
      <w:tr>
        <w:trPr>
          <w:trHeight w:val="236"/>
        </w:trPr>
        <w:tc>
          <w:tcPr>
            <w:tcW w:w="2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Utah (1)</w:t>
            </w:r>
          </w:p>
        </w:tc>
        <w:tc>
          <w:tcPr>
            <w:tcW w:w="18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30,680,836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38,437,960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7"/>
        </w:trPr>
        <w:tc>
          <w:tcPr>
            <w:tcW w:w="24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30,680,836</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38,437,960</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4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(1)  Includes residential subdivision development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additional information regarding the Company’s residential subdivision development in Utah:</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8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gridSpan w:val="2"/>
          </w:tcPr>
          <w:p>
            <w:pPr>
              <w:jc w:val="right"/>
              <w:ind w:right="540"/>
              <w:spacing w:after="0"/>
              <w:rPr>
                <w:sz w:val="20"/>
                <w:szCs w:val="20"/>
                <w:color w:val="auto"/>
              </w:rPr>
            </w:pPr>
            <w:r>
              <w:rPr>
                <w:rFonts w:ascii="Arial" w:cs="Arial" w:eastAsia="Arial" w:hAnsi="Arial"/>
                <w:sz w:val="18"/>
                <w:szCs w:val="18"/>
                <w:color w:val="auto"/>
                <w:w w:val="98"/>
              </w:rPr>
              <w:t>June 30, 2023</w:t>
            </w:r>
          </w:p>
        </w:tc>
        <w:tc>
          <w:tcPr>
            <w:tcW w:w="100" w:type="dxa"/>
            <w:vAlign w:val="bottom"/>
          </w:tcPr>
          <w:p>
            <w:pPr>
              <w:spacing w:after="0"/>
              <w:rPr>
                <w:sz w:val="20"/>
                <w:szCs w:val="20"/>
                <w:color w:val="auto"/>
              </w:rPr>
            </w:pPr>
          </w:p>
        </w:tc>
        <w:tc>
          <w:tcPr>
            <w:tcW w:w="1620" w:type="dxa"/>
            <w:vAlign w:val="bottom"/>
            <w:gridSpan w:val="2"/>
          </w:tcPr>
          <w:p>
            <w:pPr>
              <w:ind w:left="20"/>
              <w:spacing w:after="0"/>
              <w:rPr>
                <w:sz w:val="20"/>
                <w:szCs w:val="20"/>
                <w:color w:val="auto"/>
              </w:rPr>
            </w:pPr>
            <w:r>
              <w:rPr>
                <w:rFonts w:ascii="Arial" w:cs="Arial" w:eastAsia="Arial" w:hAnsi="Arial"/>
                <w:sz w:val="18"/>
                <w:szCs w:val="18"/>
                <w:color w:val="auto"/>
                <w:w w:val="99"/>
              </w:rPr>
              <w:t>December 31, 2022</w:t>
            </w:r>
          </w:p>
        </w:tc>
      </w:tr>
      <w:tr>
        <w:trPr>
          <w:trHeight w:val="216"/>
        </w:trPr>
        <w:tc>
          <w:tcPr>
            <w:tcW w:w="2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Lots developed</w:t>
            </w:r>
          </w:p>
        </w:tc>
        <w:tc>
          <w:tcPr>
            <w:tcW w:w="13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Lots to be developed</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931</w:t>
            </w:r>
          </w:p>
        </w:tc>
        <w:tc>
          <w:tcPr>
            <w:tcW w:w="100" w:type="dxa"/>
            <w:vAlign w:val="bottom"/>
          </w:tcPr>
          <w:p>
            <w:pPr>
              <w:spacing w:after="0"/>
              <w:rPr>
                <w:sz w:val="18"/>
                <w:szCs w:val="18"/>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1,131</w:t>
            </w: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Book Value</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30,489,876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38,241,705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residential real estate held for sale is summarized as follows as of the respective dates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20" w:type="dxa"/>
            <w:vAlign w:val="bottom"/>
            <w:gridSpan w:val="7"/>
          </w:tcPr>
          <w:p>
            <w:pPr>
              <w:ind w:left="1060"/>
              <w:spacing w:after="0"/>
              <w:rPr>
                <w:sz w:val="20"/>
                <w:szCs w:val="20"/>
                <w:color w:val="auto"/>
              </w:rPr>
            </w:pPr>
            <w:r>
              <w:rPr>
                <w:rFonts w:ascii="Arial" w:cs="Arial" w:eastAsia="Arial" w:hAnsi="Arial"/>
                <w:sz w:val="18"/>
                <w:szCs w:val="18"/>
                <w:color w:val="auto"/>
              </w:rPr>
              <w:t>Net Book Value</w:t>
            </w:r>
          </w:p>
        </w:tc>
      </w:tr>
      <w:tr>
        <w:trPr>
          <w:trHeight w:val="236"/>
        </w:trPr>
        <w:tc>
          <w:tcPr>
            <w:tcW w:w="41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gridSpan w:val="2"/>
          </w:tcPr>
          <w:p>
            <w:pPr>
              <w:jc w:val="right"/>
              <w:ind w:right="610"/>
              <w:spacing w:after="0"/>
              <w:rPr>
                <w:sz w:val="20"/>
                <w:szCs w:val="20"/>
                <w:color w:val="auto"/>
              </w:rPr>
            </w:pPr>
            <w:r>
              <w:rPr>
                <w:rFonts w:ascii="Arial" w:cs="Arial" w:eastAsia="Arial" w:hAnsi="Arial"/>
                <w:sz w:val="18"/>
                <w:szCs w:val="18"/>
                <w:color w:val="auto"/>
                <w:w w:val="96"/>
              </w:rPr>
              <w:t>June 30, 2023</w:t>
            </w: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8"/>
              </w:rPr>
              <w:t>December 31, 2022</w:t>
            </w:r>
          </w:p>
        </w:tc>
        <w:tc>
          <w:tcPr>
            <w:tcW w:w="60" w:type="dxa"/>
            <w:vAlign w:val="bottom"/>
            <w:gridSpan w:val="2"/>
          </w:tcPr>
          <w:p>
            <w:pPr>
              <w:spacing w:after="0"/>
              <w:rPr>
                <w:sz w:val="20"/>
                <w:szCs w:val="20"/>
                <w:color w:val="auto"/>
              </w:rPr>
            </w:pPr>
          </w:p>
        </w:tc>
      </w:tr>
      <w:tr>
        <w:trPr>
          <w:trHeight w:val="236"/>
        </w:trPr>
        <w:tc>
          <w:tcPr>
            <w:tcW w:w="4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Utah</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1,675,921</w:t>
            </w:r>
          </w:p>
        </w:tc>
        <w:tc>
          <w:tcPr>
            <w:tcW w:w="380" w:type="dxa"/>
            <w:vAlign w:val="bottom"/>
            <w:tcBorders>
              <w:top w:val="single" w:sz="8" w:color="CCEEFF"/>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0"/>
              </w:rPr>
              <w:t>(1)</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11,010,029</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6"/>
        </w:trPr>
        <w:tc>
          <w:tcPr>
            <w:tcW w:w="414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1,675,921</w:t>
            </w:r>
          </w:p>
        </w:tc>
        <w:tc>
          <w:tcPr>
            <w:tcW w:w="3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11,010,029</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4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Unimproved land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net book value of foreclosed residential real estate included in residential real estate held for sale was nil and $11,010,029 as of June 30, 2023, and December 31, 2022, respectively.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1" w:name="page22"/>
    <w:bookmarkEnd w:id="21"/>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June 30, 2023 (Unaudited)</w:t>
      </w:r>
    </w:p>
    <w:p>
      <w:pPr>
        <w:spacing w:after="0" w:line="184" w:lineRule="exact"/>
        <w:rPr>
          <w:sz w:val="20"/>
          <w:szCs w:val="20"/>
          <w:color w:val="auto"/>
        </w:rPr>
      </w:pPr>
    </w:p>
    <w:p>
      <w:pPr>
        <w:ind w:left="200" w:hanging="192"/>
        <w:spacing w:after="0"/>
        <w:tabs>
          <w:tab w:leader="none" w:pos="20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Real Estate Owned and Occupied by the Company</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primary business units of the Company occupy a portion of the real estate owned by the Company. As of June 30, 2023, real estate owned and occupied by the Company is summarized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gridSpan w:val="2"/>
          </w:tcPr>
          <w:p>
            <w:pPr>
              <w:jc w:val="center"/>
              <w:ind w:right="160"/>
              <w:spacing w:after="0"/>
              <w:rPr>
                <w:sz w:val="20"/>
                <w:szCs w:val="20"/>
                <w:color w:val="auto"/>
              </w:rPr>
            </w:pPr>
            <w:r>
              <w:rPr>
                <w:rFonts w:ascii="Arial" w:cs="Arial" w:eastAsia="Arial" w:hAnsi="Arial"/>
                <w:sz w:val="18"/>
                <w:szCs w:val="18"/>
                <w:color w:val="auto"/>
                <w:w w:val="86"/>
              </w:rPr>
              <w:t>Square Footage</w:t>
            </w:r>
          </w:p>
        </w:tc>
      </w:tr>
      <w:tr>
        <w:trPr>
          <w:trHeight w:val="216"/>
        </w:trPr>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right"/>
              <w:ind w:right="400"/>
              <w:spacing w:after="0"/>
              <w:rPr>
                <w:sz w:val="20"/>
                <w:szCs w:val="20"/>
                <w:color w:val="auto"/>
              </w:rPr>
            </w:pPr>
            <w:r>
              <w:rPr>
                <w:rFonts w:ascii="Arial" w:cs="Arial" w:eastAsia="Arial" w:hAnsi="Arial"/>
                <w:sz w:val="18"/>
                <w:szCs w:val="18"/>
                <w:color w:val="auto"/>
                <w:w w:val="96"/>
              </w:rPr>
              <w:t>Approximate Square</w:t>
            </w:r>
          </w:p>
        </w:tc>
        <w:tc>
          <w:tcPr>
            <w:tcW w:w="18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Occupied by the</w:t>
            </w:r>
          </w:p>
        </w:tc>
      </w:tr>
      <w:tr>
        <w:trPr>
          <w:trHeight w:val="237"/>
        </w:trPr>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60" w:type="dxa"/>
            <w:vAlign w:val="bottom"/>
            <w:gridSpan w:val="2"/>
          </w:tcPr>
          <w:p>
            <w:pPr>
              <w:ind w:left="1200"/>
              <w:spacing w:after="0"/>
              <w:rPr>
                <w:sz w:val="20"/>
                <w:szCs w:val="20"/>
                <w:color w:val="auto"/>
              </w:rPr>
            </w:pPr>
            <w:r>
              <w:rPr>
                <w:rFonts w:ascii="Arial" w:cs="Arial" w:eastAsia="Arial" w:hAnsi="Arial"/>
                <w:sz w:val="18"/>
                <w:szCs w:val="18"/>
                <w:color w:val="auto"/>
              </w:rPr>
              <w:t>Location</w:t>
            </w:r>
          </w:p>
        </w:tc>
        <w:tc>
          <w:tcPr>
            <w:tcW w:w="3340" w:type="dxa"/>
            <w:vAlign w:val="bottom"/>
            <w:gridSpan w:val="2"/>
          </w:tcPr>
          <w:p>
            <w:pPr>
              <w:ind w:left="900"/>
              <w:spacing w:after="0"/>
              <w:rPr>
                <w:sz w:val="20"/>
                <w:szCs w:val="20"/>
                <w:color w:val="auto"/>
              </w:rPr>
            </w:pPr>
            <w:r>
              <w:rPr>
                <w:rFonts w:ascii="Arial" w:cs="Arial" w:eastAsia="Arial" w:hAnsi="Arial"/>
                <w:sz w:val="18"/>
                <w:szCs w:val="18"/>
                <w:color w:val="auto"/>
              </w:rPr>
              <w:t>Business Segment</w:t>
            </w:r>
          </w:p>
        </w:tc>
        <w:tc>
          <w:tcPr>
            <w:tcW w:w="2000" w:type="dxa"/>
            <w:vAlign w:val="bottom"/>
            <w:gridSpan w:val="2"/>
          </w:tcPr>
          <w:p>
            <w:pPr>
              <w:jc w:val="right"/>
              <w:ind w:right="860"/>
              <w:spacing w:after="0"/>
              <w:rPr>
                <w:sz w:val="20"/>
                <w:szCs w:val="20"/>
                <w:color w:val="auto"/>
              </w:rPr>
            </w:pPr>
            <w:r>
              <w:rPr>
                <w:rFonts w:ascii="Arial" w:cs="Arial" w:eastAsia="Arial" w:hAnsi="Arial"/>
                <w:sz w:val="18"/>
                <w:szCs w:val="18"/>
                <w:color w:val="auto"/>
              </w:rPr>
              <w:t>Footage</w:t>
            </w:r>
          </w:p>
        </w:tc>
        <w:tc>
          <w:tcPr>
            <w:tcW w:w="18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Company</w:t>
            </w:r>
          </w:p>
        </w:tc>
      </w:tr>
      <w:tr>
        <w:trPr>
          <w:trHeight w:val="202"/>
        </w:trPr>
        <w:tc>
          <w:tcPr>
            <w:tcW w:w="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4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1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Corporate Offices, Life Insurance,</w:t>
            </w:r>
          </w:p>
        </w:tc>
        <w:tc>
          <w:tcPr>
            <w:tcW w:w="22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16"/>
        </w:trPr>
        <w:tc>
          <w:tcPr>
            <w:tcW w:w="300" w:type="dxa"/>
            <w:vAlign w:val="bottom"/>
            <w:shd w:val="clear" w:color="auto" w:fill="CCEEFF"/>
          </w:tcPr>
          <w:p>
            <w:pPr>
              <w:spacing w:after="0"/>
              <w:rPr>
                <w:sz w:val="20"/>
                <w:szCs w:val="20"/>
                <w:color w:val="auto"/>
              </w:rPr>
            </w:pPr>
            <w:r>
              <w:rPr>
                <w:rFonts w:ascii="Arial" w:cs="Arial" w:eastAsia="Arial" w:hAnsi="Arial"/>
                <w:sz w:val="18"/>
                <w:szCs w:val="18"/>
                <w:color w:val="auto"/>
                <w:w w:val="93"/>
              </w:rPr>
              <w:t>433</w:t>
            </w:r>
          </w:p>
        </w:tc>
        <w:tc>
          <w:tcPr>
            <w:tcW w:w="37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Ascension Way, Floors 4, 5 and 6, Salt Lake</w:t>
            </w: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Cemetery/Mortuary Operations, and</w:t>
            </w: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0"/>
        </w:trPr>
        <w:tc>
          <w:tcPr>
            <w:tcW w:w="40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City, UT - Center53 Building 2 (1)</w:t>
            </w: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Operations and Sales</w:t>
            </w: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221,000</w:t>
            </w: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r>
      <w:tr>
        <w:trPr>
          <w:trHeight w:val="216"/>
        </w:trPr>
        <w:tc>
          <w:tcPr>
            <w:tcW w:w="400" w:type="dxa"/>
            <w:vAlign w:val="bottom"/>
            <w:gridSpan w:val="2"/>
          </w:tcPr>
          <w:p>
            <w:pPr>
              <w:spacing w:after="0"/>
              <w:rPr>
                <w:sz w:val="20"/>
                <w:szCs w:val="20"/>
                <w:color w:val="auto"/>
              </w:rPr>
            </w:pPr>
            <w:r>
              <w:rPr>
                <w:rFonts w:ascii="Arial" w:cs="Arial" w:eastAsia="Arial" w:hAnsi="Arial"/>
                <w:sz w:val="18"/>
                <w:szCs w:val="18"/>
                <w:color w:val="auto"/>
                <w:w w:val="94"/>
              </w:rPr>
              <w:t>1044</w:t>
            </w:r>
          </w:p>
        </w:tc>
        <w:tc>
          <w:tcPr>
            <w:tcW w:w="3660" w:type="dxa"/>
            <w:vAlign w:val="bottom"/>
            <w:gridSpan w:val="2"/>
          </w:tcPr>
          <w:p>
            <w:pPr>
              <w:ind w:left="20"/>
              <w:spacing w:after="0"/>
              <w:rPr>
                <w:sz w:val="20"/>
                <w:szCs w:val="20"/>
                <w:color w:val="auto"/>
              </w:rPr>
            </w:pPr>
            <w:r>
              <w:rPr>
                <w:rFonts w:ascii="Arial" w:cs="Arial" w:eastAsia="Arial" w:hAnsi="Arial"/>
                <w:sz w:val="18"/>
                <w:szCs w:val="18"/>
                <w:color w:val="auto"/>
              </w:rPr>
              <w:t>River Oaks Dr., Flowood, MS (1)</w:t>
            </w:r>
          </w:p>
        </w:tc>
        <w:tc>
          <w:tcPr>
            <w:tcW w:w="3340" w:type="dxa"/>
            <w:vAlign w:val="bottom"/>
            <w:gridSpan w:val="2"/>
          </w:tcPr>
          <w:p>
            <w:pPr>
              <w:spacing w:after="0"/>
              <w:rPr>
                <w:sz w:val="20"/>
                <w:szCs w:val="20"/>
                <w:color w:val="auto"/>
              </w:rPr>
            </w:pPr>
            <w:r>
              <w:rPr>
                <w:rFonts w:ascii="Arial" w:cs="Arial" w:eastAsia="Arial" w:hAnsi="Arial"/>
                <w:sz w:val="18"/>
                <w:szCs w:val="18"/>
                <w:color w:val="auto"/>
              </w:rPr>
              <w:t>Life Insurance Operations</w:t>
            </w: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19,694</w:t>
            </w: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r>
      <w:tr>
        <w:trPr>
          <w:trHeight w:val="216"/>
        </w:trPr>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1818</w:t>
            </w:r>
          </w:p>
        </w:tc>
        <w:tc>
          <w:tcPr>
            <w:tcW w:w="3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Marshall Street, Shreveport, LA (2)</w:t>
            </w: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Life Insurance Operations</w:t>
            </w: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12,274</w:t>
            </w: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w w:val="93"/>
              </w:rPr>
              <w:t>909</w:t>
            </w:r>
          </w:p>
        </w:tc>
        <w:tc>
          <w:tcPr>
            <w:tcW w:w="3760" w:type="dxa"/>
            <w:vAlign w:val="bottom"/>
            <w:gridSpan w:val="3"/>
          </w:tcPr>
          <w:p>
            <w:pPr>
              <w:ind w:left="20"/>
              <w:spacing w:after="0"/>
              <w:rPr>
                <w:sz w:val="20"/>
                <w:szCs w:val="20"/>
                <w:color w:val="auto"/>
              </w:rPr>
            </w:pPr>
            <w:r>
              <w:rPr>
                <w:rFonts w:ascii="Arial" w:cs="Arial" w:eastAsia="Arial" w:hAnsi="Arial"/>
                <w:sz w:val="18"/>
                <w:szCs w:val="18"/>
                <w:color w:val="auto"/>
              </w:rPr>
              <w:t>Foisy Street, Alexandria, LA (2)</w:t>
            </w:r>
          </w:p>
        </w:tc>
        <w:tc>
          <w:tcPr>
            <w:tcW w:w="3340" w:type="dxa"/>
            <w:vAlign w:val="bottom"/>
            <w:gridSpan w:val="2"/>
          </w:tcPr>
          <w:p>
            <w:pPr>
              <w:spacing w:after="0"/>
              <w:rPr>
                <w:sz w:val="20"/>
                <w:szCs w:val="20"/>
                <w:color w:val="auto"/>
              </w:rPr>
            </w:pPr>
            <w:r>
              <w:rPr>
                <w:rFonts w:ascii="Arial" w:cs="Arial" w:eastAsia="Arial" w:hAnsi="Arial"/>
                <w:sz w:val="18"/>
                <w:szCs w:val="18"/>
                <w:color w:val="auto"/>
              </w:rPr>
              <w:t>Life Insurance Sales</w:t>
            </w: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8,059</w:t>
            </w: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300" w:type="dxa"/>
            <w:vAlign w:val="bottom"/>
            <w:shd w:val="clear" w:color="auto" w:fill="CCEEFF"/>
          </w:tcPr>
          <w:p>
            <w:pPr>
              <w:spacing w:after="0"/>
              <w:rPr>
                <w:sz w:val="20"/>
                <w:szCs w:val="20"/>
                <w:color w:val="auto"/>
              </w:rPr>
            </w:pPr>
            <w:r>
              <w:rPr>
                <w:rFonts w:ascii="Arial" w:cs="Arial" w:eastAsia="Arial" w:hAnsi="Arial"/>
                <w:sz w:val="18"/>
                <w:szCs w:val="18"/>
                <w:color w:val="auto"/>
                <w:w w:val="93"/>
              </w:rPr>
              <w:t>812</w:t>
            </w:r>
          </w:p>
        </w:tc>
        <w:tc>
          <w:tcPr>
            <w:tcW w:w="37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Sheppard Street, Minden, LA (2)</w:t>
            </w: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Life Insurance Sales</w:t>
            </w: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1,560</w:t>
            </w: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30"/>
        </w:trPr>
        <w:tc>
          <w:tcPr>
            <w:tcW w:w="400" w:type="dxa"/>
            <w:vAlign w:val="bottom"/>
            <w:gridSpan w:val="2"/>
          </w:tcPr>
          <w:p>
            <w:pPr>
              <w:spacing w:after="0"/>
              <w:rPr>
                <w:sz w:val="20"/>
                <w:szCs w:val="20"/>
                <w:color w:val="auto"/>
              </w:rPr>
            </w:pPr>
            <w:r>
              <w:rPr>
                <w:rFonts w:ascii="Arial" w:cs="Arial" w:eastAsia="Arial" w:hAnsi="Arial"/>
                <w:sz w:val="18"/>
                <w:szCs w:val="18"/>
                <w:color w:val="auto"/>
                <w:w w:val="94"/>
              </w:rPr>
              <w:t>1550</w:t>
            </w:r>
          </w:p>
        </w:tc>
        <w:tc>
          <w:tcPr>
            <w:tcW w:w="3660" w:type="dxa"/>
            <w:vAlign w:val="bottom"/>
            <w:gridSpan w:val="2"/>
          </w:tcPr>
          <w:p>
            <w:pPr>
              <w:ind w:left="20"/>
              <w:spacing w:after="0"/>
              <w:rPr>
                <w:sz w:val="20"/>
                <w:szCs w:val="20"/>
                <w:color w:val="auto"/>
              </w:rPr>
            </w:pPr>
            <w:r>
              <w:rPr>
                <w:rFonts w:ascii="Arial" w:cs="Arial" w:eastAsia="Arial" w:hAnsi="Arial"/>
                <w:sz w:val="18"/>
                <w:szCs w:val="18"/>
                <w:color w:val="auto"/>
              </w:rPr>
              <w:t>N 3rd Street, Jena, LA (2)</w:t>
            </w:r>
          </w:p>
        </w:tc>
        <w:tc>
          <w:tcPr>
            <w:tcW w:w="3340" w:type="dxa"/>
            <w:vAlign w:val="bottom"/>
            <w:gridSpan w:val="2"/>
          </w:tcPr>
          <w:p>
            <w:pPr>
              <w:spacing w:after="0"/>
              <w:rPr>
                <w:sz w:val="20"/>
                <w:szCs w:val="20"/>
                <w:color w:val="auto"/>
              </w:rPr>
            </w:pPr>
            <w:r>
              <w:rPr>
                <w:rFonts w:ascii="Arial" w:cs="Arial" w:eastAsia="Arial" w:hAnsi="Arial"/>
                <w:sz w:val="18"/>
                <w:szCs w:val="18"/>
                <w:color w:val="auto"/>
              </w:rPr>
              <w:t>Life Insurance Sales</w:t>
            </w: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1,737</w:t>
            </w: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78308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8"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Included in real estate held for investment on the condensed consolidated balance sheets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Included in property and equipment on the condensed consolidated balance sheets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Loans Held for Investment</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Mortgage loans held for investment consist of first and second mortgages. The mortgage loans bear interest at rates ranging from 2.0% to 10.5%, maturity dates range from nine months to 30 years and the loans are secured by real estate.</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Concentrations of credit risk arise when a number of mortgage loan debtors have similar economic characteristics that would cause their ability to meet contractual obligations to be similarly affected by changes in economic conditions. Although the Company has a diversified mortgage loan portfolio consisting of residential mortgages, commercial loans and residential construction loans and requires collateral on all real estate exposures, a substantial portion of the relevant debtors’ ability to honor obligations is dependent upon the economic stability of the geographic region in which the debtors do business or are employed. As of June 30, 2023, the Company had 54%, 10%, 8%, 6% and 5%, of its mortgage loans from borrowers located in the states of Utah, Florida, California, Arizona, and Texas, respectively. As of December 31, 2022, the Company had 64%, 10%, 5% and 5% of its mortgage loans from borrowers located in the states of Utah, Florida, California, and Texas, respectively.</w:t>
      </w:r>
    </w:p>
    <w:p>
      <w:pPr>
        <w:spacing w:after="0" w:line="17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Mortgage loans held for investment are carried at their unpaid principal balances adjusted for net deferred fees, charge-offs, premiums, discounts, and the related allowance for credit losses. Interest income is included in net investment income on the condensed consolidated statements of earnings and is recognized when earned. The Company defers related material loan origination fees, net of related direct loan origination costs, and amortizes the net fees over the terms of the loans. Origination fees are included in net investment income on the condensed consolidated statements of earnings.</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Mortgage loans are secured by the underlying property and require an appraisal at the time of underwriting and funding. Generally, the Company requires that loans not exceed 80% of the fair market value of the respective loan collateral. For loans in excess of 80% of the fair market value of the respective loan collateral, additional collateral or mortgage insurance by an approved third-party insurer is required.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2" w:name="page23"/>
    <w:bookmarkEnd w:id="22"/>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June 30, 2023 (Unaudited)</w:t>
      </w:r>
    </w:p>
    <w:p>
      <w:pPr>
        <w:spacing w:after="0" w:line="184" w:lineRule="exact"/>
        <w:rPr>
          <w:sz w:val="20"/>
          <w:szCs w:val="20"/>
          <w:color w:val="auto"/>
        </w:rPr>
      </w:pPr>
    </w:p>
    <w:p>
      <w:pPr>
        <w:ind w:left="200" w:hanging="192"/>
        <w:spacing w:after="0"/>
        <w:tabs>
          <w:tab w:leader="none" w:pos="20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Allowance for Credit Losses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Note 2 regarding the adoption of ASU 2016-13.</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allowance for credit losses is a valuation account that is deducted from the amortized cost basis of the Company’s mortgage loans held for investment to present the net amount expected to be collected. The Company reports in net earnings, as a credit loss expense, the amount necessary to adjust the allowance for credit losses for the Company’s current estimate of expected credit losses on mortgage loans held for investment. This credit loss expense is included in other expenses on the condensed consolidated statements of earnings.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Once a mortgage loan is past due 90 days, it is the policy of the Company to end the accrual of interest income on the loan and reverse any interest income that had been accrued. Given this policy, the Company does not measure a credit loss allowance on accrued interest receivable. Accrued interest receivable is included in accrued investment income on the condensed consolidated balance sheets. Payments received for mortgage loans on a non-accrual status are recognized when received. The interest income recognized from payments received for mortgage loans on a non-accrual status was immaterial. Accrual of interest resumes if a mortgage loan is brought current. Interest not accrued on these loans totaled approximately $145,000 and $226,000 as of June 30, 2023, and December 31, 2022, respectively.</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measures expected credit losses based on the fair value of the collateral when the Company determines that foreclosure is probable. When a mortgage loan becomes delinquent, the Company proceeds to foreclose and all expenses for foreclosure are expensed as incurred. Once foreclosed, the property is classified as real estate held for investment or held for sale.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purposes of determining the allowance for credit losses, the Company has segmented its mortgage loans held for investment by loan type. The Company’s loan types are commercial, residential, and residential construction. The inherent risks within the portfolio vary depending upon the loan type as follows: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Commercial</w:t>
      </w:r>
      <w:r>
        <w:rPr>
          <w:rFonts w:ascii="Arial" w:cs="Arial" w:eastAsia="Arial" w:hAnsi="Arial"/>
          <w:sz w:val="18"/>
          <w:szCs w:val="18"/>
          <w:color w:val="auto"/>
        </w:rPr>
        <w:t xml:space="preserve"> - Underwritten in accordance with the Company’s policies to determine the borrower’s ability to repay the obligation as agreed. Commercial loans are made primarily based on the underlying collateral supporting the loan. Accordingly, the repayment of a commercial loan depends primarily on the collateral and its ability to generate income and secondarily on the borrower’s (or guarantors) ability to repay.</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Commercial loans are evaluated for credit loss by analyzing loan attributes that are predictors for future credit losses. The Company uses a combination of the debt service coverage ratio (“DSCR”) and loan to value (“LTV”) to group similar loans. The Company applies a future loss factor to the outstanding balance of each group to arrive at the allowance for credit loss.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Residential</w:t>
      </w:r>
      <w:r>
        <w:rPr>
          <w:rFonts w:ascii="Arial" w:cs="Arial" w:eastAsia="Arial" w:hAnsi="Arial"/>
          <w:sz w:val="18"/>
          <w:szCs w:val="18"/>
          <w:color w:val="auto"/>
        </w:rPr>
        <w:t xml:space="preserve"> — These loans are secured by first and second mortgages on single family dwellings. The borrower’s ability to repay is sensitive to the life events and the general economic condition of the region. Where loan to value exceeds 80%, the loan is generally guaranteed by private mortgage insurance, the FHA, or VA.</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uses a third-party to provide a monthly analysis of its residential portfolio for credit losses. The third-party uses the Company’s current loan data and runs it through various models to project cash flows and provide a projected life of loan loss. The models consider loan features such as loan type, loan to value, payment status, age, and current property values. The Company also considers historical delinquency rates and current unemployment trends.</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Residential construction (including land acquisition and development)</w:t>
      </w:r>
      <w:r>
        <w:rPr>
          <w:rFonts w:ascii="Arial" w:cs="Arial" w:eastAsia="Arial" w:hAnsi="Arial"/>
          <w:sz w:val="18"/>
          <w:szCs w:val="18"/>
          <w:color w:val="auto"/>
        </w:rPr>
        <w:t xml:space="preserve"> – These loans are underwritten in accordance with the Company’s underwriting policies, which include a financial analysis of the builders, borrowers (guarantors), construction cost estimates, and independent appraisal valuations, and factor in estimates of the value of construction projects upon completion. Construction loans generally involve the disbursement of substantial funds over a short period of time with repayment substantially dependent upon the success of the completed project and the ability of the borrower to secure long-term financing.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3" w:name="page24"/>
    <w:bookmarkEnd w:id="23"/>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June 30, 2023 (Unaudited)</w:t>
      </w:r>
    </w:p>
    <w:p>
      <w:pPr>
        <w:spacing w:after="0" w:line="184" w:lineRule="exact"/>
        <w:rPr>
          <w:sz w:val="20"/>
          <w:szCs w:val="20"/>
          <w:color w:val="auto"/>
        </w:rPr>
      </w:pPr>
    </w:p>
    <w:p>
      <w:pPr>
        <w:ind w:left="200" w:hanging="192"/>
        <w:spacing w:after="0"/>
        <w:tabs>
          <w:tab w:leader="none" w:pos="20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xml:space="preserve"> (Continued)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land acquisition and development loans are underwritten in accordance with the Company’s underwriting policies, which include independent appraisal valuations as well as the estimated value associated with the land upon completion of development into finished lots. These loans are considered to be of a higher risk than other mortgage loans due to their ultimate repayment being sensitive to general economic conditions, availability of long-term or construction financing, and interest rate sensitivity.</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determine the allowance for credit losses on residential construction mortgage loans, the Company considers historical activity and housing market trends. Given the continued volatility in the housing market, the Company has adjusted its credit loss analysis.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roll forward of the allowance for credit losses as of the dates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640"/>
              <w:spacing w:after="0"/>
              <w:rPr>
                <w:sz w:val="20"/>
                <w:szCs w:val="20"/>
                <w:color w:val="auto"/>
              </w:rPr>
            </w:pPr>
            <w:r>
              <w:rPr>
                <w:rFonts w:ascii="Arial" w:cs="Arial" w:eastAsia="Arial" w:hAnsi="Arial"/>
                <w:sz w:val="18"/>
                <w:szCs w:val="18"/>
                <w:color w:val="auto"/>
              </w:rPr>
              <w:t>Residential</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7"/>
        </w:trPr>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ind w:left="100"/>
              <w:spacing w:after="0"/>
              <w:rPr>
                <w:sz w:val="20"/>
                <w:szCs w:val="20"/>
                <w:color w:val="auto"/>
              </w:rPr>
            </w:pPr>
            <w:r>
              <w:rPr>
                <w:rFonts w:ascii="Arial" w:cs="Arial" w:eastAsia="Arial" w:hAnsi="Arial"/>
                <w:sz w:val="18"/>
                <w:szCs w:val="18"/>
                <w:color w:val="auto"/>
              </w:rPr>
              <w:t>Commercial</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Residential</w:t>
            </w:r>
          </w:p>
        </w:tc>
        <w:tc>
          <w:tcPr>
            <w:tcW w:w="160" w:type="dxa"/>
            <w:vAlign w:val="bottom"/>
          </w:tcPr>
          <w:p>
            <w:pPr>
              <w:spacing w:after="0"/>
              <w:rPr>
                <w:sz w:val="20"/>
                <w:szCs w:val="20"/>
                <w:color w:val="auto"/>
              </w:rPr>
            </w:pPr>
          </w:p>
        </w:tc>
        <w:tc>
          <w:tcPr>
            <w:tcW w:w="1600" w:type="dxa"/>
            <w:vAlign w:val="bottom"/>
            <w:gridSpan w:val="2"/>
          </w:tcPr>
          <w:p>
            <w:pPr>
              <w:jc w:val="right"/>
              <w:ind w:right="580"/>
              <w:spacing w:after="0"/>
              <w:rPr>
                <w:sz w:val="20"/>
                <w:szCs w:val="20"/>
                <w:color w:val="auto"/>
              </w:rPr>
            </w:pPr>
            <w:r>
              <w:rPr>
                <w:rFonts w:ascii="Arial" w:cs="Arial" w:eastAsia="Arial" w:hAnsi="Arial"/>
                <w:sz w:val="18"/>
                <w:szCs w:val="18"/>
                <w:color w:val="auto"/>
                <w:w w:val="98"/>
              </w:rPr>
              <w:t>Construction</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3"/>
          </w:tcPr>
          <w:p>
            <w:pPr>
              <w:jc w:val="right"/>
              <w:ind w:right="760"/>
              <w:spacing w:after="0"/>
              <w:rPr>
                <w:sz w:val="20"/>
                <w:szCs w:val="20"/>
                <w:color w:val="auto"/>
              </w:rPr>
            </w:pPr>
            <w:r>
              <w:rPr>
                <w:rFonts w:ascii="Arial" w:cs="Arial" w:eastAsia="Arial" w:hAnsi="Arial"/>
                <w:sz w:val="18"/>
                <w:szCs w:val="18"/>
                <w:color w:val="auto"/>
              </w:rPr>
              <w:t>Total</w:t>
            </w:r>
          </w:p>
        </w:tc>
      </w:tr>
      <w:tr>
        <w:trPr>
          <w:trHeight w:val="196"/>
        </w:trPr>
        <w:tc>
          <w:tcPr>
            <w:tcW w:w="1020" w:type="dxa"/>
            <w:vAlign w:val="bottom"/>
            <w:tcBorders>
              <w:top w:val="single" w:sz="8" w:color="CCEEFF"/>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7"/>
              </w:rPr>
              <w:t>June 30, 2023</w:t>
            </w:r>
          </w:p>
        </w:tc>
        <w:tc>
          <w:tcPr>
            <w:tcW w:w="326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spacing w:after="0"/>
              <w:rPr>
                <w:sz w:val="17"/>
                <w:szCs w:val="17"/>
                <w:color w:val="auto"/>
              </w:rPr>
            </w:pPr>
          </w:p>
        </w:tc>
        <w:tc>
          <w:tcPr>
            <w:tcW w:w="1260" w:type="dxa"/>
            <w:vAlign w:val="bottom"/>
            <w:tcBorders>
              <w:top w:val="single" w:sz="8" w:color="auto"/>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CCEEFF"/>
            </w:tcBorders>
            <w:shd w:val="clear" w:color="auto" w:fill="CCEEFF"/>
          </w:tcPr>
          <w:p>
            <w:pPr>
              <w:spacing w:after="0"/>
              <w:rPr>
                <w:sz w:val="17"/>
                <w:szCs w:val="17"/>
                <w:color w:val="auto"/>
              </w:rPr>
            </w:pPr>
          </w:p>
        </w:tc>
        <w:tc>
          <w:tcPr>
            <w:tcW w:w="1240" w:type="dxa"/>
            <w:vAlign w:val="bottom"/>
            <w:tcBorders>
              <w:top w:val="single" w:sz="8" w:color="auto"/>
              <w:bottom w:val="single" w:sz="8" w:color="CCEEFF"/>
            </w:tcBorders>
            <w:shd w:val="clear" w:color="auto" w:fill="CCEEFF"/>
          </w:tcPr>
          <w:p>
            <w:pPr>
              <w:spacing w:after="0"/>
              <w:rPr>
                <w:sz w:val="17"/>
                <w:szCs w:val="17"/>
                <w:color w:val="auto"/>
              </w:rPr>
            </w:pP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spacing w:after="0"/>
              <w:rPr>
                <w:sz w:val="17"/>
                <w:szCs w:val="17"/>
                <w:color w:val="auto"/>
              </w:rPr>
            </w:pPr>
          </w:p>
        </w:tc>
        <w:tc>
          <w:tcPr>
            <w:tcW w:w="1280" w:type="dxa"/>
            <w:vAlign w:val="bottom"/>
            <w:tcBorders>
              <w:top w:val="single" w:sz="8" w:color="auto"/>
              <w:bottom w:val="single" w:sz="8" w:color="CCEEFF"/>
            </w:tcBorders>
            <w:shd w:val="clear" w:color="auto" w:fill="CCEEFF"/>
          </w:tcPr>
          <w:p>
            <w:pPr>
              <w:spacing w:after="0"/>
              <w:rPr>
                <w:sz w:val="17"/>
                <w:szCs w:val="17"/>
                <w:color w:val="auto"/>
              </w:rPr>
            </w:pP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16"/>
        </w:trPr>
        <w:tc>
          <w:tcPr>
            <w:tcW w:w="4280" w:type="dxa"/>
            <w:vAlign w:val="bottom"/>
            <w:gridSpan w:val="3"/>
          </w:tcPr>
          <w:p>
            <w:pPr>
              <w:spacing w:after="0"/>
              <w:rPr>
                <w:sz w:val="20"/>
                <w:szCs w:val="20"/>
                <w:color w:val="auto"/>
              </w:rPr>
            </w:pPr>
            <w:r>
              <w:rPr>
                <w:rFonts w:ascii="Arial" w:cs="Arial" w:eastAsia="Arial" w:hAnsi="Arial"/>
                <w:sz w:val="18"/>
                <w:szCs w:val="18"/>
                <w:color w:val="auto"/>
              </w:rPr>
              <w:t>Allowance for credit losses:</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Beginning balance - January 1, 2023</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187,129</w:t>
            </w:r>
          </w:p>
        </w:tc>
        <w:tc>
          <w:tcPr>
            <w:tcW w:w="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1,739,980</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43,202</w:t>
            </w:r>
          </w:p>
        </w:tc>
        <w:tc>
          <w:tcPr>
            <w:tcW w:w="320" w:type="dxa"/>
            <w:vAlign w:val="bottom"/>
            <w:gridSpan w:val="2"/>
            <w:shd w:val="clear" w:color="auto" w:fill="CCEEFF"/>
          </w:tcPr>
          <w:p>
            <w:pPr>
              <w:jc w:val="right"/>
              <w:ind w:right="189"/>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1,970,311</w:t>
            </w:r>
          </w:p>
        </w:tc>
        <w:tc>
          <w:tcPr>
            <w:tcW w:w="200" w:type="dxa"/>
            <w:vAlign w:val="bottom"/>
            <w:shd w:val="clear" w:color="auto" w:fill="CCEEFF"/>
          </w:tcPr>
          <w:p>
            <w:pPr>
              <w:spacing w:after="0"/>
              <w:rPr>
                <w:sz w:val="18"/>
                <w:szCs w:val="18"/>
                <w:color w:val="auto"/>
              </w:rPr>
            </w:pPr>
          </w:p>
        </w:tc>
      </w:tr>
      <w:tr>
        <w:trPr>
          <w:trHeight w:val="202"/>
        </w:trPr>
        <w:tc>
          <w:tcPr>
            <w:tcW w:w="4280" w:type="dxa"/>
            <w:vAlign w:val="bottom"/>
            <w:gridSpan w:val="3"/>
          </w:tcPr>
          <w:p>
            <w:pPr>
              <w:ind w:left="180"/>
              <w:spacing w:after="0" w:line="201" w:lineRule="exact"/>
              <w:rPr>
                <w:sz w:val="20"/>
                <w:szCs w:val="20"/>
                <w:color w:val="auto"/>
              </w:rPr>
            </w:pPr>
            <w:r>
              <w:rPr>
                <w:rFonts w:ascii="Arial" w:cs="Arial" w:eastAsia="Arial" w:hAnsi="Arial"/>
                <w:sz w:val="18"/>
                <w:szCs w:val="18"/>
                <w:color w:val="auto"/>
              </w:rPr>
              <w:t>Cumulative effect adjustment upon adoption of</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4280" w:type="dxa"/>
            <w:vAlign w:val="bottom"/>
            <w:gridSpan w:val="3"/>
          </w:tcPr>
          <w:p>
            <w:pPr>
              <w:ind w:left="180"/>
              <w:spacing w:after="0"/>
              <w:rPr>
                <w:sz w:val="20"/>
                <w:szCs w:val="20"/>
                <w:color w:val="auto"/>
              </w:rPr>
            </w:pPr>
            <w:r>
              <w:rPr>
                <w:rFonts w:ascii="Arial" w:cs="Arial" w:eastAsia="Arial" w:hAnsi="Arial"/>
                <w:sz w:val="18"/>
                <w:szCs w:val="18"/>
                <w:color w:val="auto"/>
              </w:rPr>
              <w:t>new accounting standard (ASU 2016-13)</w:t>
            </w:r>
          </w:p>
        </w:tc>
        <w:tc>
          <w:tcPr>
            <w:tcW w:w="180" w:type="dxa"/>
            <w:vAlign w:val="bottom"/>
          </w:tcPr>
          <w:p>
            <w:pPr>
              <w:spacing w:after="0"/>
              <w:rPr>
                <w:sz w:val="20"/>
                <w:szCs w:val="20"/>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555,807</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(192,607)</w:t>
            </w:r>
          </w:p>
        </w:tc>
        <w:tc>
          <w:tcPr>
            <w:tcW w:w="160" w:type="dxa"/>
            <w:vAlign w:val="bottom"/>
          </w:tcPr>
          <w:p>
            <w:pPr>
              <w:spacing w:after="0"/>
              <w:rPr>
                <w:sz w:val="20"/>
                <w:szCs w:val="20"/>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301,830</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665,030(1)</w:t>
            </w:r>
          </w:p>
        </w:tc>
      </w:tr>
      <w:tr>
        <w:trPr>
          <w:trHeight w:val="216"/>
        </w:trPr>
        <w:tc>
          <w:tcPr>
            <w:tcW w:w="4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Change in provision for credit losses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88,119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42,487</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(102,387)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28,219(2)</w:t>
            </w:r>
          </w:p>
        </w:tc>
      </w:tr>
      <w:tr>
        <w:trPr>
          <w:trHeight w:val="237"/>
        </w:trPr>
        <w:tc>
          <w:tcPr>
            <w:tcW w:w="4280" w:type="dxa"/>
            <w:vAlign w:val="bottom"/>
            <w:gridSpan w:val="3"/>
          </w:tcPr>
          <w:p>
            <w:pPr>
              <w:ind w:left="180"/>
              <w:spacing w:after="0"/>
              <w:rPr>
                <w:sz w:val="20"/>
                <w:szCs w:val="20"/>
                <w:color w:val="auto"/>
              </w:rPr>
            </w:pPr>
            <w:r>
              <w:rPr>
                <w:rFonts w:ascii="Arial" w:cs="Arial" w:eastAsia="Arial" w:hAnsi="Arial"/>
                <w:sz w:val="18"/>
                <w:szCs w:val="18"/>
                <w:color w:val="auto"/>
              </w:rPr>
              <w:t>Charge-offs</w:t>
            </w:r>
          </w:p>
        </w:tc>
        <w:tc>
          <w:tcPr>
            <w:tcW w:w="180" w:type="dxa"/>
            <w:vAlign w:val="bottom"/>
          </w:tcPr>
          <w:p>
            <w:pPr>
              <w:spacing w:after="0"/>
              <w:rPr>
                <w:sz w:val="20"/>
                <w:szCs w:val="20"/>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r>
      <w:tr>
        <w:trPr>
          <w:trHeight w:val="229"/>
        </w:trPr>
        <w:tc>
          <w:tcPr>
            <w:tcW w:w="42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Ending balance - June 30, 2023</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831,055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1,589,860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242,645</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2,663,560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7"/>
        </w:trPr>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75"/>
        </w:trPr>
        <w:tc>
          <w:tcPr>
            <w:tcW w:w="42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December 31, 2022</w:t>
            </w: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20"/>
        </w:trPr>
        <w:tc>
          <w:tcPr>
            <w:tcW w:w="102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4280" w:type="dxa"/>
            <w:vAlign w:val="bottom"/>
            <w:gridSpan w:val="3"/>
          </w:tcPr>
          <w:p>
            <w:pPr>
              <w:spacing w:after="0"/>
              <w:rPr>
                <w:sz w:val="20"/>
                <w:szCs w:val="20"/>
                <w:color w:val="auto"/>
              </w:rPr>
            </w:pPr>
            <w:r>
              <w:rPr>
                <w:rFonts w:ascii="Arial" w:cs="Arial" w:eastAsia="Arial" w:hAnsi="Arial"/>
                <w:sz w:val="18"/>
                <w:szCs w:val="18"/>
                <w:color w:val="auto"/>
              </w:rPr>
              <w:t>Allowance for credit losses:</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Beginning balance - January 1, 2022</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187,129</w:t>
            </w:r>
          </w:p>
        </w:tc>
        <w:tc>
          <w:tcPr>
            <w:tcW w:w="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1,469,571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43,202</w:t>
            </w:r>
          </w:p>
        </w:tc>
        <w:tc>
          <w:tcPr>
            <w:tcW w:w="320" w:type="dxa"/>
            <w:vAlign w:val="bottom"/>
            <w:gridSpan w:val="2"/>
            <w:shd w:val="clear" w:color="auto" w:fill="CCEEFF"/>
          </w:tcPr>
          <w:p>
            <w:pPr>
              <w:jc w:val="right"/>
              <w:ind w:right="189"/>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1,699,902</w:t>
            </w:r>
          </w:p>
        </w:tc>
        <w:tc>
          <w:tcPr>
            <w:tcW w:w="200" w:type="dxa"/>
            <w:vAlign w:val="bottom"/>
            <w:shd w:val="clear" w:color="auto" w:fill="CCEEFF"/>
          </w:tcPr>
          <w:p>
            <w:pPr>
              <w:spacing w:after="0"/>
              <w:rPr>
                <w:sz w:val="18"/>
                <w:szCs w:val="18"/>
                <w:color w:val="auto"/>
              </w:rPr>
            </w:pPr>
          </w:p>
        </w:tc>
      </w:tr>
      <w:tr>
        <w:trPr>
          <w:trHeight w:val="216"/>
        </w:trPr>
        <w:tc>
          <w:tcPr>
            <w:tcW w:w="4280" w:type="dxa"/>
            <w:vAlign w:val="bottom"/>
            <w:gridSpan w:val="3"/>
          </w:tcPr>
          <w:p>
            <w:pPr>
              <w:ind w:left="180"/>
              <w:spacing w:after="0"/>
              <w:rPr>
                <w:sz w:val="20"/>
                <w:szCs w:val="20"/>
                <w:color w:val="auto"/>
              </w:rPr>
            </w:pPr>
            <w:r>
              <w:rPr>
                <w:rFonts w:ascii="Arial" w:cs="Arial" w:eastAsia="Arial" w:hAnsi="Arial"/>
                <w:sz w:val="18"/>
                <w:szCs w:val="18"/>
                <w:color w:val="auto"/>
              </w:rPr>
              <w:t>Change in provision for credit losses</w:t>
            </w:r>
          </w:p>
        </w:tc>
        <w:tc>
          <w:tcPr>
            <w:tcW w:w="18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270,409</w:t>
            </w:r>
          </w:p>
        </w:tc>
        <w:tc>
          <w:tcPr>
            <w:tcW w:w="16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270,409(2)</w:t>
            </w:r>
          </w:p>
        </w:tc>
      </w:tr>
      <w:tr>
        <w:trPr>
          <w:trHeight w:val="250"/>
        </w:trPr>
        <w:tc>
          <w:tcPr>
            <w:tcW w:w="4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Charge-offs</w:t>
            </w:r>
          </w:p>
        </w:tc>
        <w:tc>
          <w:tcPr>
            <w:tcW w:w="18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r>
      <w:tr>
        <w:trPr>
          <w:trHeight w:val="216"/>
        </w:trPr>
        <w:tc>
          <w:tcPr>
            <w:tcW w:w="4280" w:type="dxa"/>
            <w:vAlign w:val="bottom"/>
            <w:tcBorders>
              <w:top w:val="single" w:sz="8" w:color="CCEEFF"/>
            </w:tcBorders>
            <w:gridSpan w:val="3"/>
          </w:tcPr>
          <w:p>
            <w:pPr>
              <w:spacing w:after="0"/>
              <w:rPr>
                <w:sz w:val="20"/>
                <w:szCs w:val="20"/>
                <w:color w:val="auto"/>
              </w:rPr>
            </w:pPr>
            <w:r>
              <w:rPr>
                <w:rFonts w:ascii="Arial" w:cs="Arial" w:eastAsia="Arial" w:hAnsi="Arial"/>
                <w:sz w:val="18"/>
                <w:szCs w:val="18"/>
                <w:color w:val="auto"/>
              </w:rPr>
              <w:t>Ending balance - December 31, 2022</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187,129</w:t>
            </w: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1,739,980</w:t>
            </w: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43,202</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1,970,311</w:t>
            </w:r>
          </w:p>
        </w:tc>
        <w:tc>
          <w:tcPr>
            <w:tcW w:w="20" w:type="dxa"/>
            <w:vAlign w:val="bottom"/>
            <w:tcBorders>
              <w:top w:val="single" w:sz="8" w:color="CCEEFF"/>
              <w:bottom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r>
      <w:tr>
        <w:trPr>
          <w:trHeight w:val="20"/>
        </w:trPr>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See Note 2 of the notes to the condensed consolidated financial statements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Included in other expenses on the condensed consolidated statements of earnings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4" w:name="page25"/>
    <w:bookmarkEnd w:id="24"/>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June 30, 2023 (Unaudited)</w:t>
      </w:r>
    </w:p>
    <w:p>
      <w:pPr>
        <w:spacing w:after="0" w:line="184" w:lineRule="exact"/>
        <w:rPr>
          <w:sz w:val="20"/>
          <w:szCs w:val="20"/>
          <w:color w:val="auto"/>
        </w:rPr>
      </w:pPr>
    </w:p>
    <w:p>
      <w:pPr>
        <w:ind w:left="200" w:hanging="192"/>
        <w:spacing w:after="0"/>
        <w:tabs>
          <w:tab w:leader="none" w:pos="20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aging of mortgage loans held for investment by loan type as of the dates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Residential</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right"/>
              <w:ind w:right="640"/>
              <w:spacing w:after="0"/>
              <w:rPr>
                <w:sz w:val="20"/>
                <w:szCs w:val="20"/>
                <w:color w:val="auto"/>
              </w:rPr>
            </w:pPr>
            <w:r>
              <w:rPr>
                <w:rFonts w:ascii="Arial" w:cs="Arial" w:eastAsia="Arial" w:hAnsi="Arial"/>
                <w:sz w:val="18"/>
                <w:szCs w:val="18"/>
                <w:color w:val="auto"/>
                <w:w w:val="99"/>
              </w:rPr>
              <w:t>Commercial</w:t>
            </w:r>
          </w:p>
        </w:tc>
        <w:tc>
          <w:tcPr>
            <w:tcW w:w="220" w:type="dxa"/>
            <w:vAlign w:val="bottom"/>
          </w:tcPr>
          <w:p>
            <w:pPr>
              <w:spacing w:after="0"/>
              <w:rPr>
                <w:sz w:val="20"/>
                <w:szCs w:val="20"/>
                <w:color w:val="auto"/>
              </w:rPr>
            </w:pPr>
          </w:p>
        </w:tc>
        <w:tc>
          <w:tcPr>
            <w:tcW w:w="1600" w:type="dxa"/>
            <w:vAlign w:val="bottom"/>
            <w:gridSpan w:val="2"/>
          </w:tcPr>
          <w:p>
            <w:pPr>
              <w:jc w:val="right"/>
              <w:ind w:right="660"/>
              <w:spacing w:after="0"/>
              <w:rPr>
                <w:sz w:val="20"/>
                <w:szCs w:val="20"/>
                <w:color w:val="auto"/>
              </w:rPr>
            </w:pPr>
            <w:r>
              <w:rPr>
                <w:rFonts w:ascii="Arial" w:cs="Arial" w:eastAsia="Arial" w:hAnsi="Arial"/>
                <w:sz w:val="18"/>
                <w:szCs w:val="18"/>
                <w:color w:val="auto"/>
              </w:rPr>
              <w:t>Residential</w:t>
            </w:r>
          </w:p>
        </w:tc>
        <w:tc>
          <w:tcPr>
            <w:tcW w:w="180" w:type="dxa"/>
            <w:vAlign w:val="bottom"/>
          </w:tcPr>
          <w:p>
            <w:pPr>
              <w:spacing w:after="0"/>
              <w:rPr>
                <w:sz w:val="20"/>
                <w:szCs w:val="20"/>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w w:val="96"/>
              </w:rPr>
              <w:t>Construction</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Total</w:t>
            </w:r>
          </w:p>
        </w:tc>
      </w:tr>
      <w:tr>
        <w:trPr>
          <w:trHeight w:val="196"/>
        </w:trPr>
        <w:tc>
          <w:tcPr>
            <w:tcW w:w="1020" w:type="dxa"/>
            <w:vAlign w:val="bottom"/>
            <w:tcBorders>
              <w:top w:val="single" w:sz="8" w:color="CCEEFF"/>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7"/>
              </w:rPr>
              <w:t>June 30, 2023</w:t>
            </w:r>
          </w:p>
        </w:tc>
        <w:tc>
          <w:tcPr>
            <w:tcW w:w="250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7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CCEEFF"/>
            </w:tcBorders>
            <w:shd w:val="clear" w:color="auto" w:fill="CCEEFF"/>
          </w:tcPr>
          <w:p>
            <w:pPr>
              <w:spacing w:after="0"/>
              <w:rPr>
                <w:sz w:val="17"/>
                <w:szCs w:val="17"/>
                <w:color w:val="auto"/>
              </w:rPr>
            </w:pPr>
          </w:p>
        </w:tc>
        <w:tc>
          <w:tcPr>
            <w:tcW w:w="1280" w:type="dxa"/>
            <w:vAlign w:val="bottom"/>
            <w:tcBorders>
              <w:top w:val="single" w:sz="8" w:color="auto"/>
              <w:bottom w:val="single" w:sz="8" w:color="CCEEFF"/>
            </w:tcBorders>
            <w:shd w:val="clear" w:color="auto" w:fill="CCEEFF"/>
          </w:tcPr>
          <w:p>
            <w:pPr>
              <w:spacing w:after="0"/>
              <w:rPr>
                <w:sz w:val="17"/>
                <w:szCs w:val="17"/>
                <w:color w:val="auto"/>
              </w:rPr>
            </w:pP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CCEEFF"/>
            </w:tcBorders>
            <w:shd w:val="clear" w:color="auto" w:fill="CCEEFF"/>
          </w:tcPr>
          <w:p>
            <w:pPr>
              <w:spacing w:after="0"/>
              <w:rPr>
                <w:sz w:val="17"/>
                <w:szCs w:val="17"/>
                <w:color w:val="auto"/>
              </w:rPr>
            </w:pPr>
          </w:p>
        </w:tc>
        <w:tc>
          <w:tcPr>
            <w:tcW w:w="1260" w:type="dxa"/>
            <w:vAlign w:val="bottom"/>
            <w:tcBorders>
              <w:top w:val="single" w:sz="8" w:color="auto"/>
              <w:bottom w:val="single" w:sz="8" w:color="CCEEFF"/>
            </w:tcBorders>
            <w:shd w:val="clear" w:color="auto" w:fill="CCEEFF"/>
          </w:tcPr>
          <w:p>
            <w:pPr>
              <w:spacing w:after="0"/>
              <w:rPr>
                <w:sz w:val="17"/>
                <w:szCs w:val="17"/>
                <w:color w:val="auto"/>
              </w:rPr>
            </w:pP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spacing w:after="0"/>
              <w:rPr>
                <w:sz w:val="17"/>
                <w:szCs w:val="17"/>
                <w:color w:val="auto"/>
              </w:rPr>
            </w:pPr>
          </w:p>
        </w:tc>
        <w:tc>
          <w:tcPr>
            <w:tcW w:w="1260" w:type="dxa"/>
            <w:vAlign w:val="bottom"/>
            <w:tcBorders>
              <w:top w:val="single" w:sz="8" w:color="auto"/>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16"/>
        </w:trPr>
        <w:tc>
          <w:tcPr>
            <w:tcW w:w="3520" w:type="dxa"/>
            <w:vAlign w:val="bottom"/>
            <w:gridSpan w:val="3"/>
          </w:tcPr>
          <w:p>
            <w:pPr>
              <w:ind w:left="180"/>
              <w:spacing w:after="0"/>
              <w:rPr>
                <w:sz w:val="20"/>
                <w:szCs w:val="20"/>
                <w:color w:val="auto"/>
              </w:rPr>
            </w:pPr>
            <w:r>
              <w:rPr>
                <w:rFonts w:ascii="Arial" w:cs="Arial" w:eastAsia="Arial" w:hAnsi="Arial"/>
                <w:sz w:val="18"/>
                <w:szCs w:val="18"/>
                <w:color w:val="auto"/>
              </w:rPr>
              <w:t>30-59 days past due</w:t>
            </w:r>
          </w:p>
        </w:tc>
        <w:tc>
          <w:tcPr>
            <w:tcW w:w="9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5,960,468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7,202,883</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2,383,665</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15,547,016</w:t>
            </w:r>
          </w:p>
        </w:tc>
      </w:tr>
      <w:tr>
        <w:trPr>
          <w:trHeight w:val="216"/>
        </w:trPr>
        <w:tc>
          <w:tcPr>
            <w:tcW w:w="35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60-89 days past due</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276,674</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276,674</w:t>
            </w:r>
          </w:p>
        </w:tc>
      </w:tr>
      <w:tr>
        <w:trPr>
          <w:trHeight w:val="216"/>
        </w:trPr>
        <w:tc>
          <w:tcPr>
            <w:tcW w:w="3520" w:type="dxa"/>
            <w:vAlign w:val="bottom"/>
            <w:gridSpan w:val="3"/>
          </w:tcPr>
          <w:p>
            <w:pPr>
              <w:ind w:left="180"/>
              <w:spacing w:after="0"/>
              <w:rPr>
                <w:sz w:val="20"/>
                <w:szCs w:val="20"/>
                <w:color w:val="auto"/>
              </w:rPr>
            </w:pPr>
            <w:r>
              <w:rPr>
                <w:rFonts w:ascii="Arial" w:cs="Arial" w:eastAsia="Arial" w:hAnsi="Arial"/>
                <w:sz w:val="18"/>
                <w:szCs w:val="18"/>
                <w:color w:val="auto"/>
              </w:rPr>
              <w:t>Over 90 days past due (1)</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596,508</w:t>
            </w:r>
          </w:p>
        </w:tc>
        <w:tc>
          <w:tcPr>
            <w:tcW w:w="220" w:type="dxa"/>
            <w:vAlign w:val="bottom"/>
          </w:tcPr>
          <w:p>
            <w:pPr>
              <w:spacing w:after="0"/>
              <w:rPr>
                <w:sz w:val="18"/>
                <w:szCs w:val="18"/>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1,721,703</w:t>
            </w:r>
          </w:p>
        </w:tc>
        <w:tc>
          <w:tcPr>
            <w:tcW w:w="1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2,318,211</w:t>
            </w:r>
          </w:p>
        </w:tc>
      </w:tr>
      <w:tr>
        <w:trPr>
          <w:trHeight w:val="249"/>
        </w:trPr>
        <w:tc>
          <w:tcPr>
            <w:tcW w:w="35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In process of foreclosure (1)</w:t>
            </w:r>
          </w:p>
        </w:tc>
        <w:tc>
          <w:tcPr>
            <w:tcW w:w="7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289,922</w:t>
            </w:r>
          </w:p>
        </w:tc>
        <w:tc>
          <w:tcPr>
            <w:tcW w:w="18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289,922</w:t>
            </w:r>
          </w:p>
        </w:tc>
      </w:tr>
      <w:tr>
        <w:trPr>
          <w:trHeight w:val="210"/>
        </w:trPr>
        <w:tc>
          <w:tcPr>
            <w:tcW w:w="3520" w:type="dxa"/>
            <w:vAlign w:val="bottom"/>
            <w:tcBorders>
              <w:top w:val="single" w:sz="8" w:color="CCEEFF"/>
              <w:bottom w:val="single" w:sz="8" w:color="CCEEFF"/>
            </w:tcBorders>
            <w:gridSpan w:val="3"/>
          </w:tcPr>
          <w:p>
            <w:pPr>
              <w:ind w:left="180"/>
              <w:spacing w:after="0" w:line="203" w:lineRule="exact"/>
              <w:rPr>
                <w:sz w:val="20"/>
                <w:szCs w:val="20"/>
                <w:color w:val="auto"/>
              </w:rPr>
            </w:pPr>
            <w:r>
              <w:rPr>
                <w:rFonts w:ascii="Arial" w:cs="Arial" w:eastAsia="Arial" w:hAnsi="Arial"/>
                <w:sz w:val="18"/>
                <w:szCs w:val="18"/>
                <w:color w:val="auto"/>
              </w:rPr>
              <w:t>Total past due</w:t>
            </w:r>
          </w:p>
        </w:tc>
        <w:tc>
          <w:tcPr>
            <w:tcW w:w="76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6,556,976</w:t>
            </w:r>
          </w:p>
        </w:tc>
        <w:tc>
          <w:tcPr>
            <w:tcW w:w="34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9,491,182</w:t>
            </w:r>
          </w:p>
        </w:tc>
        <w:tc>
          <w:tcPr>
            <w:tcW w:w="3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2,383,665</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18,431,823</w:t>
            </w:r>
          </w:p>
        </w:tc>
        <w:tc>
          <w:tcPr>
            <w:tcW w:w="100" w:type="dxa"/>
            <w:vAlign w:val="bottom"/>
            <w:tcBorders>
              <w:top w:val="single" w:sz="8" w:color="CCEEFF"/>
              <w:bottom w:val="single" w:sz="8" w:color="CCEEFF"/>
            </w:tcBorders>
          </w:tcPr>
          <w:p>
            <w:pPr>
              <w:spacing w:after="0"/>
              <w:rPr>
                <w:sz w:val="18"/>
                <w:szCs w:val="18"/>
                <w:color w:val="auto"/>
              </w:rPr>
            </w:pPr>
          </w:p>
        </w:tc>
      </w:tr>
      <w:tr>
        <w:trPr>
          <w:trHeight w:val="236"/>
        </w:trPr>
        <w:tc>
          <w:tcPr>
            <w:tcW w:w="35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Current</w:t>
            </w:r>
          </w:p>
        </w:tc>
        <w:tc>
          <w:tcPr>
            <w:tcW w:w="7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52,648,511</w:t>
            </w:r>
          </w:p>
        </w:tc>
        <w:tc>
          <w:tcPr>
            <w:tcW w:w="3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85,716,858</w:t>
            </w:r>
          </w:p>
        </w:tc>
        <w:tc>
          <w:tcPr>
            <w:tcW w:w="3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118,938,867</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257,304,236</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0"/>
        </w:trPr>
        <w:tc>
          <w:tcPr>
            <w:tcW w:w="3520" w:type="dxa"/>
            <w:vAlign w:val="bottom"/>
            <w:tcBorders>
              <w:bottom w:val="single" w:sz="8" w:color="CCEEFF"/>
            </w:tcBorders>
            <w:gridSpan w:val="3"/>
          </w:tcPr>
          <w:p>
            <w:pPr>
              <w:ind w:left="180"/>
              <w:spacing w:after="0" w:line="203" w:lineRule="exact"/>
              <w:rPr>
                <w:sz w:val="20"/>
                <w:szCs w:val="20"/>
                <w:color w:val="auto"/>
              </w:rPr>
            </w:pPr>
            <w:r>
              <w:rPr>
                <w:rFonts w:ascii="Arial" w:cs="Arial" w:eastAsia="Arial" w:hAnsi="Arial"/>
                <w:sz w:val="18"/>
                <w:szCs w:val="18"/>
                <w:color w:val="auto"/>
              </w:rPr>
              <w:t>Total mortgage loans</w:t>
            </w:r>
          </w:p>
        </w:tc>
        <w:tc>
          <w:tcPr>
            <w:tcW w:w="7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59,205,487</w:t>
            </w:r>
          </w:p>
        </w:tc>
        <w:tc>
          <w:tcPr>
            <w:tcW w:w="3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95,208,040</w:t>
            </w:r>
          </w:p>
        </w:tc>
        <w:tc>
          <w:tcPr>
            <w:tcW w:w="3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121,322,532</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275,736,059</w:t>
            </w:r>
          </w:p>
        </w:tc>
        <w:tc>
          <w:tcPr>
            <w:tcW w:w="100" w:type="dxa"/>
            <w:vAlign w:val="bottom"/>
            <w:tcBorders>
              <w:bottom w:val="single" w:sz="8" w:color="CCEEFF"/>
            </w:tcBorders>
          </w:tcPr>
          <w:p>
            <w:pPr>
              <w:spacing w:after="0"/>
              <w:rPr>
                <w:sz w:val="18"/>
                <w:szCs w:val="18"/>
                <w:color w:val="auto"/>
              </w:rPr>
            </w:pPr>
          </w:p>
        </w:tc>
      </w:tr>
      <w:tr>
        <w:trPr>
          <w:trHeight w:val="216"/>
        </w:trPr>
        <w:tc>
          <w:tcPr>
            <w:tcW w:w="35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Allowance for credit losses</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(831,055)</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(1,589,860)</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(242,645)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(2,663,560)</w:t>
            </w:r>
          </w:p>
        </w:tc>
        <w:tc>
          <w:tcPr>
            <w:tcW w:w="100" w:type="dxa"/>
            <w:vAlign w:val="bottom"/>
            <w:shd w:val="clear" w:color="auto" w:fill="CCEEFF"/>
          </w:tcPr>
          <w:p>
            <w:pPr>
              <w:spacing w:after="0"/>
              <w:rPr>
                <w:sz w:val="18"/>
                <w:szCs w:val="18"/>
                <w:color w:val="auto"/>
              </w:rPr>
            </w:pPr>
          </w:p>
        </w:tc>
      </w:tr>
      <w:tr>
        <w:trPr>
          <w:trHeight w:val="216"/>
        </w:trPr>
        <w:tc>
          <w:tcPr>
            <w:tcW w:w="3520" w:type="dxa"/>
            <w:vAlign w:val="bottom"/>
            <w:gridSpan w:val="3"/>
          </w:tcPr>
          <w:p>
            <w:pPr>
              <w:ind w:left="180"/>
              <w:spacing w:after="0"/>
              <w:rPr>
                <w:sz w:val="20"/>
                <w:szCs w:val="20"/>
                <w:color w:val="auto"/>
              </w:rPr>
            </w:pPr>
            <w:r>
              <w:rPr>
                <w:rFonts w:ascii="Arial" w:cs="Arial" w:eastAsia="Arial" w:hAnsi="Arial"/>
                <w:sz w:val="18"/>
                <w:szCs w:val="18"/>
                <w:color w:val="auto"/>
              </w:rPr>
              <w:t>Unamortized deferred loan fees, net</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(258,265)</w:t>
            </w:r>
          </w:p>
        </w:tc>
        <w:tc>
          <w:tcPr>
            <w:tcW w:w="22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(1,134,554)</w:t>
            </w: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(296,586)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(1,689,405)</w:t>
            </w:r>
          </w:p>
        </w:tc>
      </w:tr>
      <w:tr>
        <w:trPr>
          <w:trHeight w:val="249"/>
        </w:trPr>
        <w:tc>
          <w:tcPr>
            <w:tcW w:w="35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Unamortized discounts, net</w:t>
            </w:r>
          </w:p>
        </w:tc>
        <w:tc>
          <w:tcPr>
            <w:tcW w:w="7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(223,847)</w:t>
            </w:r>
          </w:p>
        </w:tc>
        <w:tc>
          <w:tcPr>
            <w:tcW w:w="22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(109,662)</w:t>
            </w:r>
          </w:p>
        </w:tc>
        <w:tc>
          <w:tcPr>
            <w:tcW w:w="18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(333,509)</w:t>
            </w:r>
          </w:p>
        </w:tc>
      </w:tr>
      <w:tr>
        <w:trPr>
          <w:trHeight w:val="257"/>
        </w:trPr>
        <w:tc>
          <w:tcPr>
            <w:tcW w:w="3520" w:type="dxa"/>
            <w:vAlign w:val="bottom"/>
            <w:tcBorders>
              <w:top w:val="single" w:sz="8" w:color="CCEEFF"/>
              <w:bottom w:val="single" w:sz="8" w:color="CCEEFF"/>
            </w:tcBorders>
            <w:gridSpan w:val="3"/>
          </w:tcPr>
          <w:p>
            <w:pPr>
              <w:ind w:left="180"/>
              <w:spacing w:after="0"/>
              <w:rPr>
                <w:sz w:val="20"/>
                <w:szCs w:val="20"/>
                <w:color w:val="auto"/>
              </w:rPr>
            </w:pPr>
            <w:r>
              <w:rPr>
                <w:rFonts w:ascii="Arial" w:cs="Arial" w:eastAsia="Arial" w:hAnsi="Arial"/>
                <w:sz w:val="18"/>
                <w:szCs w:val="18"/>
                <w:color w:val="auto"/>
              </w:rPr>
              <w:t>Net mortgage loans</w:t>
            </w:r>
          </w:p>
        </w:tc>
        <w:tc>
          <w:tcPr>
            <w:tcW w:w="760" w:type="dxa"/>
            <w:vAlign w:val="bottom"/>
            <w:tcBorders>
              <w:top w:val="single" w:sz="8" w:color="CCEEFF"/>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57,892,320</w:t>
            </w:r>
          </w:p>
        </w:tc>
        <w:tc>
          <w:tcPr>
            <w:tcW w:w="340" w:type="dxa"/>
            <w:vAlign w:val="bottom"/>
            <w:tcBorders>
              <w:top w:val="single" w:sz="8" w:color="CCEEFF"/>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92,373,964</w:t>
            </w:r>
          </w:p>
        </w:tc>
        <w:tc>
          <w:tcPr>
            <w:tcW w:w="340" w:type="dxa"/>
            <w:vAlign w:val="bottom"/>
            <w:tcBorders>
              <w:top w:val="single" w:sz="8" w:color="CCEEFF"/>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120,783,301</w:t>
            </w:r>
          </w:p>
        </w:tc>
        <w:tc>
          <w:tcPr>
            <w:tcW w:w="20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CCEEFF"/>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271,049,585</w:t>
            </w:r>
          </w:p>
        </w:tc>
        <w:tc>
          <w:tcPr>
            <w:tcW w:w="100" w:type="dxa"/>
            <w:vAlign w:val="bottom"/>
            <w:tcBorders>
              <w:top w:val="single" w:sz="8" w:color="CCEEFF"/>
              <w:bottom w:val="single" w:sz="8" w:color="CCEEFF"/>
            </w:tcBorders>
          </w:tcPr>
          <w:p>
            <w:pPr>
              <w:spacing w:after="0"/>
              <w:rPr>
                <w:sz w:val="22"/>
                <w:szCs w:val="22"/>
                <w:color w:val="auto"/>
              </w:rPr>
            </w:pPr>
          </w:p>
        </w:tc>
      </w:tr>
      <w:tr>
        <w:trPr>
          <w:trHeight w:val="197"/>
        </w:trPr>
        <w:tc>
          <w:tcPr>
            <w:tcW w:w="10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75"/>
        </w:trPr>
        <w:tc>
          <w:tcPr>
            <w:tcW w:w="3520" w:type="dxa"/>
            <w:vAlign w:val="bottom"/>
            <w:gridSpan w:val="3"/>
          </w:tcPr>
          <w:p>
            <w:pPr>
              <w:spacing w:after="0" w:line="176" w:lineRule="exact"/>
              <w:rPr>
                <w:sz w:val="20"/>
                <w:szCs w:val="20"/>
                <w:color w:val="auto"/>
              </w:rPr>
            </w:pPr>
            <w:r>
              <w:rPr>
                <w:rFonts w:ascii="Arial" w:cs="Arial" w:eastAsia="Arial" w:hAnsi="Arial"/>
                <w:sz w:val="18"/>
                <w:szCs w:val="18"/>
                <w:color w:val="auto"/>
              </w:rPr>
              <w:t>December 31, 2022</w:t>
            </w: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0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5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30-59 days past due</w:t>
            </w:r>
          </w:p>
        </w:tc>
        <w:tc>
          <w:tcPr>
            <w:tcW w:w="9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1,000,000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3,553,390</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4,553,390</w:t>
            </w:r>
          </w:p>
        </w:tc>
      </w:tr>
      <w:tr>
        <w:trPr>
          <w:trHeight w:val="216"/>
        </w:trPr>
        <w:tc>
          <w:tcPr>
            <w:tcW w:w="3520" w:type="dxa"/>
            <w:vAlign w:val="bottom"/>
            <w:gridSpan w:val="3"/>
          </w:tcPr>
          <w:p>
            <w:pPr>
              <w:ind w:left="180"/>
              <w:spacing w:after="0"/>
              <w:rPr>
                <w:sz w:val="20"/>
                <w:szCs w:val="20"/>
                <w:color w:val="auto"/>
              </w:rPr>
            </w:pPr>
            <w:r>
              <w:rPr>
                <w:rFonts w:ascii="Arial" w:cs="Arial" w:eastAsia="Arial" w:hAnsi="Arial"/>
                <w:sz w:val="18"/>
                <w:szCs w:val="18"/>
                <w:color w:val="auto"/>
              </w:rPr>
              <w:t>60-89 days past due</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814,184</w:t>
            </w:r>
          </w:p>
        </w:tc>
        <w:tc>
          <w:tcPr>
            <w:tcW w:w="1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814,184</w:t>
            </w:r>
          </w:p>
        </w:tc>
      </w:tr>
      <w:tr>
        <w:trPr>
          <w:trHeight w:val="216"/>
        </w:trPr>
        <w:tc>
          <w:tcPr>
            <w:tcW w:w="35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Over 90 days past due (1)</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1,286,211</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1,286,211</w:t>
            </w:r>
          </w:p>
        </w:tc>
      </w:tr>
      <w:tr>
        <w:trPr>
          <w:trHeight w:val="237"/>
        </w:trPr>
        <w:tc>
          <w:tcPr>
            <w:tcW w:w="3520" w:type="dxa"/>
            <w:vAlign w:val="bottom"/>
            <w:gridSpan w:val="3"/>
          </w:tcPr>
          <w:p>
            <w:pPr>
              <w:ind w:left="180"/>
              <w:spacing w:after="0"/>
              <w:rPr>
                <w:sz w:val="20"/>
                <w:szCs w:val="20"/>
                <w:color w:val="auto"/>
              </w:rPr>
            </w:pPr>
            <w:r>
              <w:rPr>
                <w:rFonts w:ascii="Arial" w:cs="Arial" w:eastAsia="Arial" w:hAnsi="Arial"/>
                <w:sz w:val="18"/>
                <w:szCs w:val="18"/>
                <w:color w:val="auto"/>
              </w:rPr>
              <w:t>In process of foreclosure (1)</w:t>
            </w: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405,000</w:t>
            </w:r>
          </w:p>
        </w:tc>
        <w:tc>
          <w:tcPr>
            <w:tcW w:w="220" w:type="dxa"/>
            <w:vAlign w:val="bottom"/>
          </w:tcPr>
          <w:p>
            <w:pPr>
              <w:spacing w:after="0"/>
              <w:rPr>
                <w:sz w:val="20"/>
                <w:szCs w:val="20"/>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876,174</w:t>
            </w:r>
          </w:p>
        </w:tc>
        <w:tc>
          <w:tcPr>
            <w:tcW w:w="18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1,281,174</w:t>
            </w:r>
          </w:p>
        </w:tc>
      </w:tr>
      <w:tr>
        <w:trPr>
          <w:trHeight w:val="236"/>
        </w:trPr>
        <w:tc>
          <w:tcPr>
            <w:tcW w:w="3520" w:type="dxa"/>
            <w:vAlign w:val="bottom"/>
            <w:tcBorders>
              <w:top w:val="single" w:sz="8" w:color="CCEEFF"/>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Total past due</w:t>
            </w:r>
          </w:p>
        </w:tc>
        <w:tc>
          <w:tcPr>
            <w:tcW w:w="7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1,405,000</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6,529,959</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7,934,959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3520" w:type="dxa"/>
            <w:vAlign w:val="bottom"/>
            <w:tcBorders>
              <w:bottom w:val="single" w:sz="8" w:color="CCEEFF"/>
            </w:tcBorders>
            <w:gridSpan w:val="3"/>
          </w:tcPr>
          <w:p>
            <w:pPr>
              <w:ind w:left="180"/>
              <w:spacing w:after="0" w:line="203" w:lineRule="exact"/>
              <w:rPr>
                <w:sz w:val="20"/>
                <w:szCs w:val="20"/>
                <w:color w:val="auto"/>
              </w:rPr>
            </w:pPr>
            <w:r>
              <w:rPr>
                <w:rFonts w:ascii="Arial" w:cs="Arial" w:eastAsia="Arial" w:hAnsi="Arial"/>
                <w:sz w:val="18"/>
                <w:szCs w:val="18"/>
                <w:color w:val="auto"/>
              </w:rPr>
              <w:t>Current</w:t>
            </w:r>
          </w:p>
        </w:tc>
        <w:tc>
          <w:tcPr>
            <w:tcW w:w="7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44,906,955</w:t>
            </w:r>
          </w:p>
        </w:tc>
        <w:tc>
          <w:tcPr>
            <w:tcW w:w="3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86,825,664</w:t>
            </w:r>
          </w:p>
        </w:tc>
        <w:tc>
          <w:tcPr>
            <w:tcW w:w="3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172,516,125</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304,248,744</w:t>
            </w:r>
          </w:p>
        </w:tc>
        <w:tc>
          <w:tcPr>
            <w:tcW w:w="100" w:type="dxa"/>
            <w:vAlign w:val="bottom"/>
            <w:tcBorders>
              <w:bottom w:val="single" w:sz="8" w:color="CCEEFF"/>
            </w:tcBorders>
          </w:tcPr>
          <w:p>
            <w:pPr>
              <w:spacing w:after="0"/>
              <w:rPr>
                <w:sz w:val="18"/>
                <w:szCs w:val="18"/>
                <w:color w:val="auto"/>
              </w:rPr>
            </w:pPr>
          </w:p>
        </w:tc>
      </w:tr>
      <w:tr>
        <w:trPr>
          <w:trHeight w:val="236"/>
        </w:trPr>
        <w:tc>
          <w:tcPr>
            <w:tcW w:w="35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Total mortgage loans</w:t>
            </w:r>
          </w:p>
        </w:tc>
        <w:tc>
          <w:tcPr>
            <w:tcW w:w="7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46,311,955</w:t>
            </w:r>
          </w:p>
        </w:tc>
        <w:tc>
          <w:tcPr>
            <w:tcW w:w="3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93,355,623</w:t>
            </w:r>
          </w:p>
        </w:tc>
        <w:tc>
          <w:tcPr>
            <w:tcW w:w="3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172,516,125</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312,183,703</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03"/>
        </w:trPr>
        <w:tc>
          <w:tcPr>
            <w:tcW w:w="3520" w:type="dxa"/>
            <w:vAlign w:val="bottom"/>
            <w:gridSpan w:val="3"/>
          </w:tcPr>
          <w:p>
            <w:pPr>
              <w:ind w:left="180"/>
              <w:spacing w:after="0" w:line="203" w:lineRule="exact"/>
              <w:rPr>
                <w:sz w:val="20"/>
                <w:szCs w:val="20"/>
                <w:color w:val="auto"/>
              </w:rPr>
            </w:pPr>
            <w:r>
              <w:rPr>
                <w:rFonts w:ascii="Arial" w:cs="Arial" w:eastAsia="Arial" w:hAnsi="Arial"/>
                <w:sz w:val="18"/>
                <w:szCs w:val="18"/>
                <w:color w:val="auto"/>
              </w:rPr>
              <w:t>Allowance for credit losses</w:t>
            </w: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Arial" w:cs="Arial" w:eastAsia="Arial" w:hAnsi="Arial"/>
                <w:sz w:val="18"/>
                <w:szCs w:val="18"/>
                <w:color w:val="auto"/>
              </w:rPr>
              <w:t>(187,129)</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Arial" w:cs="Arial" w:eastAsia="Arial" w:hAnsi="Arial"/>
                <w:sz w:val="18"/>
                <w:szCs w:val="18"/>
                <w:color w:val="auto"/>
              </w:rPr>
              <w:t>(1,739,980)</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Arial" w:cs="Arial" w:eastAsia="Arial" w:hAnsi="Arial"/>
                <w:sz w:val="18"/>
                <w:szCs w:val="18"/>
                <w:color w:val="auto"/>
              </w:rPr>
              <w:t>(43,202)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(1,970,311)</w:t>
            </w:r>
          </w:p>
        </w:tc>
        <w:tc>
          <w:tcPr>
            <w:tcW w:w="100" w:type="dxa"/>
            <w:vAlign w:val="bottom"/>
          </w:tcPr>
          <w:p>
            <w:pPr>
              <w:spacing w:after="0"/>
              <w:rPr>
                <w:sz w:val="17"/>
                <w:szCs w:val="17"/>
                <w:color w:val="auto"/>
              </w:rPr>
            </w:pPr>
          </w:p>
        </w:tc>
      </w:tr>
      <w:tr>
        <w:trPr>
          <w:trHeight w:val="216"/>
        </w:trPr>
        <w:tc>
          <w:tcPr>
            <w:tcW w:w="35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Unamortized deferred loan fees, net</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(199,765)</w:t>
            </w: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(1,212,994)</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(333,846)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(1,746,605)</w:t>
            </w:r>
          </w:p>
        </w:tc>
      </w:tr>
      <w:tr>
        <w:trPr>
          <w:trHeight w:val="237"/>
        </w:trPr>
        <w:tc>
          <w:tcPr>
            <w:tcW w:w="3520" w:type="dxa"/>
            <w:vAlign w:val="bottom"/>
            <w:gridSpan w:val="3"/>
          </w:tcPr>
          <w:p>
            <w:pPr>
              <w:ind w:left="180"/>
              <w:spacing w:after="0"/>
              <w:rPr>
                <w:sz w:val="20"/>
                <w:szCs w:val="20"/>
                <w:color w:val="auto"/>
              </w:rPr>
            </w:pPr>
            <w:r>
              <w:rPr>
                <w:rFonts w:ascii="Arial" w:cs="Arial" w:eastAsia="Arial" w:hAnsi="Arial"/>
                <w:sz w:val="18"/>
                <w:szCs w:val="18"/>
                <w:color w:val="auto"/>
              </w:rPr>
              <w:t>Unamortized discounts, net</w:t>
            </w: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(230,987)</w:t>
            </w:r>
          </w:p>
        </w:tc>
        <w:tc>
          <w:tcPr>
            <w:tcW w:w="220" w:type="dxa"/>
            <w:vAlign w:val="bottom"/>
          </w:tcPr>
          <w:p>
            <w:pPr>
              <w:spacing w:after="0"/>
              <w:rPr>
                <w:sz w:val="20"/>
                <w:szCs w:val="20"/>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(111,873)</w:t>
            </w:r>
          </w:p>
        </w:tc>
        <w:tc>
          <w:tcPr>
            <w:tcW w:w="18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(342,860)</w:t>
            </w:r>
          </w:p>
        </w:tc>
      </w:tr>
      <w:tr>
        <w:trPr>
          <w:trHeight w:val="229"/>
        </w:trPr>
        <w:tc>
          <w:tcPr>
            <w:tcW w:w="3520" w:type="dxa"/>
            <w:vAlign w:val="bottom"/>
            <w:tcBorders>
              <w:top w:val="single" w:sz="8" w:color="CCEEFF"/>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Net mortgage loans</w:t>
            </w:r>
          </w:p>
        </w:tc>
        <w:tc>
          <w:tcPr>
            <w:tcW w:w="7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45,694,074</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90,290,776</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172,139,077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308,123,927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ind w:left="5540" w:right="3840" w:hanging="5532"/>
        <w:spacing w:after="0" w:line="527" w:lineRule="auto"/>
        <w:tabs>
          <w:tab w:leader="none" w:pos="338"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Interest income is not recognized on loans which are more than 90 days past due or in foreclosure.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5" w:name="page26"/>
    <w:bookmarkEnd w:id="25"/>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June 30, 2023 (Unaudited)</w:t>
      </w:r>
    </w:p>
    <w:p>
      <w:pPr>
        <w:spacing w:after="0" w:line="184" w:lineRule="exact"/>
        <w:rPr>
          <w:sz w:val="20"/>
          <w:szCs w:val="20"/>
          <w:color w:val="auto"/>
        </w:rPr>
      </w:pPr>
    </w:p>
    <w:p>
      <w:pPr>
        <w:ind w:right="9260" w:firstLine="8"/>
        <w:spacing w:after="0" w:line="563" w:lineRule="auto"/>
        <w:tabs>
          <w:tab w:leader="none" w:pos="195"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Investments</w:t>
      </w:r>
      <w:r>
        <w:rPr>
          <w:rFonts w:ascii="Arial" w:cs="Arial" w:eastAsia="Arial" w:hAnsi="Arial"/>
          <w:sz w:val="16"/>
          <w:szCs w:val="16"/>
          <w:color w:val="auto"/>
        </w:rPr>
        <w:t xml:space="preserve"> (Continued) </w:t>
      </w:r>
      <w:r>
        <w:rPr>
          <w:rFonts w:ascii="Arial" w:cs="Arial" w:eastAsia="Arial" w:hAnsi="Arial"/>
          <w:sz w:val="16"/>
          <w:szCs w:val="16"/>
          <w:u w:val="single" w:color="auto"/>
          <w:color w:val="auto"/>
        </w:rPr>
        <w:t>Credit Quality Indicators</w:t>
      </w:r>
    </w:p>
    <w:p>
      <w:pPr>
        <w:spacing w:after="0" w:line="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evaluates and monitors the credit quality of its commercial loans by analyzing loan to value (“LTV”) and debt service coverage ratios (“DSCR”). Monitoring a commercial mortgage loan increases when the loan is delinquent or earlier if there is an indication of impairment.</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The aggregate unpaid principal balance of commercial mortgage loans by credit quality indicator and origination year was as follows as of June 30, 2023:</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 of</w:t>
            </w:r>
          </w:p>
        </w:tc>
      </w:tr>
      <w:tr>
        <w:trPr>
          <w:trHeight w:val="237"/>
        </w:trPr>
        <w:tc>
          <w:tcPr>
            <w:tcW w:w="2420" w:type="dxa"/>
            <w:vAlign w:val="bottom"/>
            <w:gridSpan w:val="4"/>
          </w:tcPr>
          <w:p>
            <w:pPr>
              <w:ind w:left="260"/>
              <w:spacing w:after="0"/>
              <w:rPr>
                <w:sz w:val="20"/>
                <w:szCs w:val="20"/>
                <w:color w:val="auto"/>
              </w:rPr>
            </w:pPr>
            <w:r>
              <w:rPr>
                <w:rFonts w:ascii="Arial" w:cs="Arial" w:eastAsia="Arial" w:hAnsi="Arial"/>
                <w:sz w:val="18"/>
                <w:szCs w:val="18"/>
                <w:color w:val="auto"/>
              </w:rPr>
              <w:t>Credit Quality Indicator</w:t>
            </w:r>
          </w:p>
        </w:tc>
        <w:tc>
          <w:tcPr>
            <w:tcW w:w="100" w:type="dxa"/>
            <w:vAlign w:val="bottom"/>
          </w:tcPr>
          <w:p>
            <w:pPr>
              <w:spacing w:after="0"/>
              <w:rPr>
                <w:sz w:val="20"/>
                <w:szCs w:val="20"/>
                <w:color w:val="auto"/>
              </w:rPr>
            </w:pPr>
          </w:p>
        </w:tc>
        <w:tc>
          <w:tcPr>
            <w:tcW w:w="800" w:type="dxa"/>
            <w:vAlign w:val="bottom"/>
          </w:tcPr>
          <w:p>
            <w:pPr>
              <w:jc w:val="right"/>
              <w:ind w:right="170"/>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190"/>
              <w:spacing w:after="0"/>
              <w:rPr>
                <w:sz w:val="20"/>
                <w:szCs w:val="20"/>
                <w:color w:val="auto"/>
              </w:rPr>
            </w:pPr>
            <w:r>
              <w:rPr>
                <w:rFonts w:ascii="Arial" w:cs="Arial" w:eastAsia="Arial" w:hAnsi="Arial"/>
                <w:sz w:val="18"/>
                <w:szCs w:val="18"/>
                <w:color w:val="auto"/>
              </w:rPr>
              <w:t>2022</w:t>
            </w:r>
          </w:p>
        </w:tc>
        <w:tc>
          <w:tcPr>
            <w:tcW w:w="30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2019</w:t>
            </w:r>
          </w:p>
        </w:tc>
        <w:tc>
          <w:tcPr>
            <w:tcW w:w="260" w:type="dxa"/>
            <w:vAlign w:val="bottom"/>
          </w:tcPr>
          <w:p>
            <w:pPr>
              <w:spacing w:after="0"/>
              <w:rPr>
                <w:sz w:val="20"/>
                <w:szCs w:val="20"/>
                <w:color w:val="auto"/>
              </w:rPr>
            </w:pPr>
          </w:p>
        </w:tc>
        <w:tc>
          <w:tcPr>
            <w:tcW w:w="960" w:type="dxa"/>
            <w:vAlign w:val="bottom"/>
            <w:gridSpan w:val="2"/>
          </w:tcPr>
          <w:p>
            <w:pPr>
              <w:ind w:left="240"/>
              <w:spacing w:after="0"/>
              <w:rPr>
                <w:sz w:val="20"/>
                <w:szCs w:val="20"/>
                <w:color w:val="auto"/>
              </w:rPr>
            </w:pPr>
            <w:r>
              <w:rPr>
                <w:rFonts w:ascii="Arial" w:cs="Arial" w:eastAsia="Arial" w:hAnsi="Arial"/>
                <w:sz w:val="18"/>
                <w:szCs w:val="18"/>
                <w:color w:val="auto"/>
              </w:rPr>
              <w:t>Prior</w:t>
            </w:r>
          </w:p>
        </w:tc>
        <w:tc>
          <w:tcPr>
            <w:tcW w:w="140" w:type="dxa"/>
            <w:vAlign w:val="bottom"/>
          </w:tcPr>
          <w:p>
            <w:pPr>
              <w:spacing w:after="0"/>
              <w:rPr>
                <w:sz w:val="20"/>
                <w:szCs w:val="20"/>
                <w:color w:val="auto"/>
              </w:rPr>
            </w:pPr>
          </w:p>
        </w:tc>
        <w:tc>
          <w:tcPr>
            <w:tcW w:w="1180" w:type="dxa"/>
            <w:vAlign w:val="bottom"/>
            <w:gridSpan w:val="2"/>
          </w:tcPr>
          <w:p>
            <w:pPr>
              <w:ind w:left="28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Total</w:t>
            </w:r>
          </w:p>
        </w:tc>
      </w:tr>
      <w:tr>
        <w:trPr>
          <w:trHeight w:val="196"/>
        </w:trPr>
        <w:tc>
          <w:tcPr>
            <w:tcW w:w="380" w:type="dxa"/>
            <w:vAlign w:val="bottom"/>
            <w:tcBorders>
              <w:top w:val="single" w:sz="8" w:color="auto"/>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94"/>
              </w:rPr>
              <w:t>LTV:</w:t>
            </w:r>
          </w:p>
        </w:tc>
        <w:tc>
          <w:tcPr>
            <w:tcW w:w="1860" w:type="dxa"/>
            <w:vAlign w:val="bottom"/>
            <w:tcBorders>
              <w:top w:val="single" w:sz="8" w:color="auto"/>
              <w:bottom w:val="single" w:sz="8" w:color="CCEEFF"/>
            </w:tcBorders>
            <w:gridSpan w:val="2"/>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CCEEFF"/>
            </w:tcBorders>
            <w:shd w:val="clear" w:color="auto" w:fill="CCEEFF"/>
          </w:tcPr>
          <w:p>
            <w:pPr>
              <w:spacing w:after="0"/>
              <w:rPr>
                <w:sz w:val="17"/>
                <w:szCs w:val="17"/>
                <w:color w:val="auto"/>
              </w:rPr>
            </w:pP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CCEEFF"/>
            </w:tcBorders>
            <w:shd w:val="clear" w:color="auto" w:fill="CCEEFF"/>
          </w:tcPr>
          <w:p>
            <w:pPr>
              <w:spacing w:after="0"/>
              <w:rPr>
                <w:sz w:val="17"/>
                <w:szCs w:val="17"/>
                <w:color w:val="auto"/>
              </w:rPr>
            </w:pP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CCEEFF"/>
            </w:tcBorders>
            <w:shd w:val="clear" w:color="auto" w:fill="CCEEFF"/>
          </w:tcPr>
          <w:p>
            <w:pPr>
              <w:spacing w:after="0"/>
              <w:rPr>
                <w:sz w:val="17"/>
                <w:szCs w:val="17"/>
                <w:color w:val="auto"/>
              </w:rPr>
            </w:pP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CCEEFF"/>
            </w:tcBorders>
            <w:shd w:val="clear" w:color="auto" w:fill="CCEEFF"/>
          </w:tcPr>
          <w:p>
            <w:pPr>
              <w:spacing w:after="0"/>
              <w:rPr>
                <w:sz w:val="17"/>
                <w:szCs w:val="17"/>
                <w:color w:val="auto"/>
              </w:rPr>
            </w:pP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16"/>
        </w:trPr>
        <w:tc>
          <w:tcPr>
            <w:tcW w:w="2420" w:type="dxa"/>
            <w:vAlign w:val="bottom"/>
            <w:gridSpan w:val="4"/>
          </w:tcPr>
          <w:p>
            <w:pPr>
              <w:spacing w:after="0"/>
              <w:rPr>
                <w:sz w:val="20"/>
                <w:szCs w:val="20"/>
                <w:color w:val="auto"/>
              </w:rPr>
            </w:pPr>
            <w:r>
              <w:rPr>
                <w:rFonts w:ascii="Arial" w:cs="Arial" w:eastAsia="Arial" w:hAnsi="Arial"/>
                <w:sz w:val="18"/>
                <w:szCs w:val="18"/>
                <w:color w:val="auto"/>
              </w:rPr>
              <w:t>Less than 65%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17,525,000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14,375,274</w:t>
            </w: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w w:val="94"/>
              </w:rPr>
              <w:t>$ 3,821,772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w w:val="98"/>
              </w:rPr>
              <w:t>$ 3,006,722</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$ 6,898,150</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color w:val="auto"/>
                <w:w w:val="98"/>
              </w:rPr>
              <w:t>$ 45,626,918</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77.07%</w:t>
            </w:r>
          </w:p>
        </w:tc>
      </w:tr>
      <w:tr>
        <w:trPr>
          <w:trHeight w:val="216"/>
        </w:trPr>
        <w:tc>
          <w:tcPr>
            <w:tcW w:w="24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65% to 80%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5,630,731</w:t>
            </w: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2,100,000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4,913,313</w:t>
            </w: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12,644,044</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21.36%</w:t>
            </w:r>
          </w:p>
        </w:tc>
      </w:tr>
      <w:tr>
        <w:trPr>
          <w:trHeight w:val="237"/>
        </w:trPr>
        <w:tc>
          <w:tcPr>
            <w:tcW w:w="2420" w:type="dxa"/>
            <w:vAlign w:val="bottom"/>
            <w:gridSpan w:val="4"/>
          </w:tcPr>
          <w:p>
            <w:pPr>
              <w:spacing w:after="0"/>
              <w:rPr>
                <w:sz w:val="20"/>
                <w:szCs w:val="20"/>
                <w:color w:val="auto"/>
              </w:rPr>
            </w:pPr>
            <w:r>
              <w:rPr>
                <w:rFonts w:ascii="Arial" w:cs="Arial" w:eastAsia="Arial" w:hAnsi="Arial"/>
                <w:sz w:val="18"/>
                <w:szCs w:val="18"/>
                <w:color w:val="auto"/>
              </w:rPr>
              <w:t>Greater than 80%</w:t>
            </w:r>
          </w:p>
        </w:tc>
        <w:tc>
          <w:tcPr>
            <w:tcW w:w="1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529,525</w:t>
            </w: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rPr>
              <w:t>405,000</w:t>
            </w:r>
          </w:p>
        </w:tc>
        <w:tc>
          <w:tcPr>
            <w:tcW w:w="1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color w:val="auto"/>
              </w:rPr>
              <w:t>934,525</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1.58%</w:t>
            </w:r>
          </w:p>
        </w:tc>
      </w:tr>
      <w:tr>
        <w:trPr>
          <w:trHeight w:val="216"/>
        </w:trPr>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83"/>
        </w:trPr>
        <w:tc>
          <w:tcPr>
            <w:tcW w:w="2420" w:type="dxa"/>
            <w:vAlign w:val="bottom"/>
            <w:gridSpan w:val="4"/>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17,525,000</w:t>
            </w: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20,535,530</w:t>
            </w: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w w:val="94"/>
              </w:rPr>
              <w:t>$ 6,326,772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4,913,313</w:t>
            </w: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w w:val="98"/>
              </w:rPr>
              <w:t>$ 3,006,722</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$ 6,898,150</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 xml:space="preserve"> 59,205,487</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100.00%</w:t>
            </w:r>
          </w:p>
        </w:tc>
      </w:tr>
      <w:tr>
        <w:trPr>
          <w:trHeight w:val="197"/>
        </w:trPr>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7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176"/>
        </w:trPr>
        <w:tc>
          <w:tcPr>
            <w:tcW w:w="2420" w:type="dxa"/>
            <w:vAlign w:val="bottom"/>
            <w:gridSpan w:val="4"/>
          </w:tcPr>
          <w:p>
            <w:pPr>
              <w:spacing w:after="0" w:line="176" w:lineRule="exact"/>
              <w:rPr>
                <w:sz w:val="20"/>
                <w:szCs w:val="20"/>
                <w:color w:val="auto"/>
              </w:rPr>
            </w:pPr>
            <w:r>
              <w:rPr>
                <w:rFonts w:ascii="Arial" w:cs="Arial" w:eastAsia="Arial" w:hAnsi="Arial"/>
                <w:sz w:val="18"/>
                <w:szCs w:val="18"/>
                <w:color w:val="auto"/>
              </w:rPr>
              <w:t>DSCR</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
        </w:trPr>
        <w:tc>
          <w:tcPr>
            <w:tcW w:w="3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24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&gt;1.20x</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5,725,000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1,000,000</w:t>
            </w: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4"/>
              </w:rPr>
              <w:t>$ 2,800,000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4,913,313</w:t>
            </w: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8"/>
              </w:rPr>
              <w:t>$ 3,006,722</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$ 2,777,481</w:t>
            </w:r>
          </w:p>
        </w:tc>
        <w:tc>
          <w:tcPr>
            <w:tcW w:w="13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8"/>
              </w:rPr>
              <w:t>$ 20,222,516</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34.16%</w:t>
            </w:r>
          </w:p>
        </w:tc>
      </w:tr>
      <w:tr>
        <w:trPr>
          <w:trHeight w:val="216"/>
        </w:trPr>
        <w:tc>
          <w:tcPr>
            <w:tcW w:w="2420" w:type="dxa"/>
            <w:vAlign w:val="bottom"/>
            <w:gridSpan w:val="4"/>
          </w:tcPr>
          <w:p>
            <w:pPr>
              <w:spacing w:after="0"/>
              <w:rPr>
                <w:sz w:val="20"/>
                <w:szCs w:val="20"/>
                <w:color w:val="auto"/>
              </w:rPr>
            </w:pPr>
            <w:r>
              <w:rPr>
                <w:rFonts w:ascii="Arial" w:cs="Arial" w:eastAsia="Arial" w:hAnsi="Arial"/>
                <w:sz w:val="18"/>
                <w:szCs w:val="18"/>
                <w:color w:val="auto"/>
              </w:rPr>
              <w:t>1.00x - 1.20x</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5,300,000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10,750,376</w:t>
            </w: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rPr>
              <w:t>3,526,772</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4,120,669</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color w:val="auto"/>
              </w:rPr>
              <w:t>23,697,817</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40.03%</w:t>
            </w:r>
          </w:p>
        </w:tc>
      </w:tr>
      <w:tr>
        <w:trPr>
          <w:trHeight w:val="236"/>
        </w:trPr>
        <w:tc>
          <w:tcPr>
            <w:tcW w:w="24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&lt;1.00x</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6,500,000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8,785,154(1)</w:t>
            </w: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15,285,154</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25.82%</w:t>
            </w:r>
          </w:p>
        </w:tc>
      </w:tr>
      <w:tr>
        <w:trPr>
          <w:trHeight w:val="216"/>
        </w:trPr>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43"/>
        </w:trPr>
        <w:tc>
          <w:tcPr>
            <w:tcW w:w="24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17,525,000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20,535,530</w:t>
            </w: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4"/>
              </w:rPr>
              <w:t>$ 6,326,772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4,913,313</w:t>
            </w: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8"/>
              </w:rPr>
              <w:t>$ 3,006,722</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$ 6,898,150</w:t>
            </w:r>
          </w:p>
        </w:tc>
        <w:tc>
          <w:tcPr>
            <w:tcW w:w="13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 xml:space="preserve"> 59,205,487</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100.00%</w:t>
            </w: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(1)  Commercial construction loan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evaluates and monitors the credit quality of its residential mortgage loans by analyzing loan performance. The Company defines non-performing mortgage loans as loans more than 90 days past due and on a non-accrual status. Monitoring a residential mortgage loan increases when the loan is delinquent or earlier if there is an indication of impairment.</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 aggregate unpaid principal balance of residential mortgage loans by credit quality indicator and origination year was as follows as of June 30, 2023:</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 of</w:t>
            </w:r>
          </w:p>
        </w:tc>
      </w:tr>
      <w:tr>
        <w:trPr>
          <w:trHeight w:val="237"/>
        </w:trPr>
        <w:tc>
          <w:tcPr>
            <w:tcW w:w="2520" w:type="dxa"/>
            <w:vAlign w:val="bottom"/>
            <w:gridSpan w:val="3"/>
          </w:tcPr>
          <w:p>
            <w:pPr>
              <w:ind w:left="320"/>
              <w:spacing w:after="0"/>
              <w:rPr>
                <w:sz w:val="20"/>
                <w:szCs w:val="20"/>
                <w:color w:val="auto"/>
              </w:rPr>
            </w:pPr>
            <w:r>
              <w:rPr>
                <w:rFonts w:ascii="Arial" w:cs="Arial" w:eastAsia="Arial" w:hAnsi="Arial"/>
                <w:sz w:val="18"/>
                <w:szCs w:val="18"/>
                <w:color w:val="auto"/>
              </w:rPr>
              <w:t>Credit Quality Indicator</w:t>
            </w: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0"/>
                <w:szCs w:val="20"/>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20"/>
                <w:szCs w:val="20"/>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Prior</w:t>
            </w:r>
          </w:p>
        </w:tc>
        <w:tc>
          <w:tcPr>
            <w:tcW w:w="140" w:type="dxa"/>
            <w:vAlign w:val="bottom"/>
          </w:tcPr>
          <w:p>
            <w:pPr>
              <w:spacing w:after="0"/>
              <w:rPr>
                <w:sz w:val="20"/>
                <w:szCs w:val="20"/>
                <w:color w:val="auto"/>
              </w:rPr>
            </w:pPr>
          </w:p>
        </w:tc>
        <w:tc>
          <w:tcPr>
            <w:tcW w:w="1180" w:type="dxa"/>
            <w:vAlign w:val="bottom"/>
            <w:gridSpan w:val="2"/>
          </w:tcPr>
          <w:p>
            <w:pPr>
              <w:ind w:left="28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Total</w:t>
            </w:r>
          </w:p>
        </w:tc>
      </w:tr>
      <w:tr>
        <w:trPr>
          <w:trHeight w:val="196"/>
        </w:trPr>
        <w:tc>
          <w:tcPr>
            <w:tcW w:w="2360" w:type="dxa"/>
            <w:vAlign w:val="bottom"/>
            <w:tcBorders>
              <w:top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Performance Indicators:</w:t>
            </w: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16"/>
        </w:trPr>
        <w:tc>
          <w:tcPr>
            <w:tcW w:w="1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Performing</w:t>
            </w:r>
          </w:p>
        </w:tc>
        <w:tc>
          <w:tcPr>
            <w:tcW w:w="780" w:type="dxa"/>
            <w:vAlign w:val="bottom"/>
            <w:tcBorders>
              <w:top w:val="single" w:sz="8" w:color="CCEEFF"/>
            </w:tcBorders>
            <w:gridSpan w:val="2"/>
          </w:tcPr>
          <w:p>
            <w:pPr>
              <w:spacing w:after="0"/>
              <w:rPr>
                <w:sz w:val="18"/>
                <w:szCs w:val="18"/>
                <w:color w:val="auto"/>
              </w:rPr>
            </w:pPr>
          </w:p>
        </w:tc>
        <w:tc>
          <w:tcPr>
            <w:tcW w:w="96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8"/>
                <w:szCs w:val="18"/>
                <w:color w:val="auto"/>
                <w:w w:val="86"/>
              </w:rPr>
              <w:t>$ 4,842,385</w:t>
            </w:r>
          </w:p>
        </w:tc>
        <w:tc>
          <w:tcPr>
            <w:tcW w:w="1300" w:type="dxa"/>
            <w:vAlign w:val="bottom"/>
            <w:tcBorders>
              <w:top w:val="single" w:sz="8" w:color="CCEEFF"/>
            </w:tcBorders>
            <w:gridSpan w:val="3"/>
          </w:tcPr>
          <w:p>
            <w:pPr>
              <w:jc w:val="right"/>
              <w:ind w:right="240"/>
              <w:spacing w:after="0"/>
              <w:rPr>
                <w:sz w:val="20"/>
                <w:szCs w:val="20"/>
                <w:color w:val="auto"/>
              </w:rPr>
            </w:pPr>
            <w:r>
              <w:rPr>
                <w:rFonts w:ascii="Arial" w:cs="Arial" w:eastAsia="Arial" w:hAnsi="Arial"/>
                <w:sz w:val="18"/>
                <w:szCs w:val="18"/>
                <w:color w:val="auto"/>
                <w:w w:val="98"/>
              </w:rPr>
              <w:t>$ 57,085,363</w:t>
            </w:r>
          </w:p>
        </w:tc>
        <w:tc>
          <w:tcPr>
            <w:tcW w:w="980" w:type="dxa"/>
            <w:vAlign w:val="bottom"/>
            <w:tcBorders>
              <w:top w:val="single" w:sz="8" w:color="CCEEFF"/>
            </w:tcBorders>
            <w:gridSpan w:val="2"/>
          </w:tcPr>
          <w:p>
            <w:pPr>
              <w:jc w:val="right"/>
              <w:ind w:right="140"/>
              <w:spacing w:after="0"/>
              <w:rPr>
                <w:sz w:val="20"/>
                <w:szCs w:val="20"/>
                <w:color w:val="auto"/>
              </w:rPr>
            </w:pPr>
            <w:r>
              <w:rPr>
                <w:rFonts w:ascii="Arial" w:cs="Arial" w:eastAsia="Arial" w:hAnsi="Arial"/>
                <w:sz w:val="18"/>
                <w:szCs w:val="18"/>
                <w:color w:val="auto"/>
                <w:w w:val="86"/>
              </w:rPr>
              <w:t>$ 7,750,923</w:t>
            </w:r>
          </w:p>
        </w:tc>
        <w:tc>
          <w:tcPr>
            <w:tcW w:w="1080" w:type="dxa"/>
            <w:vAlign w:val="bottom"/>
            <w:tcBorders>
              <w:top w:val="single" w:sz="8" w:color="CCEEFF"/>
            </w:tcBorders>
            <w:gridSpan w:val="3"/>
          </w:tcPr>
          <w:p>
            <w:pPr>
              <w:jc w:val="right"/>
              <w:ind w:right="140"/>
              <w:spacing w:after="0"/>
              <w:rPr>
                <w:sz w:val="20"/>
                <w:szCs w:val="20"/>
                <w:color w:val="auto"/>
              </w:rPr>
            </w:pPr>
            <w:r>
              <w:rPr>
                <w:rFonts w:ascii="Arial" w:cs="Arial" w:eastAsia="Arial" w:hAnsi="Arial"/>
                <w:sz w:val="18"/>
                <w:szCs w:val="18"/>
                <w:color w:val="auto"/>
                <w:w w:val="96"/>
              </w:rPr>
              <w:t>$ 7,737,211</w:t>
            </w:r>
          </w:p>
        </w:tc>
        <w:tc>
          <w:tcPr>
            <w:tcW w:w="1100" w:type="dxa"/>
            <w:vAlign w:val="bottom"/>
            <w:tcBorders>
              <w:top w:val="single" w:sz="8" w:color="CCEEFF"/>
            </w:tcBorders>
            <w:gridSpan w:val="3"/>
          </w:tcPr>
          <w:p>
            <w:pPr>
              <w:jc w:val="right"/>
              <w:ind w:right="140"/>
              <w:spacing w:after="0"/>
              <w:rPr>
                <w:sz w:val="20"/>
                <w:szCs w:val="20"/>
                <w:color w:val="auto"/>
              </w:rPr>
            </w:pPr>
            <w:r>
              <w:rPr>
                <w:rFonts w:ascii="Arial" w:cs="Arial" w:eastAsia="Arial" w:hAnsi="Arial"/>
                <w:sz w:val="18"/>
                <w:szCs w:val="18"/>
                <w:color w:val="auto"/>
                <w:w w:val="98"/>
              </w:rPr>
              <w:t>$ 3,103,802</w:t>
            </w:r>
          </w:p>
        </w:tc>
        <w:tc>
          <w:tcPr>
            <w:tcW w:w="1180" w:type="dxa"/>
            <w:vAlign w:val="bottom"/>
            <w:tcBorders>
              <w:top w:val="single" w:sz="8" w:color="CCEEFF"/>
            </w:tcBorders>
            <w:gridSpan w:val="3"/>
          </w:tcPr>
          <w:p>
            <w:pPr>
              <w:jc w:val="right"/>
              <w:ind w:right="140"/>
              <w:spacing w:after="0"/>
              <w:rPr>
                <w:sz w:val="20"/>
                <w:szCs w:val="20"/>
                <w:color w:val="auto"/>
              </w:rPr>
            </w:pPr>
            <w:r>
              <w:rPr>
                <w:rFonts w:ascii="Arial" w:cs="Arial" w:eastAsia="Arial" w:hAnsi="Arial"/>
                <w:sz w:val="18"/>
                <w:szCs w:val="18"/>
                <w:color w:val="auto"/>
                <w:w w:val="97"/>
              </w:rPr>
              <w:t>$ 12,676,732</w:t>
            </w:r>
          </w:p>
        </w:tc>
        <w:tc>
          <w:tcPr>
            <w:tcW w:w="1320" w:type="dxa"/>
            <w:vAlign w:val="bottom"/>
            <w:tcBorders>
              <w:top w:val="single" w:sz="8" w:color="CCEEFF"/>
            </w:tcBorders>
            <w:gridSpan w:val="3"/>
          </w:tcPr>
          <w:p>
            <w:pPr>
              <w:jc w:val="right"/>
              <w:ind w:right="260"/>
              <w:spacing w:after="0"/>
              <w:rPr>
                <w:sz w:val="20"/>
                <w:szCs w:val="20"/>
                <w:color w:val="auto"/>
              </w:rPr>
            </w:pPr>
            <w:r>
              <w:rPr>
                <w:rFonts w:ascii="Arial" w:cs="Arial" w:eastAsia="Arial" w:hAnsi="Arial"/>
                <w:sz w:val="18"/>
                <w:szCs w:val="18"/>
                <w:color w:val="auto"/>
                <w:w w:val="98"/>
              </w:rPr>
              <w:t>$ 93,196,416</w:t>
            </w:r>
          </w:p>
        </w:tc>
        <w:tc>
          <w:tcPr>
            <w:tcW w:w="800" w:type="dxa"/>
            <w:vAlign w:val="bottom"/>
            <w:tcBorders>
              <w:top w:val="single" w:sz="8" w:color="CCEEFF"/>
            </w:tcBorders>
            <w:gridSpan w:val="3"/>
          </w:tcPr>
          <w:p>
            <w:pPr>
              <w:jc w:val="right"/>
              <w:ind w:right="20"/>
              <w:spacing w:after="0"/>
              <w:rPr>
                <w:sz w:val="20"/>
                <w:szCs w:val="20"/>
                <w:color w:val="auto"/>
              </w:rPr>
            </w:pPr>
            <w:r>
              <w:rPr>
                <w:rFonts w:ascii="Arial" w:cs="Arial" w:eastAsia="Arial" w:hAnsi="Arial"/>
                <w:sz w:val="18"/>
                <w:szCs w:val="18"/>
                <w:color w:val="auto"/>
              </w:rPr>
              <w:t>97.89%</w:t>
            </w:r>
          </w:p>
        </w:tc>
      </w:tr>
      <w:tr>
        <w:trPr>
          <w:trHeight w:val="237"/>
        </w:trPr>
        <w:tc>
          <w:tcPr>
            <w:tcW w:w="2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Non-performing (1)</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298,572</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365,460</w:t>
            </w: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317,501</w:t>
            </w: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1,030,091</w:t>
            </w:r>
          </w:p>
        </w:tc>
        <w:tc>
          <w:tcPr>
            <w:tcW w:w="13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2,011,624</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2.11%</w:t>
            </w:r>
          </w:p>
        </w:tc>
      </w:tr>
      <w:tr>
        <w:trPr>
          <w:trHeight w:val="216"/>
        </w:trPr>
        <w:tc>
          <w:tcPr>
            <w:tcW w:w="1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43"/>
        </w:trPr>
        <w:tc>
          <w:tcPr>
            <w:tcW w:w="2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$ 4,842,385</w:t>
            </w:r>
          </w:p>
        </w:tc>
        <w:tc>
          <w:tcPr>
            <w:tcW w:w="13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 xml:space="preserve"> 57,383,935</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$ 8,116,383</w:t>
            </w: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96"/>
              </w:rPr>
              <w:t>$</w:t>
            </w:r>
            <w:r>
              <w:rPr>
                <w:rFonts w:ascii="Arial" w:cs="Arial" w:eastAsia="Arial" w:hAnsi="Arial"/>
                <w:sz w:val="18"/>
                <w:szCs w:val="18"/>
                <w:color w:val="auto"/>
                <w:w w:val="96"/>
              </w:rPr>
              <w:t xml:space="preserve"> 7,737,211</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8"/>
              </w:rPr>
              <w:t>$ 3,421,303</w:t>
            </w: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 xml:space="preserve"> 13,706,823</w:t>
            </w:r>
          </w:p>
        </w:tc>
        <w:tc>
          <w:tcPr>
            <w:tcW w:w="13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 xml:space="preserve"> 95,208,040</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100.00%</w:t>
            </w:r>
          </w:p>
        </w:tc>
      </w:tr>
      <w:tr>
        <w:trPr>
          <w:trHeight w:val="20"/>
        </w:trPr>
        <w:tc>
          <w:tcPr>
            <w:tcW w:w="17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ind w:left="5540" w:right="4140" w:hanging="5532"/>
        <w:spacing w:after="0" w:line="527" w:lineRule="auto"/>
        <w:tabs>
          <w:tab w:leader="none" w:pos="338"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residential mortgage loans in the process of foreclosure of $289,922 at June 30, 2023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6" w:name="page27"/>
    <w:bookmarkEnd w:id="26"/>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June 30, 2023 (Unaudited)</w:t>
      </w:r>
    </w:p>
    <w:p>
      <w:pPr>
        <w:spacing w:after="0" w:line="184" w:lineRule="exact"/>
        <w:rPr>
          <w:sz w:val="20"/>
          <w:szCs w:val="20"/>
          <w:color w:val="auto"/>
        </w:rPr>
      </w:pPr>
    </w:p>
    <w:p>
      <w:pPr>
        <w:ind w:left="200" w:hanging="192"/>
        <w:spacing w:after="0"/>
        <w:tabs>
          <w:tab w:leader="none" w:pos="20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xml:space="preserve"> (Continued)</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evaluates and monitors the credit quality of its residential construction loans (including land acquisition and development loans) by analyzing LTV and loan performance. Monitoring a residential construction mortgage loan increases when the loan is delinquent or earlier if there is an indication of impairment.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aggregate unpaid principal balance of residential construction mortgage loans by credit quality indicator and origination year was as follows as of June 30, 2023:</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80" w:type="dxa"/>
            <w:vAlign w:val="bottom"/>
          </w:tcPr>
          <w:p>
            <w:pPr>
              <w:spacing w:after="0"/>
              <w:rPr>
                <w:sz w:val="20"/>
                <w:szCs w:val="20"/>
                <w:color w:val="auto"/>
              </w:rPr>
            </w:pPr>
          </w:p>
        </w:tc>
        <w:tc>
          <w:tcPr>
            <w:tcW w:w="2860" w:type="dxa"/>
            <w:vAlign w:val="bottom"/>
            <w:gridSpan w:val="3"/>
          </w:tcPr>
          <w:p>
            <w:pPr>
              <w:ind w:left="280"/>
              <w:spacing w:after="0"/>
              <w:rPr>
                <w:sz w:val="20"/>
                <w:szCs w:val="20"/>
                <w:color w:val="auto"/>
              </w:rPr>
            </w:pPr>
            <w:r>
              <w:rPr>
                <w:rFonts w:ascii="Arial" w:cs="Arial" w:eastAsia="Arial" w:hAnsi="Arial"/>
                <w:sz w:val="18"/>
                <w:szCs w:val="18"/>
                <w:color w:val="auto"/>
              </w:rPr>
              <w:t>Credit Quality Indicator</w:t>
            </w:r>
          </w:p>
        </w:tc>
        <w:tc>
          <w:tcPr>
            <w:tcW w:w="20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2023</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20"/>
                <w:szCs w:val="20"/>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 of Total</w:t>
            </w:r>
          </w:p>
        </w:tc>
      </w:tr>
      <w:tr>
        <w:trPr>
          <w:trHeight w:val="196"/>
        </w:trPr>
        <w:tc>
          <w:tcPr>
            <w:tcW w:w="3040" w:type="dxa"/>
            <w:vAlign w:val="bottom"/>
            <w:tcBorders>
              <w:top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color w:val="auto"/>
              </w:rPr>
              <w:t>Performance Indicators:</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16"/>
        </w:trPr>
        <w:tc>
          <w:tcPr>
            <w:tcW w:w="17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Performing</w:t>
            </w:r>
          </w:p>
        </w:tc>
        <w:tc>
          <w:tcPr>
            <w:tcW w:w="1500" w:type="dxa"/>
            <w:vAlign w:val="bottom"/>
            <w:tcBorders>
              <w:top w:val="single" w:sz="8" w:color="CCEEFF"/>
            </w:tcBorders>
            <w:gridSpan w:val="2"/>
          </w:tcPr>
          <w:p>
            <w:pPr>
              <w:spacing w:after="0"/>
              <w:rPr>
                <w:sz w:val="18"/>
                <w:szCs w:val="18"/>
                <w:color w:val="auto"/>
              </w:rPr>
            </w:pPr>
          </w:p>
        </w:tc>
        <w:tc>
          <w:tcPr>
            <w:tcW w:w="20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CCEEFF"/>
            </w:tcBorders>
            <w:gridSpan w:val="2"/>
          </w:tcPr>
          <w:p>
            <w:pPr>
              <w:jc w:val="right"/>
              <w:ind w:right="320"/>
              <w:spacing w:after="0"/>
              <w:rPr>
                <w:sz w:val="20"/>
                <w:szCs w:val="20"/>
                <w:color w:val="auto"/>
              </w:rPr>
            </w:pPr>
            <w:r>
              <w:rPr>
                <w:rFonts w:ascii="Arial" w:cs="Arial" w:eastAsia="Arial" w:hAnsi="Arial"/>
                <w:sz w:val="18"/>
                <w:szCs w:val="18"/>
                <w:color w:val="auto"/>
                <w:w w:val="99"/>
              </w:rPr>
              <w:t>32,159,616</w:t>
            </w:r>
          </w:p>
        </w:tc>
        <w:tc>
          <w:tcPr>
            <w:tcW w:w="200" w:type="dxa"/>
            <w:vAlign w:val="bottom"/>
            <w:tcBorders>
              <w:top w:val="single" w:sz="8" w:color="CCEEFF"/>
            </w:tcBorders>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CCEEFF"/>
            </w:tcBorders>
            <w:gridSpan w:val="2"/>
          </w:tcPr>
          <w:p>
            <w:pPr>
              <w:jc w:val="right"/>
              <w:ind w:right="140"/>
              <w:spacing w:after="0"/>
              <w:rPr>
                <w:sz w:val="20"/>
                <w:szCs w:val="20"/>
                <w:color w:val="auto"/>
              </w:rPr>
            </w:pPr>
            <w:r>
              <w:rPr>
                <w:rFonts w:ascii="Arial" w:cs="Arial" w:eastAsia="Arial" w:hAnsi="Arial"/>
                <w:sz w:val="18"/>
                <w:szCs w:val="18"/>
                <w:color w:val="auto"/>
                <w:w w:val="99"/>
              </w:rPr>
              <w:t>49,757,061</w:t>
            </w:r>
          </w:p>
        </w:tc>
        <w:tc>
          <w:tcPr>
            <w:tcW w:w="34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CCEEFF"/>
            </w:tcBorders>
            <w:gridSpan w:val="2"/>
          </w:tcPr>
          <w:p>
            <w:pPr>
              <w:jc w:val="right"/>
              <w:ind w:right="140"/>
              <w:spacing w:after="0"/>
              <w:rPr>
                <w:sz w:val="20"/>
                <w:szCs w:val="20"/>
                <w:color w:val="auto"/>
              </w:rPr>
            </w:pPr>
            <w:r>
              <w:rPr>
                <w:rFonts w:ascii="Arial" w:cs="Arial" w:eastAsia="Arial" w:hAnsi="Arial"/>
                <w:sz w:val="18"/>
                <w:szCs w:val="18"/>
                <w:color w:val="auto"/>
                <w:w w:val="99"/>
              </w:rPr>
              <w:t>39,405,855</w:t>
            </w:r>
          </w:p>
        </w:tc>
        <w:tc>
          <w:tcPr>
            <w:tcW w:w="28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CCEEFF"/>
            </w:tcBorders>
            <w:gridSpan w:val="2"/>
          </w:tcPr>
          <w:p>
            <w:pPr>
              <w:jc w:val="right"/>
              <w:ind w:right="300"/>
              <w:spacing w:after="0"/>
              <w:rPr>
                <w:sz w:val="20"/>
                <w:szCs w:val="20"/>
                <w:color w:val="auto"/>
              </w:rPr>
            </w:pPr>
            <w:r>
              <w:rPr>
                <w:rFonts w:ascii="Arial" w:cs="Arial" w:eastAsia="Arial" w:hAnsi="Arial"/>
                <w:sz w:val="18"/>
                <w:szCs w:val="18"/>
                <w:color w:val="auto"/>
                <w:w w:val="91"/>
              </w:rPr>
              <w:t>121,322,532</w:t>
            </w:r>
          </w:p>
        </w:tc>
        <w:tc>
          <w:tcPr>
            <w:tcW w:w="1240" w:type="dxa"/>
            <w:vAlign w:val="bottom"/>
            <w:tcBorders>
              <w:top w:val="single" w:sz="8" w:color="CCEEFF"/>
            </w:tcBorders>
            <w:gridSpan w:val="3"/>
          </w:tcPr>
          <w:p>
            <w:pPr>
              <w:jc w:val="right"/>
              <w:spacing w:after="0"/>
              <w:rPr>
                <w:sz w:val="20"/>
                <w:szCs w:val="20"/>
                <w:color w:val="auto"/>
              </w:rPr>
            </w:pPr>
            <w:r>
              <w:rPr>
                <w:rFonts w:ascii="Arial" w:cs="Arial" w:eastAsia="Arial" w:hAnsi="Arial"/>
                <w:sz w:val="18"/>
                <w:szCs w:val="18"/>
                <w:color w:val="auto"/>
              </w:rPr>
              <w:t>100.00%</w:t>
            </w:r>
          </w:p>
        </w:tc>
      </w:tr>
      <w:tr>
        <w:trPr>
          <w:trHeight w:val="237"/>
        </w:trPr>
        <w:tc>
          <w:tcPr>
            <w:tcW w:w="3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Non-performing</w:t>
            </w:r>
          </w:p>
        </w:tc>
        <w:tc>
          <w:tcPr>
            <w:tcW w:w="2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0.00%</w:t>
            </w:r>
          </w:p>
        </w:tc>
      </w:tr>
      <w:tr>
        <w:trPr>
          <w:trHeight w:val="216"/>
        </w:trPr>
        <w:tc>
          <w:tcPr>
            <w:tcW w:w="3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43"/>
        </w:trPr>
        <w:tc>
          <w:tcPr>
            <w:tcW w:w="3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32,159,616</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49,757,061</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39,405,855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1"/>
              </w:rPr>
              <w:t>121,322,532</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197"/>
        </w:trPr>
        <w:tc>
          <w:tcPr>
            <w:tcW w:w="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3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94"/>
              </w:rPr>
              <w:t>LTV:</w:t>
            </w:r>
          </w:p>
        </w:tc>
        <w:tc>
          <w:tcPr>
            <w:tcW w:w="2860" w:type="dxa"/>
            <w:vAlign w:val="bottom"/>
            <w:tcBorders>
              <w:bottom w:val="single" w:sz="8" w:color="CCEEFF"/>
            </w:tcBorders>
            <w:gridSpan w:val="3"/>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r>
      <w:tr>
        <w:trPr>
          <w:trHeight w:val="216"/>
        </w:trPr>
        <w:tc>
          <w:tcPr>
            <w:tcW w:w="3240" w:type="dxa"/>
            <w:vAlign w:val="bottom"/>
            <w:gridSpan w:val="4"/>
          </w:tcPr>
          <w:p>
            <w:pPr>
              <w:spacing w:after="0"/>
              <w:rPr>
                <w:sz w:val="20"/>
                <w:szCs w:val="20"/>
                <w:color w:val="auto"/>
              </w:rPr>
            </w:pPr>
            <w:r>
              <w:rPr>
                <w:rFonts w:ascii="Arial" w:cs="Arial" w:eastAsia="Arial" w:hAnsi="Arial"/>
                <w:sz w:val="18"/>
                <w:szCs w:val="18"/>
                <w:color w:val="auto"/>
              </w:rPr>
              <w:t>Less than 65%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22,977,981</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26,504,890</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4,005,001</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53,487,872</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44.09%</w:t>
            </w:r>
          </w:p>
        </w:tc>
      </w:tr>
      <w:tr>
        <w:trPr>
          <w:trHeight w:val="216"/>
        </w:trPr>
        <w:tc>
          <w:tcPr>
            <w:tcW w:w="3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65% to 80%</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9,181,635</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23,252,171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35,400,854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67,834,660</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55.91%</w:t>
            </w:r>
          </w:p>
        </w:tc>
      </w:tr>
      <w:tr>
        <w:trPr>
          <w:trHeight w:val="236"/>
        </w:trPr>
        <w:tc>
          <w:tcPr>
            <w:tcW w:w="3240" w:type="dxa"/>
            <w:vAlign w:val="bottom"/>
            <w:gridSpan w:val="4"/>
          </w:tcPr>
          <w:p>
            <w:pPr>
              <w:spacing w:after="0"/>
              <w:rPr>
                <w:sz w:val="20"/>
                <w:szCs w:val="20"/>
                <w:color w:val="auto"/>
              </w:rPr>
            </w:pPr>
            <w:r>
              <w:rPr>
                <w:rFonts w:ascii="Arial" w:cs="Arial" w:eastAsia="Arial" w:hAnsi="Arial"/>
                <w:sz w:val="18"/>
                <w:szCs w:val="18"/>
                <w:color w:val="auto"/>
              </w:rPr>
              <w:t>Greater than 80%</w:t>
            </w:r>
          </w:p>
        </w:tc>
        <w:tc>
          <w:tcPr>
            <w:tcW w:w="20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0.00%</w:t>
            </w:r>
          </w:p>
        </w:tc>
      </w:tr>
      <w:tr>
        <w:trPr>
          <w:trHeight w:val="216"/>
        </w:trPr>
        <w:tc>
          <w:tcPr>
            <w:tcW w:w="3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43"/>
        </w:trPr>
        <w:tc>
          <w:tcPr>
            <w:tcW w:w="3240" w:type="dxa"/>
            <w:vAlign w:val="bottom"/>
            <w:gridSpan w:val="4"/>
          </w:tcPr>
          <w:p>
            <w:pPr>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32,159,616</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49,757,061</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39,405,855</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w w:val="91"/>
              </w:rPr>
              <w:t>121,322,532</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100.00%</w:t>
            </w:r>
          </w:p>
        </w:tc>
      </w:tr>
      <w:tr>
        <w:trPr>
          <w:trHeight w:val="20"/>
        </w:trPr>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Assignments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aging of insurance assignments, included in other investments and policy loans on the condensed consolidated balance sheets: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441"/>
              <w:spacing w:after="0"/>
              <w:rPr>
                <w:sz w:val="20"/>
                <w:szCs w:val="20"/>
                <w:color w:val="auto"/>
              </w:rPr>
            </w:pPr>
            <w:r>
              <w:rPr>
                <w:rFonts w:ascii="Arial" w:cs="Arial" w:eastAsia="Arial" w:hAnsi="Arial"/>
                <w:sz w:val="18"/>
                <w:szCs w:val="18"/>
                <w:color w:val="auto"/>
                <w:w w:val="93"/>
              </w:rPr>
              <w:t>As of June 30,</w:t>
            </w:r>
          </w:p>
        </w:tc>
        <w:tc>
          <w:tcPr>
            <w:tcW w:w="1600" w:type="dxa"/>
            <w:vAlign w:val="bottom"/>
            <w:gridSpan w:val="4"/>
          </w:tcPr>
          <w:p>
            <w:pPr>
              <w:jc w:val="right"/>
              <w:ind w:right="120"/>
              <w:spacing w:after="0"/>
              <w:rPr>
                <w:sz w:val="20"/>
                <w:szCs w:val="20"/>
                <w:color w:val="auto"/>
              </w:rPr>
            </w:pPr>
            <w:r>
              <w:rPr>
                <w:rFonts w:ascii="Arial" w:cs="Arial" w:eastAsia="Arial" w:hAnsi="Arial"/>
                <w:sz w:val="18"/>
                <w:szCs w:val="18"/>
                <w:color w:val="auto"/>
                <w:w w:val="91"/>
              </w:rPr>
              <w:t>As of December 31,</w:t>
            </w:r>
          </w:p>
        </w:tc>
      </w:tr>
      <w:tr>
        <w:trPr>
          <w:trHeight w:val="237"/>
        </w:trPr>
        <w:tc>
          <w:tcPr>
            <w:tcW w:w="56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2023</w:t>
            </w:r>
          </w:p>
        </w:tc>
        <w:tc>
          <w:tcPr>
            <w:tcW w:w="2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30-59 days past due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7,756,991</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1"/>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10,621,443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60-89 days past due</w:t>
            </w:r>
          </w:p>
        </w:tc>
        <w:tc>
          <w:tcPr>
            <w:tcW w:w="160" w:type="dxa"/>
            <w:vAlign w:val="bottom"/>
          </w:tcPr>
          <w:p>
            <w:pPr>
              <w:spacing w:after="0"/>
              <w:rPr>
                <w:sz w:val="18"/>
                <w:szCs w:val="18"/>
                <w:color w:val="auto"/>
              </w:rPr>
            </w:pPr>
          </w:p>
        </w:tc>
        <w:tc>
          <w:tcPr>
            <w:tcW w:w="1620" w:type="dxa"/>
            <w:vAlign w:val="bottom"/>
            <w:gridSpan w:val="2"/>
          </w:tcPr>
          <w:p>
            <w:pPr>
              <w:jc w:val="right"/>
              <w:ind w:right="181"/>
              <w:spacing w:after="0"/>
              <w:rPr>
                <w:sz w:val="20"/>
                <w:szCs w:val="20"/>
                <w:color w:val="auto"/>
              </w:rPr>
            </w:pPr>
            <w:r>
              <w:rPr>
                <w:rFonts w:ascii="Arial" w:cs="Arial" w:eastAsia="Arial" w:hAnsi="Arial"/>
                <w:sz w:val="18"/>
                <w:szCs w:val="18"/>
                <w:color w:val="auto"/>
              </w:rPr>
              <w:t>3,093,411</w:t>
            </w:r>
          </w:p>
        </w:tc>
        <w:tc>
          <w:tcPr>
            <w:tcW w:w="3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3,997,484</w:t>
            </w:r>
          </w:p>
        </w:tc>
        <w:tc>
          <w:tcPr>
            <w:tcW w:w="60" w:type="dxa"/>
            <w:vAlign w:val="bottom"/>
          </w:tcPr>
          <w:p>
            <w:pPr>
              <w:spacing w:after="0"/>
              <w:rPr>
                <w:sz w:val="18"/>
                <w:szCs w:val="18"/>
                <w:color w:val="auto"/>
              </w:rPr>
            </w:pPr>
          </w:p>
        </w:tc>
      </w:tr>
      <w:tr>
        <w:trPr>
          <w:trHeight w:val="250"/>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Over 90 days past due</w:t>
            </w:r>
          </w:p>
        </w:tc>
        <w:tc>
          <w:tcPr>
            <w:tcW w:w="16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4,844,022</w:t>
            </w:r>
          </w:p>
        </w:tc>
        <w:tc>
          <w:tcPr>
            <w:tcW w:w="3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5,813,013</w:t>
            </w:r>
          </w:p>
        </w:tc>
        <w:tc>
          <w:tcPr>
            <w:tcW w:w="60" w:type="dxa"/>
            <w:vAlign w:val="bottom"/>
            <w:shd w:val="clear" w:color="auto" w:fill="CCEEFF"/>
          </w:tcPr>
          <w:p>
            <w:pPr>
              <w:spacing w:after="0"/>
              <w:rPr>
                <w:sz w:val="21"/>
                <w:szCs w:val="21"/>
                <w:color w:val="auto"/>
              </w:rPr>
            </w:pPr>
          </w:p>
        </w:tc>
      </w:tr>
      <w:tr>
        <w:trPr>
          <w:trHeight w:val="210"/>
        </w:trPr>
        <w:tc>
          <w:tcPr>
            <w:tcW w:w="56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past due</w:t>
            </w:r>
          </w:p>
        </w:tc>
        <w:tc>
          <w:tcPr>
            <w:tcW w:w="1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15,694,424</w:t>
            </w:r>
          </w:p>
        </w:tc>
        <w:tc>
          <w:tcPr>
            <w:tcW w:w="260" w:type="dxa"/>
            <w:vAlign w:val="bottom"/>
            <w:tcBorders>
              <w:top w:val="single" w:sz="8" w:color="CCEEFF"/>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20,431,941</w:t>
            </w:r>
          </w:p>
        </w:tc>
        <w:tc>
          <w:tcPr>
            <w:tcW w:w="20" w:type="dxa"/>
            <w:vAlign w:val="bottom"/>
            <w:tcBorders>
              <w:top w:val="single" w:sz="8" w:color="CCEEFF"/>
              <w:bottom w:val="single" w:sz="8" w:color="CCEEFF"/>
            </w:tcBorders>
          </w:tcPr>
          <w:p>
            <w:pPr>
              <w:spacing w:after="0"/>
              <w:rPr>
                <w:sz w:val="18"/>
                <w:szCs w:val="18"/>
                <w:color w:val="auto"/>
              </w:rPr>
            </w:pPr>
          </w:p>
        </w:tc>
        <w:tc>
          <w:tcPr>
            <w:tcW w:w="60" w:type="dxa"/>
            <w:vAlign w:val="bottom"/>
            <w:tcBorders>
              <w:top w:val="single" w:sz="8" w:color="CCEEFF"/>
              <w:bottom w:val="single" w:sz="8" w:color="CCEEFF"/>
            </w:tcBorders>
          </w:tcPr>
          <w:p>
            <w:pPr>
              <w:spacing w:after="0"/>
              <w:rPr>
                <w:sz w:val="18"/>
                <w:szCs w:val="18"/>
                <w:color w:val="auto"/>
              </w:rPr>
            </w:pPr>
          </w:p>
        </w:tc>
      </w:tr>
      <w:tr>
        <w:trPr>
          <w:trHeight w:val="236"/>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w:t>
            </w:r>
          </w:p>
        </w:tc>
        <w:tc>
          <w:tcPr>
            <w:tcW w:w="16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25,462,877</w:t>
            </w:r>
          </w:p>
        </w:tc>
        <w:tc>
          <w:tcPr>
            <w:tcW w:w="2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26,510,594</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r>
      <w:tr>
        <w:trPr>
          <w:trHeight w:val="210"/>
        </w:trPr>
        <w:tc>
          <w:tcPr>
            <w:tcW w:w="560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Total insurance assignments</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41,157,301</w:t>
            </w:r>
          </w:p>
        </w:tc>
        <w:tc>
          <w:tcPr>
            <w:tcW w:w="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46,942,536</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r>
      <w:tr>
        <w:trPr>
          <w:trHeight w:val="236"/>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Allowance for credit losses</w:t>
            </w:r>
          </w:p>
        </w:tc>
        <w:tc>
          <w:tcPr>
            <w:tcW w:w="16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(1,690,693</w:t>
            </w:r>
          </w:p>
        </w:tc>
        <w:tc>
          <w:tcPr>
            <w:tcW w:w="26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74"/>
              </w:rPr>
              <w:t>)</w:t>
            </w:r>
          </w:p>
        </w:tc>
        <w:tc>
          <w:tcPr>
            <w:tcW w:w="3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(1,609,951</w:t>
            </w:r>
          </w:p>
        </w:tc>
        <w:tc>
          <w:tcPr>
            <w:tcW w:w="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r>
      <w:tr>
        <w:trPr>
          <w:trHeight w:val="217"/>
        </w:trPr>
        <w:tc>
          <w:tcPr>
            <w:tcW w:w="5600" w:type="dxa"/>
            <w:vAlign w:val="bottom"/>
          </w:tcPr>
          <w:p>
            <w:pPr>
              <w:spacing w:after="0"/>
              <w:rPr>
                <w:sz w:val="20"/>
                <w:szCs w:val="20"/>
                <w:color w:val="auto"/>
              </w:rPr>
            </w:pPr>
            <w:r>
              <w:rPr>
                <w:rFonts w:ascii="Arial" w:cs="Arial" w:eastAsia="Arial" w:hAnsi="Arial"/>
                <w:sz w:val="18"/>
                <w:szCs w:val="18"/>
                <w:color w:val="auto"/>
              </w:rPr>
              <w:t>Net insurance assignments</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39,466,608</w:t>
            </w:r>
          </w:p>
        </w:tc>
        <w:tc>
          <w:tcPr>
            <w:tcW w:w="260" w:type="dxa"/>
            <w:vAlign w:val="bottom"/>
          </w:tcPr>
          <w:p>
            <w:pPr>
              <w:spacing w:after="0"/>
              <w:rPr>
                <w:sz w:val="18"/>
                <w:szCs w:val="18"/>
                <w:color w:val="auto"/>
              </w:rPr>
            </w:pPr>
          </w:p>
        </w:tc>
        <w:tc>
          <w:tcPr>
            <w:tcW w:w="340" w:type="dxa"/>
            <w:vAlign w:val="bottom"/>
            <w:tcBorders>
              <w:bottom w:val="single" w:sz="8" w:color="auto"/>
            </w:tcBorders>
          </w:tcPr>
          <w:p>
            <w:pPr>
              <w:jc w:val="right"/>
              <w:ind w:right="181"/>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45,332,585</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5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records an allowance for credit losses when the insurance assignment is funded. Once an insurance assignment moves to 90 days or legal proceedings, it is monitored for write-off and collectability, and any adjustments to the allowance are done at that time. See Note 2 regarding the adoption of ASU 2016-13.</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7" w:name="page28"/>
    <w:bookmarkEnd w:id="27"/>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June 30, 2023 (Unaudited)</w:t>
      </w:r>
    </w:p>
    <w:p>
      <w:pPr>
        <w:spacing w:after="0" w:line="184" w:lineRule="exact"/>
        <w:rPr>
          <w:sz w:val="20"/>
          <w:szCs w:val="20"/>
          <w:color w:val="auto"/>
        </w:rPr>
      </w:pPr>
    </w:p>
    <w:p>
      <w:pPr>
        <w:ind w:left="200" w:hanging="192"/>
        <w:spacing w:after="0"/>
        <w:tabs>
          <w:tab w:leader="none" w:pos="20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roll forward of the allowance for credit losses as a contra-asset account for insurance assignments: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gridSpan w:val="2"/>
          </w:tcPr>
          <w:p>
            <w:pPr>
              <w:jc w:val="right"/>
              <w:ind w:right="640"/>
              <w:spacing w:after="0"/>
              <w:rPr>
                <w:sz w:val="20"/>
                <w:szCs w:val="20"/>
                <w:color w:val="auto"/>
              </w:rPr>
            </w:pPr>
            <w:r>
              <w:rPr>
                <w:rFonts w:ascii="Arial" w:cs="Arial" w:eastAsia="Arial" w:hAnsi="Arial"/>
                <w:sz w:val="18"/>
                <w:szCs w:val="18"/>
                <w:color w:val="auto"/>
              </w:rPr>
              <w:t>Allowance</w:t>
            </w:r>
          </w:p>
        </w:tc>
      </w:tr>
      <w:tr>
        <w:trPr>
          <w:trHeight w:val="216"/>
        </w:trPr>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 - January 1, 2023</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1,609,951</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6000" w:type="dxa"/>
            <w:vAlign w:val="bottom"/>
          </w:tcPr>
          <w:p>
            <w:pPr>
              <w:ind w:left="180"/>
              <w:spacing w:after="0"/>
              <w:rPr>
                <w:sz w:val="20"/>
                <w:szCs w:val="20"/>
                <w:color w:val="auto"/>
              </w:rPr>
            </w:pPr>
            <w:r>
              <w:rPr>
                <w:rFonts w:ascii="Arial" w:cs="Arial" w:eastAsia="Arial" w:hAnsi="Arial"/>
                <w:sz w:val="18"/>
                <w:szCs w:val="18"/>
                <w:color w:val="auto"/>
              </w:rPr>
              <w:t>Change in provision for credit losses</w:t>
            </w:r>
          </w:p>
        </w:tc>
        <w:tc>
          <w:tcPr>
            <w:tcW w:w="26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452,326(1)</w:t>
            </w:r>
          </w:p>
        </w:tc>
      </w:tr>
      <w:tr>
        <w:trPr>
          <w:trHeight w:val="249"/>
        </w:trPr>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Charge-offs</w:t>
            </w:r>
          </w:p>
        </w:tc>
        <w:tc>
          <w:tcPr>
            <w:tcW w:w="26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(371,584)</w:t>
            </w:r>
          </w:p>
        </w:tc>
      </w:tr>
      <w:tr>
        <w:trPr>
          <w:trHeight w:val="257"/>
        </w:trPr>
        <w:tc>
          <w:tcPr>
            <w:tcW w:w="600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Ending balance - June 30, 2023</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1,690,693</w:t>
            </w:r>
          </w:p>
        </w:tc>
        <w:tc>
          <w:tcPr>
            <w:tcW w:w="220" w:type="dxa"/>
            <w:vAlign w:val="bottom"/>
            <w:tcBorders>
              <w:top w:val="single" w:sz="8" w:color="CCEEFF"/>
              <w:bottom w:val="single" w:sz="8" w:color="CCEEFF"/>
            </w:tcBorders>
          </w:tcPr>
          <w:p>
            <w:pPr>
              <w:spacing w:after="0"/>
              <w:rPr>
                <w:sz w:val="22"/>
                <w:szCs w:val="22"/>
                <w:color w:val="auto"/>
              </w:rPr>
            </w:pPr>
          </w:p>
        </w:tc>
      </w:tr>
      <w:tr>
        <w:trPr>
          <w:trHeight w:val="197"/>
        </w:trPr>
        <w:tc>
          <w:tcPr>
            <w:tcW w:w="6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Beginning balance - January 1, 2022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1,686,218</w:t>
            </w:r>
          </w:p>
        </w:tc>
      </w:tr>
      <w:tr>
        <w:trPr>
          <w:trHeight w:val="216"/>
        </w:trPr>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provision for credit losses</w:t>
            </w:r>
          </w:p>
        </w:tc>
        <w:tc>
          <w:tcPr>
            <w:tcW w:w="2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889,480(1)</w:t>
            </w:r>
          </w:p>
        </w:tc>
      </w:tr>
      <w:tr>
        <w:trPr>
          <w:trHeight w:val="237"/>
        </w:trPr>
        <w:tc>
          <w:tcPr>
            <w:tcW w:w="6000" w:type="dxa"/>
            <w:vAlign w:val="bottom"/>
          </w:tcPr>
          <w:p>
            <w:pPr>
              <w:ind w:left="180"/>
              <w:spacing w:after="0"/>
              <w:rPr>
                <w:sz w:val="20"/>
                <w:szCs w:val="20"/>
                <w:color w:val="auto"/>
              </w:rPr>
            </w:pPr>
            <w:r>
              <w:rPr>
                <w:rFonts w:ascii="Arial" w:cs="Arial" w:eastAsia="Arial" w:hAnsi="Arial"/>
                <w:sz w:val="18"/>
                <w:szCs w:val="18"/>
                <w:color w:val="auto"/>
              </w:rPr>
              <w:t>Charge-offs</w:t>
            </w:r>
          </w:p>
        </w:tc>
        <w:tc>
          <w:tcPr>
            <w:tcW w:w="260" w:type="dxa"/>
            <w:vAlign w:val="bottom"/>
          </w:tcPr>
          <w:p>
            <w:pPr>
              <w:spacing w:after="0"/>
              <w:rPr>
                <w:sz w:val="20"/>
                <w:szCs w:val="20"/>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(965,747)</w:t>
            </w:r>
          </w:p>
        </w:tc>
      </w:tr>
      <w:tr>
        <w:trPr>
          <w:trHeight w:val="229"/>
        </w:trPr>
        <w:tc>
          <w:tcPr>
            <w:tcW w:w="6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 - December 31, 2022</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1,609,951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(1)  Included in other expenses on the condensed consolidated statements of earnings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Related Earnings</w:t>
      </w:r>
    </w:p>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following table presents the realized gains and losses from sales, calls, and maturities, and unrealized gains and losses on equity securities from investments and other assets: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00" w:type="dxa"/>
            <w:vAlign w:val="bottom"/>
            <w:gridSpan w:val="5"/>
          </w:tcPr>
          <w:p>
            <w:pPr>
              <w:jc w:val="right"/>
              <w:ind w:right="821"/>
              <w:spacing w:after="0"/>
              <w:rPr>
                <w:sz w:val="20"/>
                <w:szCs w:val="20"/>
                <w:color w:val="auto"/>
              </w:rPr>
            </w:pPr>
            <w:r>
              <w:rPr>
                <w:rFonts w:ascii="Arial" w:cs="Arial" w:eastAsia="Arial" w:hAnsi="Arial"/>
                <w:sz w:val="18"/>
                <w:szCs w:val="18"/>
                <w:color w:val="auto"/>
                <w:w w:val="98"/>
              </w:rPr>
              <w:t>Three Months Ended June 30,</w:t>
            </w:r>
          </w:p>
        </w:tc>
        <w:tc>
          <w:tcPr>
            <w:tcW w:w="320" w:type="dxa"/>
            <w:vAlign w:val="bottom"/>
          </w:tcPr>
          <w:p>
            <w:pPr>
              <w:spacing w:after="0"/>
              <w:rPr>
                <w:sz w:val="20"/>
                <w:szCs w:val="20"/>
                <w:color w:val="auto"/>
              </w:rPr>
            </w:pPr>
          </w:p>
        </w:tc>
        <w:tc>
          <w:tcPr>
            <w:tcW w:w="3000" w:type="dxa"/>
            <w:vAlign w:val="bottom"/>
            <w:gridSpan w:val="6"/>
          </w:tcPr>
          <w:p>
            <w:pPr>
              <w:jc w:val="right"/>
              <w:ind w:right="641"/>
              <w:spacing w:after="0"/>
              <w:rPr>
                <w:sz w:val="20"/>
                <w:szCs w:val="20"/>
                <w:color w:val="auto"/>
              </w:rPr>
            </w:pPr>
            <w:r>
              <w:rPr>
                <w:rFonts w:ascii="Arial" w:cs="Arial" w:eastAsia="Arial" w:hAnsi="Arial"/>
                <w:sz w:val="18"/>
                <w:szCs w:val="18"/>
                <w:color w:val="auto"/>
              </w:rPr>
              <w:t>Six Months Ended June 30,</w:t>
            </w:r>
          </w:p>
        </w:tc>
      </w:tr>
      <w:tr>
        <w:trPr>
          <w:trHeight w:val="237"/>
        </w:trPr>
        <w:tc>
          <w:tcPr>
            <w:tcW w:w="41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2023</w:t>
            </w:r>
          </w:p>
        </w:tc>
        <w:tc>
          <w:tcPr>
            <w:tcW w:w="34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34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2023</w:t>
            </w:r>
          </w:p>
        </w:tc>
        <w:tc>
          <w:tcPr>
            <w:tcW w:w="20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Fixed maturity securities:</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60" w:type="dxa"/>
            <w:vAlign w:val="bottom"/>
          </w:tcPr>
          <w:p>
            <w:pPr>
              <w:ind w:left="180"/>
              <w:spacing w:after="0"/>
              <w:rPr>
                <w:sz w:val="20"/>
                <w:szCs w:val="20"/>
                <w:color w:val="auto"/>
              </w:rPr>
            </w:pPr>
            <w:r>
              <w:rPr>
                <w:rFonts w:ascii="Arial" w:cs="Arial" w:eastAsia="Arial" w:hAnsi="Arial"/>
                <w:sz w:val="18"/>
                <w:szCs w:val="18"/>
                <w:color w:val="auto"/>
              </w:rPr>
              <w:t>Gross realized gains</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1,563</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61"/>
              <w:spacing w:after="0"/>
              <w:rPr>
                <w:sz w:val="20"/>
                <w:szCs w:val="20"/>
                <w:color w:val="auto"/>
              </w:rPr>
            </w:pPr>
            <w:r>
              <w:rPr>
                <w:rFonts w:ascii="Arial" w:cs="Arial" w:eastAsia="Arial" w:hAnsi="Arial"/>
                <w:sz w:val="18"/>
                <w:szCs w:val="18"/>
                <w:color w:val="auto"/>
              </w:rPr>
              <w:t>129,512</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17,054</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175,635</w:t>
            </w:r>
          </w:p>
        </w:tc>
      </w:tr>
      <w:tr>
        <w:trPr>
          <w:trHeight w:val="216"/>
        </w:trPr>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realized losses</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(36,908)</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(9,828)</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(91,799)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(10,758)</w:t>
            </w:r>
          </w:p>
        </w:tc>
      </w:tr>
      <w:tr>
        <w:trPr>
          <w:trHeight w:val="216"/>
        </w:trPr>
        <w:tc>
          <w:tcPr>
            <w:tcW w:w="4160" w:type="dxa"/>
            <w:vAlign w:val="bottom"/>
          </w:tcPr>
          <w:p>
            <w:pPr>
              <w:ind w:left="180"/>
              <w:spacing w:after="0"/>
              <w:rPr>
                <w:sz w:val="20"/>
                <w:szCs w:val="20"/>
                <w:color w:val="auto"/>
              </w:rPr>
            </w:pPr>
            <w:r>
              <w:rPr>
                <w:rFonts w:ascii="Arial" w:cs="Arial" w:eastAsia="Arial" w:hAnsi="Arial"/>
                <w:sz w:val="18"/>
                <w:szCs w:val="18"/>
                <w:color w:val="auto"/>
              </w:rPr>
              <w:t>Net credit loss (provision) release</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(44,505)</w:t>
            </w:r>
          </w:p>
        </w:tc>
        <w:tc>
          <w:tcPr>
            <w:tcW w:w="340" w:type="dxa"/>
            <w:vAlign w:val="bottom"/>
          </w:tcPr>
          <w:p>
            <w:pPr>
              <w:spacing w:after="0"/>
              <w:rPr>
                <w:sz w:val="18"/>
                <w:szCs w:val="18"/>
                <w:color w:val="auto"/>
              </w:rPr>
            </w:pPr>
          </w:p>
        </w:tc>
        <w:tc>
          <w:tcPr>
            <w:tcW w:w="148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(224,005)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4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Equity securities: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Gains (losses) on securities sold</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5,363</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81,596</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(46,952)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71,317</w:t>
            </w:r>
          </w:p>
        </w:tc>
      </w:tr>
      <w:tr>
        <w:trPr>
          <w:trHeight w:val="202"/>
        </w:trPr>
        <w:tc>
          <w:tcPr>
            <w:tcW w:w="4160" w:type="dxa"/>
            <w:vAlign w:val="bottom"/>
          </w:tcPr>
          <w:p>
            <w:pPr>
              <w:ind w:left="180"/>
              <w:spacing w:after="0" w:line="201" w:lineRule="exact"/>
              <w:rPr>
                <w:sz w:val="20"/>
                <w:szCs w:val="20"/>
                <w:color w:val="auto"/>
              </w:rPr>
            </w:pPr>
            <w:r>
              <w:rPr>
                <w:rFonts w:ascii="Arial" w:cs="Arial" w:eastAsia="Arial" w:hAnsi="Arial"/>
                <w:sz w:val="18"/>
                <w:szCs w:val="18"/>
                <w:color w:val="auto"/>
                <w:w w:val="91"/>
              </w:rPr>
              <w:t>Unrealized gains and (losses) on securities held at the</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160" w:type="dxa"/>
            <w:vAlign w:val="bottom"/>
          </w:tcPr>
          <w:p>
            <w:pPr>
              <w:ind w:left="180"/>
              <w:spacing w:after="0"/>
              <w:rPr>
                <w:sz w:val="20"/>
                <w:szCs w:val="20"/>
                <w:color w:val="auto"/>
              </w:rPr>
            </w:pPr>
            <w:r>
              <w:rPr>
                <w:rFonts w:ascii="Arial" w:cs="Arial" w:eastAsia="Arial" w:hAnsi="Arial"/>
                <w:sz w:val="18"/>
                <w:szCs w:val="18"/>
                <w:color w:val="auto"/>
              </w:rPr>
              <w:t>end of the period</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566,633</w:t>
            </w:r>
          </w:p>
        </w:tc>
        <w:tc>
          <w:tcPr>
            <w:tcW w:w="340" w:type="dxa"/>
            <w:vAlign w:val="bottom"/>
          </w:tcPr>
          <w:p>
            <w:pPr>
              <w:spacing w:after="0"/>
              <w:rPr>
                <w:sz w:val="20"/>
                <w:szCs w:val="20"/>
                <w:color w:val="auto"/>
              </w:rPr>
            </w:pPr>
          </w:p>
        </w:tc>
        <w:tc>
          <w:tcPr>
            <w:tcW w:w="1480" w:type="dxa"/>
            <w:vAlign w:val="bottom"/>
            <w:gridSpan w:val="2"/>
          </w:tcPr>
          <w:p>
            <w:pPr>
              <w:jc w:val="right"/>
              <w:ind w:right="201"/>
              <w:spacing w:after="0"/>
              <w:rPr>
                <w:sz w:val="20"/>
                <w:szCs w:val="20"/>
                <w:color w:val="auto"/>
              </w:rPr>
            </w:pPr>
            <w:r>
              <w:rPr>
                <w:rFonts w:ascii="Arial" w:cs="Arial" w:eastAsia="Arial" w:hAnsi="Arial"/>
                <w:sz w:val="18"/>
                <w:szCs w:val="18"/>
                <w:color w:val="auto"/>
              </w:rPr>
              <w:t>(2,106,375)</w:t>
            </w:r>
          </w:p>
        </w:tc>
        <w:tc>
          <w:tcPr>
            <w:tcW w:w="32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898,064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(2,713,422)</w:t>
            </w:r>
          </w:p>
        </w:tc>
      </w:tr>
      <w:tr>
        <w:trPr>
          <w:trHeight w:val="216"/>
        </w:trPr>
        <w:tc>
          <w:tcPr>
            <w:tcW w:w="4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Real estate held for investment and sale:</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realized gains</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161,028</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364,150</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161,028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1,239,331</w:t>
            </w:r>
          </w:p>
        </w:tc>
      </w:tr>
      <w:tr>
        <w:trPr>
          <w:trHeight w:val="216"/>
        </w:trPr>
        <w:tc>
          <w:tcPr>
            <w:tcW w:w="4160" w:type="dxa"/>
            <w:vAlign w:val="bottom"/>
          </w:tcPr>
          <w:p>
            <w:pPr>
              <w:ind w:left="180"/>
              <w:spacing w:after="0"/>
              <w:rPr>
                <w:sz w:val="20"/>
                <w:szCs w:val="20"/>
                <w:color w:val="auto"/>
              </w:rPr>
            </w:pPr>
            <w:r>
              <w:rPr>
                <w:rFonts w:ascii="Arial" w:cs="Arial" w:eastAsia="Arial" w:hAnsi="Arial"/>
                <w:sz w:val="18"/>
                <w:szCs w:val="18"/>
                <w:color w:val="auto"/>
              </w:rPr>
              <w:t>Gross realized losses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80" w:type="dxa"/>
            <w:vAlign w:val="bottom"/>
            <w:gridSpan w:val="2"/>
          </w:tcPr>
          <w:p>
            <w:pPr>
              <w:jc w:val="right"/>
              <w:ind w:right="201"/>
              <w:spacing w:after="0"/>
              <w:rPr>
                <w:sz w:val="20"/>
                <w:szCs w:val="20"/>
                <w:color w:val="auto"/>
              </w:rPr>
            </w:pPr>
            <w:r>
              <w:rPr>
                <w:rFonts w:ascii="Arial" w:cs="Arial" w:eastAsia="Arial" w:hAnsi="Arial"/>
                <w:sz w:val="18"/>
                <w:szCs w:val="18"/>
                <w:color w:val="auto"/>
              </w:rPr>
              <w:t>(94,400)</w:t>
            </w:r>
          </w:p>
        </w:tc>
        <w:tc>
          <w:tcPr>
            <w:tcW w:w="3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(98,222)</w:t>
            </w:r>
          </w:p>
        </w:tc>
      </w:tr>
      <w:tr>
        <w:trPr>
          <w:trHeight w:val="216"/>
        </w:trPr>
        <w:tc>
          <w:tcPr>
            <w:tcW w:w="4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w w:val="96"/>
              </w:rPr>
              <w:t>Other assets, including call and put option derivatives: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realized gains</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163,410</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720,950</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214,348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593,699</w:t>
            </w:r>
          </w:p>
        </w:tc>
      </w:tr>
      <w:tr>
        <w:trPr>
          <w:trHeight w:val="236"/>
        </w:trPr>
        <w:tc>
          <w:tcPr>
            <w:tcW w:w="4160" w:type="dxa"/>
            <w:vAlign w:val="bottom"/>
          </w:tcPr>
          <w:p>
            <w:pPr>
              <w:ind w:left="180"/>
              <w:spacing w:after="0"/>
              <w:rPr>
                <w:sz w:val="20"/>
                <w:szCs w:val="20"/>
                <w:color w:val="auto"/>
              </w:rPr>
            </w:pPr>
            <w:r>
              <w:rPr>
                <w:rFonts w:ascii="Arial" w:cs="Arial" w:eastAsia="Arial" w:hAnsi="Arial"/>
                <w:sz w:val="18"/>
                <w:szCs w:val="18"/>
                <w:color w:val="auto"/>
              </w:rPr>
              <w:t>Gross realized losses</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48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30"/>
        </w:trPr>
        <w:tc>
          <w:tcPr>
            <w:tcW w:w="41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816,584</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(914,395</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927,738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(742,420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4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realized gains and losses on the sale of securities are recorded on the trade date, and the cost of the securities sold is determined using the specific identification method.</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realized gains and losses includes gains and losses by the restricted assets and cemetery perpetual care trust investments of the cemeteries and mortuaries of $197,580 in net gains and $720,135 in net losses for the three month periods ended June 30, 2023, and 2022, respectively, and of $251,510 in net gains and $995,876 in net losses for the six month periods ended June 30, 2023, and 2022, respectively.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8" w:name="page29"/>
    <w:bookmarkEnd w:id="28"/>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June 30, 2023 (Unaudited)</w:t>
      </w:r>
    </w:p>
    <w:p>
      <w:pPr>
        <w:spacing w:after="0" w:line="184" w:lineRule="exact"/>
        <w:rPr>
          <w:sz w:val="20"/>
          <w:szCs w:val="20"/>
          <w:color w:val="auto"/>
        </w:rPr>
      </w:pPr>
    </w:p>
    <w:p>
      <w:pPr>
        <w:ind w:left="200" w:hanging="192"/>
        <w:spacing w:after="0"/>
        <w:tabs>
          <w:tab w:leader="none" w:pos="20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Major categories of net investment income were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00" w:type="dxa"/>
            <w:vAlign w:val="bottom"/>
            <w:gridSpan w:val="5"/>
          </w:tcPr>
          <w:p>
            <w:pPr>
              <w:jc w:val="right"/>
              <w:ind w:right="900"/>
              <w:spacing w:after="0"/>
              <w:rPr>
                <w:sz w:val="20"/>
                <w:szCs w:val="20"/>
                <w:color w:val="auto"/>
              </w:rPr>
            </w:pPr>
            <w:r>
              <w:rPr>
                <w:rFonts w:ascii="Arial" w:cs="Arial" w:eastAsia="Arial" w:hAnsi="Arial"/>
                <w:sz w:val="18"/>
                <w:szCs w:val="18"/>
                <w:color w:val="auto"/>
                <w:w w:val="98"/>
              </w:rPr>
              <w:t>Three Months Ended June 30,</w:t>
            </w:r>
          </w:p>
        </w:tc>
        <w:tc>
          <w:tcPr>
            <w:tcW w:w="320" w:type="dxa"/>
            <w:vAlign w:val="bottom"/>
          </w:tcPr>
          <w:p>
            <w:pPr>
              <w:spacing w:after="0"/>
              <w:rPr>
                <w:sz w:val="20"/>
                <w:szCs w:val="20"/>
                <w:color w:val="auto"/>
              </w:rPr>
            </w:pPr>
          </w:p>
        </w:tc>
        <w:tc>
          <w:tcPr>
            <w:tcW w:w="3000" w:type="dxa"/>
            <w:vAlign w:val="bottom"/>
            <w:gridSpan w:val="6"/>
          </w:tcPr>
          <w:p>
            <w:pPr>
              <w:jc w:val="right"/>
              <w:ind w:right="720"/>
              <w:spacing w:after="0"/>
              <w:rPr>
                <w:sz w:val="20"/>
                <w:szCs w:val="20"/>
                <w:color w:val="auto"/>
              </w:rPr>
            </w:pPr>
            <w:r>
              <w:rPr>
                <w:rFonts w:ascii="Arial" w:cs="Arial" w:eastAsia="Arial" w:hAnsi="Arial"/>
                <w:sz w:val="18"/>
                <w:szCs w:val="18"/>
                <w:color w:val="auto"/>
              </w:rPr>
              <w:t>Six Months Ended June 30,</w:t>
            </w:r>
          </w:p>
        </w:tc>
      </w:tr>
      <w:tr>
        <w:trPr>
          <w:trHeight w:val="236"/>
        </w:trPr>
        <w:tc>
          <w:tcPr>
            <w:tcW w:w="3680" w:type="dxa"/>
            <w:vAlign w:val="bottom"/>
            <w:tcBorders>
              <w:bottom w:val="single" w:sz="8" w:color="CCEEFF"/>
            </w:tcBorders>
          </w:tcPr>
          <w:p>
            <w:pPr>
              <w:spacing w:after="0"/>
              <w:rPr>
                <w:sz w:val="20"/>
                <w:szCs w:val="20"/>
                <w:color w:val="auto"/>
              </w:rPr>
            </w:pPr>
          </w:p>
        </w:tc>
        <w:tc>
          <w:tcPr>
            <w:tcW w:w="60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2023</w:t>
            </w:r>
          </w:p>
        </w:tc>
        <w:tc>
          <w:tcPr>
            <w:tcW w:w="34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34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2023</w:t>
            </w:r>
          </w:p>
        </w:tc>
        <w:tc>
          <w:tcPr>
            <w:tcW w:w="20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Fixed maturity securities available for sale</w:t>
            </w: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4,143,768</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2,811,650</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8,156,500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5,447,866</w:t>
            </w:r>
          </w:p>
        </w:tc>
        <w:tc>
          <w:tcPr>
            <w:tcW w:w="100" w:type="dxa"/>
            <w:vAlign w:val="bottom"/>
            <w:shd w:val="clear" w:color="auto" w:fill="CCEEFF"/>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Equity securities</w:t>
            </w: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140,709</w:t>
            </w: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119,798</w:t>
            </w:r>
          </w:p>
        </w:tc>
        <w:tc>
          <w:tcPr>
            <w:tcW w:w="3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281,216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242,834</w:t>
            </w: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Mortgage loans held for investment</w:t>
            </w: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9,467,407</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9,244,464</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17,955,063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17,204,642</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Real estate held for investment and sale</w:t>
            </w: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4,897,672</w:t>
            </w: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4,012,192</w:t>
            </w:r>
          </w:p>
        </w:tc>
        <w:tc>
          <w:tcPr>
            <w:tcW w:w="3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8,262,596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7,052,226</w:t>
            </w: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Policy loans</w:t>
            </w: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207,441</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207,301</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407,655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513,583</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Insurance assignments</w:t>
            </w: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4,461,813</w:t>
            </w: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4,093,723</w:t>
            </w:r>
          </w:p>
        </w:tc>
        <w:tc>
          <w:tcPr>
            <w:tcW w:w="3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9,230,016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9,490,710</w:t>
            </w: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213,103</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98,361</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342,160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169,006</w:t>
            </w:r>
          </w:p>
        </w:tc>
      </w:tr>
      <w:tr>
        <w:trPr>
          <w:trHeight w:val="236"/>
        </w:trPr>
        <w:tc>
          <w:tcPr>
            <w:tcW w:w="36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780,146</w:t>
            </w:r>
          </w:p>
        </w:tc>
        <w:tc>
          <w:tcPr>
            <w:tcW w:w="340" w:type="dxa"/>
            <w:vAlign w:val="bottom"/>
          </w:tcPr>
          <w:p>
            <w:pPr>
              <w:spacing w:after="0"/>
              <w:rPr>
                <w:sz w:val="20"/>
                <w:szCs w:val="20"/>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108,431</w:t>
            </w:r>
          </w:p>
        </w:tc>
        <w:tc>
          <w:tcPr>
            <w:tcW w:w="32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1,567,907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183,732</w:t>
            </w:r>
          </w:p>
        </w:tc>
      </w:tr>
      <w:tr>
        <w:trPr>
          <w:trHeight w:val="216"/>
        </w:trPr>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investment income</w:t>
            </w:r>
          </w:p>
        </w:tc>
        <w:tc>
          <w:tcPr>
            <w:tcW w:w="6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24,312,059</w:t>
            </w: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20,695,920</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46,203,113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40,304,599</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3680" w:type="dxa"/>
            <w:vAlign w:val="bottom"/>
          </w:tcPr>
          <w:p>
            <w:pPr>
              <w:spacing w:after="0"/>
              <w:rPr>
                <w:sz w:val="20"/>
                <w:szCs w:val="20"/>
                <w:color w:val="auto"/>
              </w:rPr>
            </w:pPr>
            <w:r>
              <w:rPr>
                <w:rFonts w:ascii="Arial" w:cs="Arial" w:eastAsia="Arial" w:hAnsi="Arial"/>
                <w:sz w:val="18"/>
                <w:szCs w:val="18"/>
                <w:color w:val="auto"/>
              </w:rPr>
              <w:t>Investment expenses</w:t>
            </w: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(4,140,085)</w:t>
            </w:r>
          </w:p>
        </w:tc>
        <w:tc>
          <w:tcPr>
            <w:tcW w:w="340" w:type="dxa"/>
            <w:vAlign w:val="bottom"/>
          </w:tcPr>
          <w:p>
            <w:pPr>
              <w:spacing w:after="0"/>
              <w:rPr>
                <w:sz w:val="20"/>
                <w:szCs w:val="20"/>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(4,724,632)</w:t>
            </w:r>
          </w:p>
        </w:tc>
        <w:tc>
          <w:tcPr>
            <w:tcW w:w="32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(8,256,256)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(9,139,005)</w:t>
            </w:r>
          </w:p>
        </w:tc>
      </w:tr>
      <w:tr>
        <w:trPr>
          <w:trHeight w:val="230"/>
        </w:trPr>
        <w:tc>
          <w:tcPr>
            <w:tcW w:w="3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6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20,171,974</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15,971,288</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37,946,857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31,165,594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investment income includes income earned by the restricted assets of the cemeteries and mortuaries of $1,250,861 and $730,534 for the three month periods ended June 30, 2023 and 2022, respectively, and of $1,852,352 and $1,207,243 for the six month periods ended June 30, 2023 and 2022,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Net investment income on real estate consists primarily of rental revenue.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Investment expenses consist primarily of depreciation, property taxes, operating expenses of real estate and an estimated portion of administrative expenses relating to investment activities.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20" w:type="dxa"/>
            <w:vAlign w:val="bottom"/>
          </w:tcPr>
          <w:p>
            <w:pPr>
              <w:spacing w:after="0"/>
              <w:rPr>
                <w:sz w:val="20"/>
                <w:szCs w:val="20"/>
                <w:color w:val="auto"/>
              </w:rPr>
            </w:pPr>
            <w:r>
              <w:rPr>
                <w:rFonts w:ascii="Arial" w:cs="Arial" w:eastAsia="Arial" w:hAnsi="Arial"/>
                <w:sz w:val="18"/>
                <w:szCs w:val="18"/>
                <w:b w:val="1"/>
                <w:bCs w:val="1"/>
                <w:color w:val="auto"/>
              </w:rPr>
              <w:t>Accrued Investment Income</w:t>
            </w: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432"/>
        </w:trPr>
        <w:tc>
          <w:tcPr>
            <w:tcW w:w="4720" w:type="dxa"/>
            <w:vAlign w:val="bottom"/>
          </w:tcPr>
          <w:p>
            <w:pPr>
              <w:spacing w:after="0"/>
              <w:rPr>
                <w:sz w:val="20"/>
                <w:szCs w:val="20"/>
                <w:color w:val="auto"/>
              </w:rPr>
            </w:pPr>
            <w:r>
              <w:rPr>
                <w:rFonts w:ascii="Arial" w:cs="Arial" w:eastAsia="Arial" w:hAnsi="Arial"/>
                <w:sz w:val="18"/>
                <w:szCs w:val="18"/>
                <w:color w:val="auto"/>
              </w:rPr>
              <w:t>Accrued investment income consists of the following:</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18"/>
        </w:trPr>
        <w:tc>
          <w:tcPr>
            <w:tcW w:w="4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gridSpan w:val="2"/>
          </w:tcPr>
          <w:p>
            <w:pPr>
              <w:jc w:val="right"/>
              <w:ind w:right="520"/>
              <w:spacing w:after="0"/>
              <w:rPr>
                <w:sz w:val="20"/>
                <w:szCs w:val="20"/>
                <w:color w:val="auto"/>
              </w:rPr>
            </w:pPr>
            <w:r>
              <w:rPr>
                <w:rFonts w:ascii="Arial" w:cs="Arial" w:eastAsia="Arial" w:hAnsi="Arial"/>
                <w:sz w:val="18"/>
                <w:szCs w:val="18"/>
                <w:color w:val="auto"/>
                <w:w w:val="93"/>
              </w:rPr>
              <w:t>As of June 30,</w:t>
            </w:r>
          </w:p>
        </w:tc>
        <w:tc>
          <w:tcPr>
            <w:tcW w:w="1600" w:type="dxa"/>
            <w:vAlign w:val="bottom"/>
            <w:gridSpan w:val="3"/>
          </w:tcPr>
          <w:p>
            <w:pPr>
              <w:jc w:val="right"/>
              <w:ind w:right="120"/>
              <w:spacing w:after="0"/>
              <w:rPr>
                <w:sz w:val="20"/>
                <w:szCs w:val="20"/>
                <w:color w:val="auto"/>
              </w:rPr>
            </w:pPr>
            <w:r>
              <w:rPr>
                <w:rFonts w:ascii="Arial" w:cs="Arial" w:eastAsia="Arial" w:hAnsi="Arial"/>
                <w:sz w:val="18"/>
                <w:szCs w:val="18"/>
                <w:color w:val="auto"/>
                <w:w w:val="91"/>
              </w:rPr>
              <w:t>As of December 31,</w:t>
            </w:r>
          </w:p>
        </w:tc>
        <w:tc>
          <w:tcPr>
            <w:tcW w:w="2260" w:type="dxa"/>
            <w:vAlign w:val="bottom"/>
          </w:tcPr>
          <w:p>
            <w:pPr>
              <w:spacing w:after="0"/>
              <w:rPr>
                <w:sz w:val="24"/>
                <w:szCs w:val="24"/>
                <w:color w:val="auto"/>
              </w:rPr>
            </w:pPr>
          </w:p>
        </w:tc>
      </w:tr>
      <w:tr>
        <w:trPr>
          <w:trHeight w:val="237"/>
        </w:trPr>
        <w:tc>
          <w:tcPr>
            <w:tcW w:w="4720" w:type="dxa"/>
            <w:vAlign w:val="bottom"/>
            <w:tcBorders>
              <w:bottom w:val="single" w:sz="8" w:color="CCEEFF"/>
            </w:tcBorders>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2023</w:t>
            </w:r>
          </w:p>
        </w:tc>
        <w:tc>
          <w:tcPr>
            <w:tcW w:w="2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c>
          <w:tcPr>
            <w:tcW w:w="80" w:type="dxa"/>
            <w:vAlign w:val="bottom"/>
            <w:tcBorders>
              <w:bottom w:val="single" w:sz="8" w:color="CCEEFF"/>
            </w:tcBorders>
          </w:tcPr>
          <w:p>
            <w:pPr>
              <w:spacing w:after="0"/>
              <w:rPr>
                <w:sz w:val="20"/>
                <w:szCs w:val="20"/>
                <w:color w:val="auto"/>
              </w:rPr>
            </w:pPr>
          </w:p>
        </w:tc>
        <w:tc>
          <w:tcPr>
            <w:tcW w:w="2260" w:type="dxa"/>
            <w:vAlign w:val="bottom"/>
          </w:tcPr>
          <w:p>
            <w:pPr>
              <w:spacing w:after="0"/>
              <w:rPr>
                <w:sz w:val="20"/>
                <w:szCs w:val="20"/>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Fixed maturity securities available for sale</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3,566,511</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1"/>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3,563,767</w:t>
            </w:r>
          </w:p>
        </w:tc>
        <w:tc>
          <w:tcPr>
            <w:tcW w:w="80" w:type="dxa"/>
            <w:vAlign w:val="bottom"/>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Equity securities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12,858</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14,496</w:t>
            </w:r>
          </w:p>
        </w:tc>
        <w:tc>
          <w:tcPr>
            <w:tcW w:w="226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Mortgage loans held for investment</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3,042,343</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3,220,709</w:t>
            </w:r>
          </w:p>
        </w:tc>
        <w:tc>
          <w:tcPr>
            <w:tcW w:w="2260" w:type="dxa"/>
            <w:vAlign w:val="bottom"/>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Real estate held for investment</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3,517,092</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3,455,305</w:t>
            </w:r>
          </w:p>
        </w:tc>
        <w:tc>
          <w:tcPr>
            <w:tcW w:w="226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Policy Loans</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42,151</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37,951</w:t>
            </w:r>
          </w:p>
        </w:tc>
        <w:tc>
          <w:tcPr>
            <w:tcW w:w="2260" w:type="dxa"/>
            <w:vAlign w:val="bottom"/>
          </w:tcPr>
          <w:p>
            <w:pPr>
              <w:spacing w:after="0"/>
              <w:rPr>
                <w:sz w:val="18"/>
                <w:szCs w:val="18"/>
                <w:color w:val="auto"/>
              </w:rPr>
            </w:pPr>
          </w:p>
        </w:tc>
      </w:tr>
      <w:tr>
        <w:trPr>
          <w:trHeight w:val="236"/>
        </w:trPr>
        <w:tc>
          <w:tcPr>
            <w:tcW w:w="47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7,596</w:t>
            </w:r>
          </w:p>
        </w:tc>
        <w:tc>
          <w:tcPr>
            <w:tcW w:w="340" w:type="dxa"/>
            <w:vAlign w:val="bottom"/>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7,598</w:t>
            </w:r>
          </w:p>
        </w:tc>
        <w:tc>
          <w:tcPr>
            <w:tcW w:w="2260" w:type="dxa"/>
            <w:vAlign w:val="bottom"/>
          </w:tcPr>
          <w:p>
            <w:pPr>
              <w:spacing w:after="0"/>
              <w:rPr>
                <w:sz w:val="20"/>
                <w:szCs w:val="20"/>
                <w:color w:val="auto"/>
              </w:rPr>
            </w:pPr>
          </w:p>
        </w:tc>
      </w:tr>
      <w:tr>
        <w:trPr>
          <w:trHeight w:val="230"/>
        </w:trPr>
        <w:tc>
          <w:tcPr>
            <w:tcW w:w="4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accrued investment income</w:t>
            </w:r>
          </w:p>
        </w:tc>
        <w:tc>
          <w:tcPr>
            <w:tcW w:w="8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10,188,551</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81"/>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10,299,826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60" w:type="dxa"/>
            <w:vAlign w:val="bottom"/>
          </w:tcPr>
          <w:p>
            <w:pPr>
              <w:spacing w:after="0"/>
              <w:rPr>
                <w:sz w:val="19"/>
                <w:szCs w:val="19"/>
                <w:color w:val="auto"/>
              </w:rPr>
            </w:pPr>
          </w:p>
        </w:tc>
      </w:tr>
      <w:tr>
        <w:trPr>
          <w:trHeight w:val="20"/>
        </w:trPr>
        <w:tc>
          <w:tcPr>
            <w:tcW w:w="4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420"/>
        </w:trPr>
        <w:tc>
          <w:tcPr>
            <w:tcW w:w="47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center"/>
              <w:ind w:left="690"/>
              <w:spacing w:after="0"/>
              <w:rPr>
                <w:sz w:val="20"/>
                <w:szCs w:val="20"/>
                <w:color w:val="auto"/>
              </w:rPr>
            </w:pPr>
            <w:r>
              <w:rPr>
                <w:rFonts w:ascii="Arial" w:cs="Arial" w:eastAsia="Arial" w:hAnsi="Arial"/>
                <w:sz w:val="18"/>
                <w:szCs w:val="18"/>
                <w:color w:val="auto"/>
                <w:w w:val="89"/>
              </w:rPr>
              <w:t>27</w:t>
            </w:r>
          </w:p>
        </w:tc>
        <w:tc>
          <w:tcPr>
            <w:tcW w:w="1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29" w:name="page30"/>
    <w:bookmarkEnd w:id="29"/>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June 30, 2023 (Unaudited)</w:t>
      </w:r>
    </w:p>
    <w:p>
      <w:pPr>
        <w:spacing w:after="0" w:line="184" w:lineRule="exact"/>
        <w:rPr>
          <w:sz w:val="20"/>
          <w:szCs w:val="20"/>
          <w:color w:val="auto"/>
        </w:rPr>
      </w:pPr>
    </w:p>
    <w:p>
      <w:pPr>
        <w:ind w:left="200" w:hanging="192"/>
        <w:spacing w:after="0"/>
        <w:tabs>
          <w:tab w:leader="none" w:pos="20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Loans Held for Sale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elected the fair value option for loans held for sale. Changes in the fair value of the loans are included in mortgage fee income. Interest income is recorded based on the contractual terms of the loan and in accordance with the Company’s policy on mortgage loans held for investment and is included in mortgage fee income on the condensed consolidated statement of earnings. See Note 8 to the condensed consolidated financial statements for additional disclosures regarding loans held for sale.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aggregate fair value and the aggregate unpaid principal balance of loans held for sale: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480"/>
              <w:spacing w:after="0"/>
              <w:rPr>
                <w:sz w:val="20"/>
                <w:szCs w:val="20"/>
                <w:color w:val="auto"/>
              </w:rPr>
            </w:pPr>
            <w:r>
              <w:rPr>
                <w:rFonts w:ascii="Arial" w:cs="Arial" w:eastAsia="Arial" w:hAnsi="Arial"/>
                <w:sz w:val="18"/>
                <w:szCs w:val="18"/>
                <w:color w:val="auto"/>
                <w:w w:val="93"/>
              </w:rPr>
              <w:t>As of June 30,</w:t>
            </w:r>
          </w:p>
        </w:tc>
        <w:tc>
          <w:tcPr>
            <w:tcW w:w="1560" w:type="dxa"/>
            <w:vAlign w:val="bottom"/>
            <w:gridSpan w:val="3"/>
          </w:tcPr>
          <w:p>
            <w:pPr>
              <w:jc w:val="right"/>
              <w:ind w:right="80"/>
              <w:spacing w:after="0"/>
              <w:rPr>
                <w:sz w:val="20"/>
                <w:szCs w:val="20"/>
                <w:color w:val="auto"/>
              </w:rPr>
            </w:pPr>
            <w:r>
              <w:rPr>
                <w:rFonts w:ascii="Arial" w:cs="Arial" w:eastAsia="Arial" w:hAnsi="Arial"/>
                <w:sz w:val="18"/>
                <w:szCs w:val="18"/>
                <w:color w:val="auto"/>
                <w:w w:val="91"/>
              </w:rPr>
              <w:t>As of December 31,</w:t>
            </w:r>
          </w:p>
        </w:tc>
      </w:tr>
      <w:tr>
        <w:trPr>
          <w:trHeight w:val="237"/>
        </w:trPr>
        <w:tc>
          <w:tcPr>
            <w:tcW w:w="45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c>
          <w:tcPr>
            <w:tcW w:w="60" w:type="dxa"/>
            <w:vAlign w:val="bottom"/>
          </w:tcPr>
          <w:p>
            <w:pPr>
              <w:spacing w:after="0"/>
              <w:rPr>
                <w:sz w:val="20"/>
                <w:szCs w:val="20"/>
                <w:color w:val="auto"/>
              </w:rPr>
            </w:pPr>
          </w:p>
        </w:tc>
      </w:tr>
      <w:tr>
        <w:trPr>
          <w:trHeight w:val="216"/>
        </w:trPr>
        <w:tc>
          <w:tcPr>
            <w:tcW w:w="4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Aggregate fair value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161,310,060</w:t>
            </w:r>
          </w:p>
        </w:tc>
        <w:tc>
          <w:tcPr>
            <w:tcW w:w="320" w:type="dxa"/>
            <w:vAlign w:val="bottom"/>
            <w:shd w:val="clear" w:color="auto" w:fill="CCEEFF"/>
          </w:tcPr>
          <w:p>
            <w:pPr>
              <w:jc w:val="right"/>
              <w:ind w:right="158"/>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141,179,620</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Unpaid principal balance</w:t>
            </w:r>
          </w:p>
        </w:tc>
        <w:tc>
          <w:tcPr>
            <w:tcW w:w="14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162,075,374</w:t>
            </w:r>
          </w:p>
        </w:tc>
        <w:tc>
          <w:tcPr>
            <w:tcW w:w="3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141,337,811</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(765,314)</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(158,191)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Mortgage Fee Income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Mortgage fee income consists of origination fees, processing fees, interest income and certain other income related to the origination and sale of mortgage loans held for sale.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Major categories of mortgage fee income for loans held for sale are summarized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20" w:type="dxa"/>
            <w:vAlign w:val="bottom"/>
            <w:gridSpan w:val="5"/>
          </w:tcPr>
          <w:p>
            <w:pPr>
              <w:jc w:val="right"/>
              <w:ind w:right="700"/>
              <w:spacing w:after="0"/>
              <w:rPr>
                <w:sz w:val="20"/>
                <w:szCs w:val="20"/>
                <w:color w:val="auto"/>
              </w:rPr>
            </w:pPr>
            <w:r>
              <w:rPr>
                <w:rFonts w:ascii="Arial" w:cs="Arial" w:eastAsia="Arial" w:hAnsi="Arial"/>
                <w:sz w:val="18"/>
                <w:szCs w:val="18"/>
                <w:color w:val="auto"/>
                <w:w w:val="94"/>
              </w:rPr>
              <w:t>Three Months Ended June 30,</w:t>
            </w:r>
          </w:p>
        </w:tc>
        <w:tc>
          <w:tcPr>
            <w:tcW w:w="280" w:type="dxa"/>
            <w:vAlign w:val="bottom"/>
          </w:tcPr>
          <w:p>
            <w:pPr>
              <w:spacing w:after="0"/>
              <w:rPr>
                <w:sz w:val="20"/>
                <w:szCs w:val="20"/>
                <w:color w:val="auto"/>
              </w:rPr>
            </w:pPr>
          </w:p>
        </w:tc>
        <w:tc>
          <w:tcPr>
            <w:tcW w:w="2700" w:type="dxa"/>
            <w:vAlign w:val="bottom"/>
            <w:gridSpan w:val="5"/>
          </w:tcPr>
          <w:p>
            <w:pPr>
              <w:jc w:val="right"/>
              <w:ind w:right="540"/>
              <w:spacing w:after="0"/>
              <w:rPr>
                <w:sz w:val="20"/>
                <w:szCs w:val="20"/>
                <w:color w:val="auto"/>
              </w:rPr>
            </w:pPr>
            <w:r>
              <w:rPr>
                <w:rFonts w:ascii="Arial" w:cs="Arial" w:eastAsia="Arial" w:hAnsi="Arial"/>
                <w:sz w:val="18"/>
                <w:szCs w:val="18"/>
                <w:color w:val="auto"/>
                <w:w w:val="97"/>
              </w:rPr>
              <w:t>Six Months Ended June 30,</w:t>
            </w:r>
          </w:p>
        </w:tc>
      </w:tr>
      <w:tr>
        <w:trPr>
          <w:trHeight w:val="236"/>
        </w:trPr>
        <w:tc>
          <w:tcPr>
            <w:tcW w:w="386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2023</w:t>
            </w:r>
          </w:p>
        </w:tc>
        <w:tc>
          <w:tcPr>
            <w:tcW w:w="30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2022</w:t>
            </w:r>
          </w:p>
        </w:tc>
        <w:tc>
          <w:tcPr>
            <w:tcW w:w="30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2023</w:t>
            </w:r>
          </w:p>
        </w:tc>
        <w:tc>
          <w:tcPr>
            <w:tcW w:w="280" w:type="dxa"/>
            <w:vAlign w:val="bottom"/>
            <w:tcBorders>
              <w:top w:val="single" w:sz="8" w:color="auto"/>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2022</w:t>
            </w:r>
          </w:p>
        </w:tc>
        <w:tc>
          <w:tcPr>
            <w:tcW w:w="80" w:type="dxa"/>
            <w:vAlign w:val="bottom"/>
            <w:tcBorders>
              <w:bottom w:val="single" w:sz="8" w:color="CCEEFF"/>
            </w:tcBorders>
          </w:tcPr>
          <w:p>
            <w:pPr>
              <w:spacing w:after="0"/>
              <w:rPr>
                <w:sz w:val="20"/>
                <w:szCs w:val="20"/>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Loan fees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5,986,802</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7,950,227</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10,375,215</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15,037,410</w:t>
            </w:r>
          </w:p>
        </w:tc>
        <w:tc>
          <w:tcPr>
            <w:tcW w:w="80" w:type="dxa"/>
            <w:vAlign w:val="bottom"/>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2,620,489</w:t>
            </w:r>
          </w:p>
        </w:tc>
        <w:tc>
          <w:tcPr>
            <w:tcW w:w="30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2,923,446</w:t>
            </w:r>
          </w:p>
        </w:tc>
        <w:tc>
          <w:tcPr>
            <w:tcW w:w="28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4,627,546</w:t>
            </w: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4,955,315</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Secondary gains</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19,298,213</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37,161,287</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37,259,571</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76,763,900</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Change in fair value of loan commitments</w:t>
            </w:r>
          </w:p>
        </w:tc>
        <w:tc>
          <w:tcPr>
            <w:tcW w:w="2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(151,382)</w:t>
            </w:r>
          </w:p>
        </w:tc>
        <w:tc>
          <w:tcPr>
            <w:tcW w:w="30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(2,247,244)</w:t>
            </w:r>
          </w:p>
        </w:tc>
        <w:tc>
          <w:tcPr>
            <w:tcW w:w="28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526,570</w:t>
            </w: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428,127</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loans held for sale</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(1,401,738)</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(3,463,922)</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(607,123)</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(6,210,487)</w:t>
            </w:r>
          </w:p>
        </w:tc>
      </w:tr>
      <w:tr>
        <w:trPr>
          <w:trHeight w:val="237"/>
        </w:trPr>
        <w:tc>
          <w:tcPr>
            <w:tcW w:w="3860" w:type="dxa"/>
            <w:vAlign w:val="bottom"/>
          </w:tcPr>
          <w:p>
            <w:pPr>
              <w:spacing w:after="0"/>
              <w:rPr>
                <w:sz w:val="20"/>
                <w:szCs w:val="20"/>
                <w:color w:val="auto"/>
              </w:rPr>
            </w:pPr>
            <w:r>
              <w:rPr>
                <w:rFonts w:ascii="Arial" w:cs="Arial" w:eastAsia="Arial" w:hAnsi="Arial"/>
                <w:sz w:val="18"/>
                <w:szCs w:val="18"/>
                <w:color w:val="auto"/>
              </w:rPr>
              <w:t>Provision for loan loss reserve</w:t>
            </w:r>
          </w:p>
        </w:tc>
        <w:tc>
          <w:tcPr>
            <w:tcW w:w="24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(273,631)</w:t>
            </w:r>
          </w:p>
        </w:tc>
        <w:tc>
          <w:tcPr>
            <w:tcW w:w="30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(292,896)</w:t>
            </w:r>
          </w:p>
        </w:tc>
        <w:tc>
          <w:tcPr>
            <w:tcW w:w="28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(114,020)</w:t>
            </w:r>
          </w:p>
        </w:tc>
        <w:tc>
          <w:tcPr>
            <w:tcW w:w="28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(598,922)</w:t>
            </w:r>
          </w:p>
        </w:tc>
      </w:tr>
      <w:tr>
        <w:trPr>
          <w:trHeight w:val="229"/>
        </w:trPr>
        <w:tc>
          <w:tcPr>
            <w:tcW w:w="3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Mortgage fee income</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26,078,753</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42,030,898</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52,067,759</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90,375,343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Loan Loss Reserve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Repurchase demands from third party investors that correspond to mortgage loans previously held for sale and sold are reviewed and relevant data is captured so that an estimated future loss can be calculated. The key factors that are used in the estimated future loss calculation are as follows: (i) lien position, (ii) payment status, (iii) claim type, (iv) unpaid principal balance, (v) interest rate, and (vi) validity of the demand. Other data is captured and is useful for management purposes; the actual estimated loss is generally based on these key factors. The Company conducts its own review upon the receipt of a repurchase demand. In many instances, the Company is able to resolve the issues relating to the repurchase demand by the third-party investor without having to make any payments to the investor.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0" w:name="page31"/>
    <w:bookmarkEnd w:id="30"/>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June 30, 2023 (Unaudited)</w:t>
      </w:r>
    </w:p>
    <w:p>
      <w:pPr>
        <w:spacing w:after="0" w:line="184" w:lineRule="exact"/>
        <w:rPr>
          <w:sz w:val="20"/>
          <w:szCs w:val="20"/>
          <w:color w:val="auto"/>
        </w:rPr>
      </w:pPr>
    </w:p>
    <w:p>
      <w:pPr>
        <w:ind w:left="200" w:hanging="192"/>
        <w:spacing w:after="0"/>
        <w:tabs>
          <w:tab w:leader="none" w:pos="20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Loans Held for Sale</w:t>
      </w:r>
      <w:r>
        <w:rPr>
          <w:rFonts w:ascii="Arial" w:cs="Arial" w:eastAsia="Arial" w:hAnsi="Arial"/>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loan loss reserve, which is included in other liabilities and accrued expenses, is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gridSpan w:val="2"/>
          </w:tcPr>
          <w:p>
            <w:pPr>
              <w:jc w:val="right"/>
              <w:ind w:right="680"/>
              <w:spacing w:after="0"/>
              <w:rPr>
                <w:sz w:val="20"/>
                <w:szCs w:val="20"/>
                <w:color w:val="auto"/>
              </w:rPr>
            </w:pPr>
            <w:r>
              <w:rPr>
                <w:rFonts w:ascii="Arial" w:cs="Arial" w:eastAsia="Arial" w:hAnsi="Arial"/>
                <w:sz w:val="18"/>
                <w:szCs w:val="18"/>
                <w:color w:val="auto"/>
              </w:rPr>
              <w:t>As of June 30,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3"/>
          </w:tcPr>
          <w:p>
            <w:pPr>
              <w:jc w:val="right"/>
              <w:ind w:right="300"/>
              <w:spacing w:after="0"/>
              <w:rPr>
                <w:sz w:val="20"/>
                <w:szCs w:val="20"/>
                <w:color w:val="auto"/>
              </w:rPr>
            </w:pPr>
            <w:r>
              <w:rPr>
                <w:rFonts w:ascii="Arial" w:cs="Arial" w:eastAsia="Arial" w:hAnsi="Arial"/>
                <w:sz w:val="18"/>
                <w:szCs w:val="18"/>
                <w:color w:val="auto"/>
                <w:w w:val="94"/>
              </w:rPr>
              <w:t>As of December 31,</w:t>
            </w:r>
          </w:p>
        </w:tc>
      </w:tr>
      <w:tr>
        <w:trPr>
          <w:trHeight w:val="237"/>
        </w:trPr>
        <w:tc>
          <w:tcPr>
            <w:tcW w:w="48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2023</w:t>
            </w:r>
          </w:p>
        </w:tc>
        <w:tc>
          <w:tcPr>
            <w:tcW w:w="2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2022</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1,725,667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2,447,139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Provision on current loan originations (1)</w:t>
            </w:r>
          </w:p>
        </w:tc>
        <w:tc>
          <w:tcPr>
            <w:tcW w:w="260" w:type="dxa"/>
            <w:vAlign w:val="bottom"/>
          </w:tcPr>
          <w:p>
            <w:pPr>
              <w:spacing w:after="0"/>
              <w:rPr>
                <w:sz w:val="18"/>
                <w:szCs w:val="18"/>
                <w:color w:val="auto"/>
              </w:rPr>
            </w:pPr>
          </w:p>
        </w:tc>
        <w:tc>
          <w:tcPr>
            <w:tcW w:w="1900" w:type="dxa"/>
            <w:vAlign w:val="bottom"/>
            <w:gridSpan w:val="2"/>
          </w:tcPr>
          <w:p>
            <w:pPr>
              <w:jc w:val="right"/>
              <w:ind w:right="260"/>
              <w:spacing w:after="0"/>
              <w:rPr>
                <w:sz w:val="20"/>
                <w:szCs w:val="20"/>
                <w:color w:val="auto"/>
              </w:rPr>
            </w:pPr>
            <w:r>
              <w:rPr>
                <w:rFonts w:ascii="Arial" w:cs="Arial" w:eastAsia="Arial" w:hAnsi="Arial"/>
                <w:sz w:val="18"/>
                <w:szCs w:val="18"/>
                <w:color w:val="auto"/>
              </w:rPr>
              <w:t>513,431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1,078,812</w:t>
            </w:r>
          </w:p>
        </w:tc>
        <w:tc>
          <w:tcPr>
            <w:tcW w:w="60" w:type="dxa"/>
            <w:vAlign w:val="bottom"/>
          </w:tcPr>
          <w:p>
            <w:pPr>
              <w:spacing w:after="0"/>
              <w:rPr>
                <w:sz w:val="18"/>
                <w:szCs w:val="18"/>
                <w:color w:val="auto"/>
              </w:rPr>
            </w:pPr>
          </w:p>
        </w:tc>
      </w:tr>
      <w:tr>
        <w:trPr>
          <w:trHeight w:val="249"/>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Charge-offs, net of recaptured amounts</w:t>
            </w:r>
          </w:p>
        </w:tc>
        <w:tc>
          <w:tcPr>
            <w:tcW w:w="26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(983,185)</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(1,800,284)</w:t>
            </w:r>
          </w:p>
        </w:tc>
      </w:tr>
      <w:tr>
        <w:trPr>
          <w:trHeight w:val="217"/>
        </w:trPr>
        <w:tc>
          <w:tcPr>
            <w:tcW w:w="48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end of period</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1,255,913</w:t>
            </w: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1,725,667</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4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(1)  Included in mortgage fee income</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maintains reserves for estimated losses on current production volumes. For the six month period ended June 30, 2023, $513,431 in reserves were added at a rate of 4.5 basis points per loan, the equivalent of $450 per $1,000,000 in loans originated. This is an increase over the six month period ended June 30, 2022, when reserves of $598,922 were added at a rate of 2.9 basis points per loan originated, the equivalent of $290 per $1,000,000 in loans originated. The Company will continue to monitor data and economic conditions in order to maintain adequate loss reserves on current production. Thus, the Company believes that the final loan loss reserve as of June 30, 2023, represents its best estimate for adequate loss reserves on loans sold.</w:t>
      </w:r>
    </w:p>
    <w:p>
      <w:pPr>
        <w:spacing w:after="0" w:line="161" w:lineRule="exact"/>
        <w:rPr>
          <w:sz w:val="20"/>
          <w:szCs w:val="20"/>
          <w:color w:val="auto"/>
        </w:rPr>
      </w:pPr>
    </w:p>
    <w:p>
      <w:pPr>
        <w:ind w:left="200" w:hanging="192"/>
        <w:spacing w:after="0"/>
        <w:tabs>
          <w:tab w:leader="none" w:pos="20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Stock Compensation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three fixed option plans (the “2013 Plan”, the “2014 Director Plan” and the “2022 Equity Incentive Plan”).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Stock based compensation expense for stock options issued of $142,696 and $220,175 has been recognized for these plans for the three month periods ended June 30, 2023, and 2022, respectively, and $284,883 and $491,922 has been recognized for these plans for the six month periods ended June 30, 2023 and 2022, respectively, and is included in personnel expenses on the condensed consolidated statements of earnings. As of June 30, 2023, the total unrecognized compensation expense related to the options issued was $248,748, which is expected to be recognized over the vesting period.</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 of each option granted is estimated on the date of grant using the Black Scholes Option Pricing Model. The Company estimates the expected life of the options using the simplified method. Future volatility is estimated based upon the weighted historical volatility of the Company’s Class A common stock over a period equal to the expected life of the options. The risk-free interest rate for the expected life of the options is based upon the Federal Reserve Board’s daily interest rates in effect at the time of the grant.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Activity of the stock option plans during the six month period ended June 30, 2023, is summarized as follows:</w:t>
      </w:r>
    </w:p>
    <w:p>
      <w:pPr>
        <w:sectPr>
          <w:pgSz w:w="11900" w:h="16838" w:orient="portrait"/>
          <w:cols w:equalWidth="0" w:num="1">
            <w:col w:w="11240"/>
          </w:cols>
          <w:pgMar w:left="320" w:top="692"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Outstanding at January 1, 2023</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Adjustment for the effect of stock dividends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Granted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Exercised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Cancelled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Outstanding at June 30, 2023</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Options exercisable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Available options for future grant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center"/>
              <w:ind w:right="520"/>
              <w:spacing w:after="0"/>
              <w:rPr>
                <w:sz w:val="20"/>
                <w:szCs w:val="20"/>
                <w:color w:val="auto"/>
              </w:rPr>
            </w:pPr>
            <w:r>
              <w:rPr>
                <w:rFonts w:ascii="Arial" w:cs="Arial" w:eastAsia="Arial" w:hAnsi="Arial"/>
                <w:sz w:val="18"/>
                <w:szCs w:val="18"/>
                <w:color w:val="auto"/>
                <w:w w:val="92"/>
              </w:rPr>
              <w:t>Weighted</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230"/>
              <w:spacing w:after="0"/>
              <w:rPr>
                <w:sz w:val="20"/>
                <w:szCs w:val="20"/>
                <w:color w:val="auto"/>
              </w:rPr>
            </w:pPr>
            <w:r>
              <w:rPr>
                <w:rFonts w:ascii="Arial" w:cs="Arial" w:eastAsia="Arial" w:hAnsi="Arial"/>
                <w:sz w:val="18"/>
                <w:szCs w:val="18"/>
                <w:color w:val="auto"/>
                <w:w w:val="99"/>
              </w:rPr>
              <w:t>Weighted</w:t>
            </w:r>
          </w:p>
        </w:tc>
      </w:tr>
      <w:tr>
        <w:trPr>
          <w:trHeight w:val="216"/>
        </w:trPr>
        <w:tc>
          <w:tcPr>
            <w:tcW w:w="1620" w:type="dxa"/>
            <w:vAlign w:val="bottom"/>
            <w:gridSpan w:val="2"/>
          </w:tcPr>
          <w:p>
            <w:pPr>
              <w:jc w:val="right"/>
              <w:ind w:right="580"/>
              <w:spacing w:after="0"/>
              <w:rPr>
                <w:sz w:val="20"/>
                <w:szCs w:val="20"/>
                <w:color w:val="auto"/>
              </w:rPr>
            </w:pPr>
            <w:r>
              <w:rPr>
                <w:rFonts w:ascii="Arial" w:cs="Arial" w:eastAsia="Arial" w:hAnsi="Arial"/>
                <w:sz w:val="18"/>
                <w:szCs w:val="18"/>
                <w:color w:val="auto"/>
              </w:rPr>
              <w:t>Number of</w:t>
            </w:r>
          </w:p>
        </w:tc>
        <w:tc>
          <w:tcPr>
            <w:tcW w:w="1640" w:type="dxa"/>
            <w:vAlign w:val="bottom"/>
            <w:gridSpan w:val="3"/>
          </w:tcPr>
          <w:p>
            <w:pPr>
              <w:jc w:val="center"/>
              <w:ind w:right="300"/>
              <w:spacing w:after="0"/>
              <w:rPr>
                <w:sz w:val="20"/>
                <w:szCs w:val="20"/>
                <w:color w:val="auto"/>
              </w:rPr>
            </w:pPr>
            <w:r>
              <w:rPr>
                <w:rFonts w:ascii="Arial" w:cs="Arial" w:eastAsia="Arial" w:hAnsi="Arial"/>
                <w:sz w:val="18"/>
                <w:szCs w:val="18"/>
                <w:color w:val="auto"/>
                <w:w w:val="89"/>
              </w:rPr>
              <w:t>Average Exercise</w:t>
            </w:r>
          </w:p>
        </w:tc>
        <w:tc>
          <w:tcPr>
            <w:tcW w:w="1460" w:type="dxa"/>
            <w:vAlign w:val="bottom"/>
            <w:gridSpan w:val="2"/>
          </w:tcPr>
          <w:p>
            <w:pPr>
              <w:ind w:left="260"/>
              <w:spacing w:after="0"/>
              <w:rPr>
                <w:sz w:val="20"/>
                <w:szCs w:val="20"/>
                <w:color w:val="auto"/>
              </w:rPr>
            </w:pPr>
            <w:r>
              <w:rPr>
                <w:rFonts w:ascii="Arial" w:cs="Arial" w:eastAsia="Arial" w:hAnsi="Arial"/>
                <w:sz w:val="18"/>
                <w:szCs w:val="18"/>
                <w:color w:val="auto"/>
              </w:rPr>
              <w:t>Number of</w:t>
            </w:r>
          </w:p>
        </w:tc>
        <w:tc>
          <w:tcPr>
            <w:tcW w:w="140" w:type="dxa"/>
            <w:vAlign w:val="bottom"/>
          </w:tcPr>
          <w:p>
            <w:pPr>
              <w:spacing w:after="0"/>
              <w:rPr>
                <w:sz w:val="18"/>
                <w:szCs w:val="18"/>
                <w:color w:val="auto"/>
              </w:rPr>
            </w:pPr>
          </w:p>
        </w:tc>
        <w:tc>
          <w:tcPr>
            <w:tcW w:w="1300" w:type="dxa"/>
            <w:vAlign w:val="bottom"/>
            <w:gridSpan w:val="2"/>
          </w:tcPr>
          <w:p>
            <w:pPr>
              <w:ind w:left="20"/>
              <w:spacing w:after="0"/>
              <w:rPr>
                <w:sz w:val="20"/>
                <w:szCs w:val="20"/>
                <w:color w:val="auto"/>
              </w:rPr>
            </w:pPr>
            <w:r>
              <w:rPr>
                <w:rFonts w:ascii="Arial" w:cs="Arial" w:eastAsia="Arial" w:hAnsi="Arial"/>
                <w:sz w:val="18"/>
                <w:szCs w:val="18"/>
                <w:color w:val="auto"/>
                <w:w w:val="89"/>
              </w:rPr>
              <w:t>Average Exercise</w:t>
            </w:r>
          </w:p>
        </w:tc>
      </w:tr>
      <w:tr>
        <w:trPr>
          <w:trHeight w:val="237"/>
        </w:trPr>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5"/>
              </w:rPr>
              <w:t>Class A Shares</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1"/>
              </w:rPr>
              <w:t>Price (2)</w:t>
            </w:r>
          </w:p>
        </w:tc>
        <w:tc>
          <w:tcPr>
            <w:tcW w:w="300" w:type="dxa"/>
            <w:vAlign w:val="bottom"/>
          </w:tcPr>
          <w:p>
            <w:pPr>
              <w:spacing w:after="0"/>
              <w:rPr>
                <w:sz w:val="20"/>
                <w:szCs w:val="20"/>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4"/>
              </w:rPr>
              <w:t>Class C Shares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Price (2)</w:t>
            </w:r>
          </w:p>
        </w:tc>
      </w:tr>
      <w:tr>
        <w:trPr>
          <w:trHeight w:val="418"/>
        </w:trPr>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976,605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4.56</w:t>
            </w:r>
          </w:p>
        </w:tc>
        <w:tc>
          <w:tcPr>
            <w:tcW w:w="1320" w:type="dxa"/>
            <w:vAlign w:val="bottom"/>
          </w:tcPr>
          <w:p>
            <w:pPr>
              <w:jc w:val="right"/>
              <w:spacing w:after="0"/>
              <w:rPr>
                <w:sz w:val="20"/>
                <w:szCs w:val="20"/>
                <w:color w:val="auto"/>
              </w:rPr>
            </w:pPr>
            <w:r>
              <w:rPr>
                <w:rFonts w:ascii="Arial" w:cs="Arial" w:eastAsia="Arial" w:hAnsi="Arial"/>
                <w:sz w:val="18"/>
                <w:szCs w:val="18"/>
                <w:color w:val="auto"/>
              </w:rPr>
              <w:t>1,157,203</w:t>
            </w:r>
          </w:p>
        </w:tc>
        <w:tc>
          <w:tcPr>
            <w:tcW w:w="140" w:type="dxa"/>
            <w:vAlign w:val="bottom"/>
          </w:tcPr>
          <w:p>
            <w:pPr>
              <w:spacing w:after="0"/>
              <w:rPr>
                <w:sz w:val="24"/>
                <w:szCs w:val="24"/>
                <w:color w:val="auto"/>
              </w:rPr>
            </w:pP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5.31</w:t>
            </w:r>
          </w:p>
        </w:tc>
      </w:tr>
      <w:tr>
        <w:trPr>
          <w:trHeight w:val="216"/>
        </w:trPr>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38,266</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57,859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16,000</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(214,989)</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7"/>
        </w:trPr>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30"/>
        </w:trPr>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815,882</w:t>
            </w:r>
          </w:p>
        </w:tc>
        <w:tc>
          <w:tcPr>
            <w:tcW w:w="3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4.75</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1,215,062</w:t>
            </w:r>
          </w:p>
        </w:tc>
        <w:tc>
          <w:tcPr>
            <w:tcW w:w="140" w:type="dxa"/>
            <w:vAlign w:val="bottom"/>
          </w:tcPr>
          <w:p>
            <w:pPr>
              <w:spacing w:after="0"/>
              <w:rPr>
                <w:sz w:val="19"/>
                <w:szCs w:val="19"/>
                <w:color w:val="auto"/>
              </w:rPr>
            </w:pP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5.31</w:t>
            </w:r>
          </w:p>
        </w:tc>
      </w:tr>
      <w:tr>
        <w:trPr>
          <w:trHeight w:val="20"/>
        </w:trPr>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655"/>
        </w:trPr>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764,632</w:t>
            </w:r>
          </w:p>
        </w:tc>
        <w:tc>
          <w:tcPr>
            <w:tcW w:w="30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4.64</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1,067,562</w:t>
            </w:r>
          </w:p>
        </w:tc>
        <w:tc>
          <w:tcPr>
            <w:tcW w:w="140" w:type="dxa"/>
            <w:vAlign w:val="bottom"/>
          </w:tcPr>
          <w:p>
            <w:pPr>
              <w:spacing w:after="0"/>
              <w:rPr>
                <w:sz w:val="24"/>
                <w:szCs w:val="24"/>
                <w:color w:val="auto"/>
              </w:rPr>
            </w:pP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5.18</w:t>
            </w:r>
          </w:p>
        </w:tc>
      </w:tr>
      <w:tr>
        <w:trPr>
          <w:trHeight w:val="20"/>
        </w:trPr>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655"/>
        </w:trPr>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171,386</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834,750</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
        </w:trPr>
        <w:tc>
          <w:tcPr>
            <w:tcW w:w="1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-2445385</wp:posOffset>
            </wp:positionH>
            <wp:positionV relativeFrom="paragraph">
              <wp:posOffset>-1790700</wp:posOffset>
            </wp:positionV>
            <wp:extent cx="641223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-1516380</wp:posOffset>
            </wp:positionV>
            <wp:extent cx="641223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-1242060</wp:posOffset>
            </wp:positionV>
            <wp:extent cx="6412230" cy="154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-925195</wp:posOffset>
            </wp:positionV>
            <wp:extent cx="6412230"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-633730</wp:posOffset>
            </wp:positionV>
            <wp:extent cx="6412230" cy="1631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412230" cy="163195"/>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-316230</wp:posOffset>
            </wp:positionV>
            <wp:extent cx="641223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180" w:space="680"/>
            <w:col w:w="7380"/>
          </w:cols>
          <w:pgMar w:left="320" w:top="692" w:right="339" w:bottom="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3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r>
      <w:tr>
        <w:trPr>
          <w:trHeight w:val="202"/>
        </w:trPr>
        <w:tc>
          <w:tcPr>
            <w:tcW w:w="3720" w:type="dxa"/>
            <w:vAlign w:val="bottom"/>
          </w:tcPr>
          <w:p>
            <w:pPr>
              <w:spacing w:after="0" w:line="201" w:lineRule="exact"/>
              <w:rPr>
                <w:sz w:val="20"/>
                <w:szCs w:val="20"/>
                <w:color w:val="auto"/>
              </w:rPr>
            </w:pPr>
            <w:r>
              <w:rPr>
                <w:rFonts w:ascii="Arial" w:cs="Arial" w:eastAsia="Arial" w:hAnsi="Arial"/>
                <w:sz w:val="18"/>
                <w:szCs w:val="18"/>
                <w:color w:val="auto"/>
              </w:rPr>
              <w:t>Weighted average contractual term of options</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outstanding at June 30, 2023</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920" w:type="dxa"/>
            <w:vAlign w:val="bottom"/>
            <w:gridSpan w:val="2"/>
          </w:tcPr>
          <w:p>
            <w:pPr>
              <w:jc w:val="right"/>
              <w:ind w:right="1940"/>
              <w:spacing w:after="0"/>
              <w:rPr>
                <w:sz w:val="20"/>
                <w:szCs w:val="20"/>
                <w:color w:val="auto"/>
              </w:rPr>
            </w:pPr>
            <w:r>
              <w:rPr>
                <w:rFonts w:ascii="Arial" w:cs="Arial" w:eastAsia="Arial" w:hAnsi="Arial"/>
                <w:sz w:val="18"/>
                <w:szCs w:val="18"/>
                <w:color w:val="auto"/>
              </w:rPr>
              <w:t>4.87 years</w:t>
            </w:r>
          </w:p>
        </w:tc>
        <w:tc>
          <w:tcPr>
            <w:tcW w:w="340" w:type="dxa"/>
            <w:vAlign w:val="bottom"/>
          </w:tcPr>
          <w:p>
            <w:pPr>
              <w:spacing w:after="0"/>
              <w:rPr>
                <w:sz w:val="20"/>
                <w:szCs w:val="20"/>
                <w:color w:val="auto"/>
              </w:rPr>
            </w:pPr>
          </w:p>
        </w:tc>
        <w:tc>
          <w:tcPr>
            <w:tcW w:w="2640" w:type="dxa"/>
            <w:vAlign w:val="bottom"/>
            <w:gridSpan w:val="2"/>
          </w:tcPr>
          <w:p>
            <w:pPr>
              <w:jc w:val="right"/>
              <w:ind w:right="1660"/>
              <w:spacing w:after="0"/>
              <w:rPr>
                <w:sz w:val="20"/>
                <w:szCs w:val="20"/>
                <w:color w:val="auto"/>
              </w:rPr>
            </w:pPr>
            <w:r>
              <w:rPr>
                <w:rFonts w:ascii="Arial" w:cs="Arial" w:eastAsia="Arial" w:hAnsi="Arial"/>
                <w:sz w:val="18"/>
                <w:szCs w:val="18"/>
                <w:color w:val="auto"/>
              </w:rPr>
              <w:t>6.41 years</w:t>
            </w:r>
          </w:p>
        </w:tc>
      </w:tr>
      <w:tr>
        <w:trPr>
          <w:trHeight w:val="216"/>
        </w:trPr>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02"/>
        </w:trPr>
        <w:tc>
          <w:tcPr>
            <w:tcW w:w="3720" w:type="dxa"/>
            <w:vAlign w:val="bottom"/>
          </w:tcPr>
          <w:p>
            <w:pPr>
              <w:spacing w:after="0" w:line="201" w:lineRule="exact"/>
              <w:rPr>
                <w:sz w:val="20"/>
                <w:szCs w:val="20"/>
                <w:color w:val="auto"/>
              </w:rPr>
            </w:pPr>
            <w:r>
              <w:rPr>
                <w:rFonts w:ascii="Arial" w:cs="Arial" w:eastAsia="Arial" w:hAnsi="Arial"/>
                <w:sz w:val="18"/>
                <w:szCs w:val="18"/>
                <w:color w:val="auto"/>
              </w:rPr>
              <w:t>Weighted average contractual term of options</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exercisable at June 30, 2023</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920" w:type="dxa"/>
            <w:vAlign w:val="bottom"/>
            <w:gridSpan w:val="2"/>
          </w:tcPr>
          <w:p>
            <w:pPr>
              <w:jc w:val="right"/>
              <w:ind w:right="1940"/>
              <w:spacing w:after="0"/>
              <w:rPr>
                <w:sz w:val="20"/>
                <w:szCs w:val="20"/>
                <w:color w:val="auto"/>
              </w:rPr>
            </w:pPr>
            <w:r>
              <w:rPr>
                <w:rFonts w:ascii="Arial" w:cs="Arial" w:eastAsia="Arial" w:hAnsi="Arial"/>
                <w:sz w:val="18"/>
                <w:szCs w:val="18"/>
                <w:color w:val="auto"/>
              </w:rPr>
              <w:t>4.56 years</w:t>
            </w:r>
          </w:p>
        </w:tc>
        <w:tc>
          <w:tcPr>
            <w:tcW w:w="340" w:type="dxa"/>
            <w:vAlign w:val="bottom"/>
          </w:tcPr>
          <w:p>
            <w:pPr>
              <w:spacing w:after="0"/>
              <w:rPr>
                <w:sz w:val="20"/>
                <w:szCs w:val="20"/>
                <w:color w:val="auto"/>
              </w:rPr>
            </w:pPr>
          </w:p>
        </w:tc>
        <w:tc>
          <w:tcPr>
            <w:tcW w:w="2640" w:type="dxa"/>
            <w:vAlign w:val="bottom"/>
            <w:gridSpan w:val="2"/>
          </w:tcPr>
          <w:p>
            <w:pPr>
              <w:jc w:val="right"/>
              <w:ind w:right="1660"/>
              <w:spacing w:after="0"/>
              <w:rPr>
                <w:sz w:val="20"/>
                <w:szCs w:val="20"/>
                <w:color w:val="auto"/>
              </w:rPr>
            </w:pPr>
            <w:r>
              <w:rPr>
                <w:rFonts w:ascii="Arial" w:cs="Arial" w:eastAsia="Arial" w:hAnsi="Arial"/>
                <w:sz w:val="18"/>
                <w:szCs w:val="18"/>
                <w:color w:val="auto"/>
              </w:rPr>
              <w:t>6.14 years</w:t>
            </w:r>
          </w:p>
        </w:tc>
      </w:tr>
      <w:tr>
        <w:trPr>
          <w:trHeight w:val="216"/>
        </w:trPr>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02"/>
        </w:trPr>
        <w:tc>
          <w:tcPr>
            <w:tcW w:w="3720" w:type="dxa"/>
            <w:vAlign w:val="bottom"/>
          </w:tcPr>
          <w:p>
            <w:pPr>
              <w:spacing w:after="0" w:line="201" w:lineRule="exact"/>
              <w:rPr>
                <w:sz w:val="20"/>
                <w:szCs w:val="20"/>
                <w:color w:val="auto"/>
              </w:rPr>
            </w:pPr>
            <w:r>
              <w:rPr>
                <w:rFonts w:ascii="Arial" w:cs="Arial" w:eastAsia="Arial" w:hAnsi="Arial"/>
                <w:sz w:val="18"/>
                <w:szCs w:val="18"/>
                <w:color w:val="auto"/>
                <w:w w:val="95"/>
              </w:rPr>
              <w:t>Aggregated intrinsic value of options outstanding</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97"/>
        </w:trPr>
        <w:tc>
          <w:tcPr>
            <w:tcW w:w="3720" w:type="dxa"/>
            <w:vAlign w:val="bottom"/>
          </w:tcPr>
          <w:p>
            <w:pPr>
              <w:spacing w:after="0"/>
              <w:rPr>
                <w:sz w:val="20"/>
                <w:szCs w:val="20"/>
                <w:color w:val="auto"/>
              </w:rPr>
            </w:pPr>
            <w:r>
              <w:rPr>
                <w:rFonts w:ascii="Arial" w:cs="Arial" w:eastAsia="Arial" w:hAnsi="Arial"/>
                <w:sz w:val="18"/>
                <w:szCs w:val="18"/>
                <w:color w:val="auto"/>
              </w:rPr>
              <w:t>at June 30, 2023 (1)</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920" w:type="dxa"/>
            <w:vAlign w:val="bottom"/>
            <w:gridSpan w:val="2"/>
          </w:tcPr>
          <w:p>
            <w:pPr>
              <w:jc w:val="right"/>
              <w:ind w:right="1940"/>
              <w:spacing w:after="0"/>
              <w:rPr>
                <w:sz w:val="20"/>
                <w:szCs w:val="20"/>
                <w:color w:val="auto"/>
              </w:rPr>
            </w:pPr>
            <w:r>
              <w:rPr>
                <w:rFonts w:ascii="Arial" w:cs="Arial" w:eastAsia="Arial" w:hAnsi="Arial"/>
                <w:sz w:val="18"/>
                <w:szCs w:val="18"/>
                <w:color w:val="auto"/>
              </w:rPr>
              <w:t>3,018,675</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3,815,225</w:t>
            </w:r>
          </w:p>
        </w:tc>
        <w:tc>
          <w:tcPr>
            <w:tcW w:w="1660" w:type="dxa"/>
            <w:vAlign w:val="bottom"/>
          </w:tcPr>
          <w:p>
            <w:pPr>
              <w:spacing w:after="0"/>
              <w:rPr>
                <w:sz w:val="24"/>
                <w:szCs w:val="24"/>
                <w:color w:val="auto"/>
              </w:rPr>
            </w:pPr>
          </w:p>
        </w:tc>
      </w:tr>
      <w:tr>
        <w:trPr>
          <w:trHeight w:val="197"/>
        </w:trPr>
        <w:tc>
          <w:tcPr>
            <w:tcW w:w="37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9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CCEEFF"/>
            </w:tcBorders>
            <w:shd w:val="clear" w:color="auto" w:fill="CCEEFF"/>
          </w:tcPr>
          <w:p>
            <w:pPr>
              <w:spacing w:after="0"/>
              <w:rPr>
                <w:sz w:val="17"/>
                <w:szCs w:val="17"/>
                <w:color w:val="auto"/>
              </w:rPr>
            </w:pPr>
          </w:p>
        </w:tc>
      </w:tr>
      <w:tr>
        <w:trPr>
          <w:trHeight w:val="202"/>
        </w:trPr>
        <w:tc>
          <w:tcPr>
            <w:tcW w:w="3720" w:type="dxa"/>
            <w:vAlign w:val="bottom"/>
          </w:tcPr>
          <w:p>
            <w:pPr>
              <w:spacing w:after="0" w:line="201" w:lineRule="exact"/>
              <w:rPr>
                <w:sz w:val="20"/>
                <w:szCs w:val="20"/>
                <w:color w:val="auto"/>
              </w:rPr>
            </w:pPr>
            <w:r>
              <w:rPr>
                <w:rFonts w:ascii="Arial" w:cs="Arial" w:eastAsia="Arial" w:hAnsi="Arial"/>
                <w:sz w:val="18"/>
                <w:szCs w:val="18"/>
                <w:color w:val="auto"/>
                <w:w w:val="95"/>
              </w:rPr>
              <w:t>Aggregated intrinsic value of options exercisable</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57"/>
        </w:trPr>
        <w:tc>
          <w:tcPr>
            <w:tcW w:w="3720" w:type="dxa"/>
            <w:vAlign w:val="bottom"/>
          </w:tcPr>
          <w:p>
            <w:pPr>
              <w:spacing w:after="0"/>
              <w:rPr>
                <w:sz w:val="20"/>
                <w:szCs w:val="20"/>
                <w:color w:val="auto"/>
              </w:rPr>
            </w:pPr>
            <w:r>
              <w:rPr>
                <w:rFonts w:ascii="Arial" w:cs="Arial" w:eastAsia="Arial" w:hAnsi="Arial"/>
                <w:sz w:val="18"/>
                <w:szCs w:val="18"/>
                <w:color w:val="auto"/>
              </w:rPr>
              <w:t>at June 30, 2023 (1)</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920" w:type="dxa"/>
            <w:vAlign w:val="bottom"/>
            <w:gridSpan w:val="2"/>
          </w:tcPr>
          <w:p>
            <w:pPr>
              <w:jc w:val="right"/>
              <w:ind w:right="1940"/>
              <w:spacing w:after="0"/>
              <w:rPr>
                <w:sz w:val="20"/>
                <w:szCs w:val="20"/>
                <w:color w:val="auto"/>
              </w:rPr>
            </w:pPr>
            <w:r>
              <w:rPr>
                <w:rFonts w:ascii="Arial" w:cs="Arial" w:eastAsia="Arial" w:hAnsi="Arial"/>
                <w:sz w:val="18"/>
                <w:szCs w:val="18"/>
                <w:color w:val="auto"/>
              </w:rPr>
              <w:t>2,910,455</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3,487,200</w:t>
            </w:r>
          </w:p>
        </w:tc>
        <w:tc>
          <w:tcPr>
            <w:tcW w:w="1660" w:type="dxa"/>
            <w:vAlign w:val="bottom"/>
          </w:tcPr>
          <w:p>
            <w:pPr>
              <w:spacing w:after="0"/>
              <w:rPr>
                <w:sz w:val="22"/>
                <w:szCs w:val="22"/>
                <w:color w:val="auto"/>
              </w:rPr>
            </w:pPr>
          </w:p>
        </w:tc>
      </w:tr>
      <w:tr>
        <w:trPr>
          <w:trHeight w:val="20"/>
        </w:trPr>
        <w:tc>
          <w:tcPr>
            <w:tcW w:w="3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color w:val="auto"/>
        </w:rPr>
        <w:t>(1)The Company used a stock price of $8.45 as of June 30, 2023 to derive intrinsic value.</w:t>
      </w:r>
    </w:p>
    <w:p>
      <w:pPr>
        <w:sectPr>
          <w:pgSz w:w="11900" w:h="16838" w:orient="portrait"/>
          <w:cols w:equalWidth="0" w:num="1">
            <w:col w:w="11240"/>
          </w:cols>
          <w:pgMar w:left="320" w:top="692" w:right="339" w:bottom="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color w:val="auto"/>
        </w:rPr>
        <w:t>(2)Adjusted for the effect of annual stock dividends.</w:t>
      </w:r>
    </w:p>
    <w:p>
      <w:pPr>
        <w:spacing w:after="0" w:line="33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79"/>
          </w:cols>
          <w:pgMar w:left="380" w:top="125" w:right="1440" w:bottom="1440" w:gutter="0" w:footer="0" w:header="0"/>
        </w:sectPr>
      </w:pPr>
    </w:p>
    <w:bookmarkStart w:id="32" w:name="page33"/>
    <w:bookmarkEnd w:id="32"/>
    <w:p>
      <w:pPr>
        <w:jc w:val="center"/>
        <w:ind w:left="3020"/>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June 30, 2023 (Unaudited)</w:t>
      </w:r>
    </w:p>
    <w:p>
      <w:pPr>
        <w:spacing w:after="0" w:line="184" w:lineRule="exact"/>
        <w:rPr>
          <w:sz w:val="20"/>
          <w:szCs w:val="20"/>
          <w:color w:val="auto"/>
        </w:rPr>
      </w:pPr>
    </w:p>
    <w:p>
      <w:pPr>
        <w:ind w:left="200" w:hanging="192"/>
        <w:spacing w:after="0"/>
        <w:tabs>
          <w:tab w:leader="none" w:pos="20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Stock Compensation Plans</w:t>
      </w:r>
      <w:r>
        <w:rPr>
          <w:rFonts w:ascii="Arial" w:cs="Arial" w:eastAsia="Arial" w:hAnsi="Arial"/>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Activity of the stock option plans during the six month period ended June 30, 2022, is summarized as follows:</w:t>
      </w:r>
    </w:p>
    <w:p>
      <w:pPr>
        <w:sectPr>
          <w:pgSz w:w="11900" w:h="16838" w:orient="portrait"/>
          <w:cols w:equalWidth="0" w:num="1">
            <w:col w:w="11240"/>
          </w:cols>
          <w:pgMar w:left="320" w:top="9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Outstanding at January 1, 2022</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Adjustment for the effect of stock dividends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Granted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Exercised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Cancelled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Outstanding at June 30, 2022</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Options exercisable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Available options for future grant</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center"/>
              <w:ind w:right="520"/>
              <w:spacing w:after="0"/>
              <w:rPr>
                <w:sz w:val="20"/>
                <w:szCs w:val="20"/>
                <w:color w:val="auto"/>
              </w:rPr>
            </w:pPr>
            <w:r>
              <w:rPr>
                <w:rFonts w:ascii="Arial" w:cs="Arial" w:eastAsia="Arial" w:hAnsi="Arial"/>
                <w:sz w:val="18"/>
                <w:szCs w:val="18"/>
                <w:color w:val="auto"/>
                <w:w w:val="92"/>
              </w:rPr>
              <w:t>Weighted</w:t>
            </w: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230"/>
              <w:spacing w:after="0"/>
              <w:rPr>
                <w:sz w:val="20"/>
                <w:szCs w:val="20"/>
                <w:color w:val="auto"/>
              </w:rPr>
            </w:pPr>
            <w:r>
              <w:rPr>
                <w:rFonts w:ascii="Arial" w:cs="Arial" w:eastAsia="Arial" w:hAnsi="Arial"/>
                <w:sz w:val="18"/>
                <w:szCs w:val="18"/>
                <w:color w:val="auto"/>
                <w:w w:val="99"/>
              </w:rPr>
              <w:t>Weighted</w:t>
            </w:r>
          </w:p>
        </w:tc>
      </w:tr>
      <w:tr>
        <w:trPr>
          <w:trHeight w:val="216"/>
        </w:trPr>
        <w:tc>
          <w:tcPr>
            <w:tcW w:w="1620" w:type="dxa"/>
            <w:vAlign w:val="bottom"/>
            <w:gridSpan w:val="2"/>
          </w:tcPr>
          <w:p>
            <w:pPr>
              <w:jc w:val="right"/>
              <w:ind w:right="580"/>
              <w:spacing w:after="0"/>
              <w:rPr>
                <w:sz w:val="20"/>
                <w:szCs w:val="20"/>
                <w:color w:val="auto"/>
              </w:rPr>
            </w:pPr>
            <w:r>
              <w:rPr>
                <w:rFonts w:ascii="Arial" w:cs="Arial" w:eastAsia="Arial" w:hAnsi="Arial"/>
                <w:sz w:val="18"/>
                <w:szCs w:val="18"/>
                <w:color w:val="auto"/>
              </w:rPr>
              <w:t>Number of</w:t>
            </w:r>
          </w:p>
        </w:tc>
        <w:tc>
          <w:tcPr>
            <w:tcW w:w="1640" w:type="dxa"/>
            <w:vAlign w:val="bottom"/>
            <w:gridSpan w:val="3"/>
          </w:tcPr>
          <w:p>
            <w:pPr>
              <w:jc w:val="center"/>
              <w:ind w:right="300"/>
              <w:spacing w:after="0"/>
              <w:rPr>
                <w:sz w:val="20"/>
                <w:szCs w:val="20"/>
                <w:color w:val="auto"/>
              </w:rPr>
            </w:pPr>
            <w:r>
              <w:rPr>
                <w:rFonts w:ascii="Arial" w:cs="Arial" w:eastAsia="Arial" w:hAnsi="Arial"/>
                <w:sz w:val="18"/>
                <w:szCs w:val="18"/>
                <w:color w:val="auto"/>
                <w:w w:val="89"/>
              </w:rPr>
              <w:t>Average Exercise</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Number of</w:t>
            </w:r>
          </w:p>
        </w:tc>
        <w:tc>
          <w:tcPr>
            <w:tcW w:w="280" w:type="dxa"/>
            <w:vAlign w:val="bottom"/>
          </w:tcPr>
          <w:p>
            <w:pPr>
              <w:spacing w:after="0"/>
              <w:rPr>
                <w:sz w:val="18"/>
                <w:szCs w:val="18"/>
                <w:color w:val="auto"/>
              </w:rPr>
            </w:pPr>
          </w:p>
        </w:tc>
        <w:tc>
          <w:tcPr>
            <w:tcW w:w="1300" w:type="dxa"/>
            <w:vAlign w:val="bottom"/>
            <w:gridSpan w:val="2"/>
          </w:tcPr>
          <w:p>
            <w:pPr>
              <w:ind w:left="20"/>
              <w:spacing w:after="0"/>
              <w:rPr>
                <w:sz w:val="20"/>
                <w:szCs w:val="20"/>
                <w:color w:val="auto"/>
              </w:rPr>
            </w:pPr>
            <w:r>
              <w:rPr>
                <w:rFonts w:ascii="Arial" w:cs="Arial" w:eastAsia="Arial" w:hAnsi="Arial"/>
                <w:sz w:val="18"/>
                <w:szCs w:val="18"/>
                <w:color w:val="auto"/>
                <w:w w:val="89"/>
              </w:rPr>
              <w:t>Average Exercise</w:t>
            </w:r>
          </w:p>
        </w:tc>
      </w:tr>
      <w:tr>
        <w:trPr>
          <w:trHeight w:val="237"/>
        </w:trPr>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5"/>
              </w:rPr>
              <w:t>Class A Shares</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1"/>
              </w:rPr>
              <w:t>Price (2)</w:t>
            </w:r>
          </w:p>
        </w:tc>
        <w:tc>
          <w:tcPr>
            <w:tcW w:w="300" w:type="dxa"/>
            <w:vAlign w:val="bottom"/>
          </w:tcPr>
          <w:p>
            <w:pPr>
              <w:spacing w:after="0"/>
              <w:rPr>
                <w:sz w:val="20"/>
                <w:szCs w:val="20"/>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4"/>
              </w:rPr>
              <w:t>Class C Shares</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Price (2)</w:t>
            </w:r>
          </w:p>
        </w:tc>
      </w:tr>
      <w:tr>
        <w:trPr>
          <w:trHeight w:val="418"/>
        </w:trPr>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1,024,351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4.38</w:t>
            </w:r>
          </w:p>
        </w:tc>
        <w:tc>
          <w:tcPr>
            <w:tcW w:w="1320" w:type="dxa"/>
            <w:vAlign w:val="bottom"/>
          </w:tcPr>
          <w:p>
            <w:pPr>
              <w:jc w:val="right"/>
              <w:spacing w:after="0"/>
              <w:rPr>
                <w:sz w:val="20"/>
                <w:szCs w:val="20"/>
                <w:color w:val="auto"/>
              </w:rPr>
            </w:pPr>
            <w:r>
              <w:rPr>
                <w:rFonts w:ascii="Arial" w:cs="Arial" w:eastAsia="Arial" w:hAnsi="Arial"/>
                <w:sz w:val="18"/>
                <w:szCs w:val="18"/>
                <w:color w:val="auto"/>
              </w:rPr>
              <w:t>821,146</w:t>
            </w:r>
          </w:p>
        </w:tc>
        <w:tc>
          <w:tcPr>
            <w:tcW w:w="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5.26</w:t>
            </w:r>
          </w:p>
        </w:tc>
      </w:tr>
      <w:tr>
        <w:trPr>
          <w:trHeight w:val="216"/>
        </w:trPr>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47,780</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41,057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4,000</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(71,330)</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51"/>
        </w:trPr>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(1,591)</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29"/>
        </w:trPr>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1,003,210</w:t>
            </w:r>
          </w:p>
        </w:tc>
        <w:tc>
          <w:tcPr>
            <w:tcW w:w="3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4.58</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862,203</w:t>
            </w:r>
          </w:p>
        </w:tc>
        <w:tc>
          <w:tcPr>
            <w:tcW w:w="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5.26</w:t>
            </w:r>
          </w:p>
        </w:tc>
      </w:tr>
      <w:tr>
        <w:trPr>
          <w:trHeight w:val="20"/>
        </w:trPr>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656"/>
        </w:trPr>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955,460</w:t>
            </w:r>
          </w:p>
        </w:tc>
        <w:tc>
          <w:tcPr>
            <w:tcW w:w="30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4.40</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747,203</w:t>
            </w:r>
          </w:p>
        </w:tc>
        <w:tc>
          <w:tcPr>
            <w:tcW w:w="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4.78</w:t>
            </w:r>
          </w:p>
        </w:tc>
      </w:tr>
      <w:tr>
        <w:trPr>
          <w:trHeight w:val="20"/>
        </w:trPr>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655"/>
        </w:trPr>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239,795</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17,523</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
        </w:trPr>
        <w:tc>
          <w:tcPr>
            <w:tcW w:w="1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-2445385</wp:posOffset>
            </wp:positionH>
            <wp:positionV relativeFrom="paragraph">
              <wp:posOffset>-1791335</wp:posOffset>
            </wp:positionV>
            <wp:extent cx="641223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-1516380</wp:posOffset>
            </wp:positionV>
            <wp:extent cx="641223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-1242695</wp:posOffset>
            </wp:positionV>
            <wp:extent cx="6412230"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-925195</wp:posOffset>
            </wp:positionV>
            <wp:extent cx="6412230"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-633730</wp:posOffset>
            </wp:positionV>
            <wp:extent cx="6412230" cy="1631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412230" cy="163195"/>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-316865</wp:posOffset>
            </wp:positionV>
            <wp:extent cx="641223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180" w:space="680"/>
            <w:col w:w="7380"/>
          </w:cols>
          <w:pgMar w:left="320" w:top="908"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3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r>
      <w:tr>
        <w:trPr>
          <w:trHeight w:val="202"/>
        </w:trPr>
        <w:tc>
          <w:tcPr>
            <w:tcW w:w="3720" w:type="dxa"/>
            <w:vAlign w:val="bottom"/>
          </w:tcPr>
          <w:p>
            <w:pPr>
              <w:spacing w:after="0" w:line="201" w:lineRule="exact"/>
              <w:rPr>
                <w:sz w:val="20"/>
                <w:szCs w:val="20"/>
                <w:color w:val="auto"/>
              </w:rPr>
            </w:pPr>
            <w:r>
              <w:rPr>
                <w:rFonts w:ascii="Arial" w:cs="Arial" w:eastAsia="Arial" w:hAnsi="Arial"/>
                <w:sz w:val="18"/>
                <w:szCs w:val="18"/>
                <w:color w:val="auto"/>
              </w:rPr>
              <w:t>Weighted average contractual term of options</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outstanding at June 30, 2022</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920" w:type="dxa"/>
            <w:vAlign w:val="bottom"/>
            <w:gridSpan w:val="2"/>
          </w:tcPr>
          <w:p>
            <w:pPr>
              <w:jc w:val="right"/>
              <w:ind w:right="1940"/>
              <w:spacing w:after="0"/>
              <w:rPr>
                <w:sz w:val="20"/>
                <w:szCs w:val="20"/>
                <w:color w:val="auto"/>
              </w:rPr>
            </w:pPr>
            <w:r>
              <w:rPr>
                <w:rFonts w:ascii="Arial" w:cs="Arial" w:eastAsia="Arial" w:hAnsi="Arial"/>
                <w:sz w:val="18"/>
                <w:szCs w:val="18"/>
                <w:color w:val="auto"/>
              </w:rPr>
              <w:t>4.32 years</w:t>
            </w:r>
          </w:p>
        </w:tc>
        <w:tc>
          <w:tcPr>
            <w:tcW w:w="340" w:type="dxa"/>
            <w:vAlign w:val="bottom"/>
          </w:tcPr>
          <w:p>
            <w:pPr>
              <w:spacing w:after="0"/>
              <w:rPr>
                <w:sz w:val="20"/>
                <w:szCs w:val="20"/>
                <w:color w:val="auto"/>
              </w:rPr>
            </w:pPr>
          </w:p>
        </w:tc>
        <w:tc>
          <w:tcPr>
            <w:tcW w:w="2640" w:type="dxa"/>
            <w:vAlign w:val="bottom"/>
            <w:gridSpan w:val="2"/>
          </w:tcPr>
          <w:p>
            <w:pPr>
              <w:jc w:val="right"/>
              <w:ind w:right="1660"/>
              <w:spacing w:after="0"/>
              <w:rPr>
                <w:sz w:val="20"/>
                <w:szCs w:val="20"/>
                <w:color w:val="auto"/>
              </w:rPr>
            </w:pPr>
            <w:r>
              <w:rPr>
                <w:rFonts w:ascii="Arial" w:cs="Arial" w:eastAsia="Arial" w:hAnsi="Arial"/>
                <w:sz w:val="18"/>
                <w:szCs w:val="18"/>
                <w:color w:val="auto"/>
              </w:rPr>
              <w:t>6.75 years</w:t>
            </w:r>
          </w:p>
        </w:tc>
      </w:tr>
      <w:tr>
        <w:trPr>
          <w:trHeight w:val="216"/>
        </w:trPr>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02"/>
        </w:trPr>
        <w:tc>
          <w:tcPr>
            <w:tcW w:w="3720" w:type="dxa"/>
            <w:vAlign w:val="bottom"/>
          </w:tcPr>
          <w:p>
            <w:pPr>
              <w:spacing w:after="0" w:line="201" w:lineRule="exact"/>
              <w:rPr>
                <w:sz w:val="20"/>
                <w:szCs w:val="20"/>
                <w:color w:val="auto"/>
              </w:rPr>
            </w:pPr>
            <w:r>
              <w:rPr>
                <w:rFonts w:ascii="Arial" w:cs="Arial" w:eastAsia="Arial" w:hAnsi="Arial"/>
                <w:sz w:val="18"/>
                <w:szCs w:val="18"/>
                <w:color w:val="auto"/>
              </w:rPr>
              <w:t>Weighted average contractual term of options</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exercisable at June 30, 2022</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920" w:type="dxa"/>
            <w:vAlign w:val="bottom"/>
            <w:gridSpan w:val="2"/>
          </w:tcPr>
          <w:p>
            <w:pPr>
              <w:jc w:val="right"/>
              <w:ind w:right="1940"/>
              <w:spacing w:after="0"/>
              <w:rPr>
                <w:sz w:val="20"/>
                <w:szCs w:val="20"/>
                <w:color w:val="auto"/>
              </w:rPr>
            </w:pPr>
            <w:r>
              <w:rPr>
                <w:rFonts w:ascii="Arial" w:cs="Arial" w:eastAsia="Arial" w:hAnsi="Arial"/>
                <w:sz w:val="18"/>
                <w:szCs w:val="18"/>
                <w:color w:val="auto"/>
              </w:rPr>
              <w:t>4.06 years</w:t>
            </w:r>
          </w:p>
        </w:tc>
        <w:tc>
          <w:tcPr>
            <w:tcW w:w="340" w:type="dxa"/>
            <w:vAlign w:val="bottom"/>
          </w:tcPr>
          <w:p>
            <w:pPr>
              <w:spacing w:after="0"/>
              <w:rPr>
                <w:sz w:val="20"/>
                <w:szCs w:val="20"/>
                <w:color w:val="auto"/>
              </w:rPr>
            </w:pPr>
          </w:p>
        </w:tc>
        <w:tc>
          <w:tcPr>
            <w:tcW w:w="2640" w:type="dxa"/>
            <w:vAlign w:val="bottom"/>
            <w:gridSpan w:val="2"/>
          </w:tcPr>
          <w:p>
            <w:pPr>
              <w:jc w:val="right"/>
              <w:ind w:right="1660"/>
              <w:spacing w:after="0"/>
              <w:rPr>
                <w:sz w:val="20"/>
                <w:szCs w:val="20"/>
                <w:color w:val="auto"/>
              </w:rPr>
            </w:pPr>
            <w:r>
              <w:rPr>
                <w:rFonts w:ascii="Arial" w:cs="Arial" w:eastAsia="Arial" w:hAnsi="Arial"/>
                <w:sz w:val="18"/>
                <w:szCs w:val="18"/>
                <w:color w:val="auto"/>
              </w:rPr>
              <w:t>6.50 years</w:t>
            </w:r>
          </w:p>
        </w:tc>
      </w:tr>
      <w:tr>
        <w:trPr>
          <w:trHeight w:val="216"/>
        </w:trPr>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02"/>
        </w:trPr>
        <w:tc>
          <w:tcPr>
            <w:tcW w:w="3720" w:type="dxa"/>
            <w:vAlign w:val="bottom"/>
          </w:tcPr>
          <w:p>
            <w:pPr>
              <w:spacing w:after="0" w:line="201" w:lineRule="exact"/>
              <w:rPr>
                <w:sz w:val="20"/>
                <w:szCs w:val="20"/>
                <w:color w:val="auto"/>
              </w:rPr>
            </w:pPr>
            <w:r>
              <w:rPr>
                <w:rFonts w:ascii="Arial" w:cs="Arial" w:eastAsia="Arial" w:hAnsi="Arial"/>
                <w:sz w:val="18"/>
                <w:szCs w:val="18"/>
                <w:color w:val="auto"/>
                <w:w w:val="95"/>
              </w:rPr>
              <w:t>Aggregated intrinsic value of options outstanding</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97"/>
        </w:trPr>
        <w:tc>
          <w:tcPr>
            <w:tcW w:w="3720" w:type="dxa"/>
            <w:vAlign w:val="bottom"/>
          </w:tcPr>
          <w:p>
            <w:pPr>
              <w:spacing w:after="0"/>
              <w:rPr>
                <w:sz w:val="20"/>
                <w:szCs w:val="20"/>
                <w:color w:val="auto"/>
              </w:rPr>
            </w:pPr>
            <w:r>
              <w:rPr>
                <w:rFonts w:ascii="Arial" w:cs="Arial" w:eastAsia="Arial" w:hAnsi="Arial"/>
                <w:sz w:val="18"/>
                <w:szCs w:val="18"/>
                <w:color w:val="auto"/>
              </w:rPr>
              <w:t>at June 30, 2022 (1)</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920" w:type="dxa"/>
            <w:vAlign w:val="bottom"/>
            <w:gridSpan w:val="2"/>
          </w:tcPr>
          <w:p>
            <w:pPr>
              <w:jc w:val="right"/>
              <w:ind w:right="1940"/>
              <w:spacing w:after="0"/>
              <w:rPr>
                <w:sz w:val="20"/>
                <w:szCs w:val="20"/>
                <w:color w:val="auto"/>
              </w:rPr>
            </w:pPr>
            <w:r>
              <w:rPr>
                <w:rFonts w:ascii="Arial" w:cs="Arial" w:eastAsia="Arial" w:hAnsi="Arial"/>
                <w:sz w:val="18"/>
                <w:szCs w:val="18"/>
                <w:color w:val="auto"/>
              </w:rPr>
              <w:t>3,891,873</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2,758,643</w:t>
            </w:r>
          </w:p>
        </w:tc>
        <w:tc>
          <w:tcPr>
            <w:tcW w:w="1660" w:type="dxa"/>
            <w:vAlign w:val="bottom"/>
          </w:tcPr>
          <w:p>
            <w:pPr>
              <w:spacing w:after="0"/>
              <w:rPr>
                <w:sz w:val="24"/>
                <w:szCs w:val="24"/>
                <w:color w:val="auto"/>
              </w:rPr>
            </w:pPr>
          </w:p>
        </w:tc>
      </w:tr>
      <w:tr>
        <w:trPr>
          <w:trHeight w:val="196"/>
        </w:trPr>
        <w:tc>
          <w:tcPr>
            <w:tcW w:w="37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9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CCEEFF"/>
            </w:tcBorders>
            <w:shd w:val="clear" w:color="auto" w:fill="CCEEFF"/>
          </w:tcPr>
          <w:p>
            <w:pPr>
              <w:spacing w:after="0"/>
              <w:rPr>
                <w:sz w:val="17"/>
                <w:szCs w:val="17"/>
                <w:color w:val="auto"/>
              </w:rPr>
            </w:pPr>
          </w:p>
        </w:tc>
      </w:tr>
      <w:tr>
        <w:trPr>
          <w:trHeight w:val="202"/>
        </w:trPr>
        <w:tc>
          <w:tcPr>
            <w:tcW w:w="3720" w:type="dxa"/>
            <w:vAlign w:val="bottom"/>
          </w:tcPr>
          <w:p>
            <w:pPr>
              <w:spacing w:after="0" w:line="201" w:lineRule="exact"/>
              <w:rPr>
                <w:sz w:val="20"/>
                <w:szCs w:val="20"/>
                <w:color w:val="auto"/>
              </w:rPr>
            </w:pPr>
            <w:r>
              <w:rPr>
                <w:rFonts w:ascii="Arial" w:cs="Arial" w:eastAsia="Arial" w:hAnsi="Arial"/>
                <w:sz w:val="18"/>
                <w:szCs w:val="18"/>
                <w:color w:val="auto"/>
                <w:w w:val="95"/>
              </w:rPr>
              <w:t>Aggregated intrinsic value of options exercisable</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57"/>
        </w:trPr>
        <w:tc>
          <w:tcPr>
            <w:tcW w:w="3720" w:type="dxa"/>
            <w:vAlign w:val="bottom"/>
          </w:tcPr>
          <w:p>
            <w:pPr>
              <w:spacing w:after="0"/>
              <w:rPr>
                <w:sz w:val="20"/>
                <w:szCs w:val="20"/>
                <w:color w:val="auto"/>
              </w:rPr>
            </w:pPr>
            <w:r>
              <w:rPr>
                <w:rFonts w:ascii="Arial" w:cs="Arial" w:eastAsia="Arial" w:hAnsi="Arial"/>
                <w:sz w:val="18"/>
                <w:szCs w:val="18"/>
                <w:color w:val="auto"/>
              </w:rPr>
              <w:t>at June 30, 2022 (1)</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920" w:type="dxa"/>
            <w:vAlign w:val="bottom"/>
            <w:gridSpan w:val="2"/>
          </w:tcPr>
          <w:p>
            <w:pPr>
              <w:jc w:val="right"/>
              <w:ind w:right="1940"/>
              <w:spacing w:after="0"/>
              <w:rPr>
                <w:sz w:val="20"/>
                <w:szCs w:val="20"/>
                <w:color w:val="auto"/>
              </w:rPr>
            </w:pPr>
            <w:r>
              <w:rPr>
                <w:rFonts w:ascii="Arial" w:cs="Arial" w:eastAsia="Arial" w:hAnsi="Arial"/>
                <w:sz w:val="18"/>
                <w:szCs w:val="18"/>
                <w:color w:val="auto"/>
              </w:rPr>
              <w:t>3,878,980</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2,748,093</w:t>
            </w:r>
          </w:p>
        </w:tc>
        <w:tc>
          <w:tcPr>
            <w:tcW w:w="1660" w:type="dxa"/>
            <w:vAlign w:val="bottom"/>
          </w:tcPr>
          <w:p>
            <w:pPr>
              <w:spacing w:after="0"/>
              <w:rPr>
                <w:sz w:val="22"/>
                <w:szCs w:val="22"/>
                <w:color w:val="auto"/>
              </w:rPr>
            </w:pPr>
          </w:p>
        </w:tc>
      </w:tr>
      <w:tr>
        <w:trPr>
          <w:trHeight w:val="20"/>
        </w:trPr>
        <w:tc>
          <w:tcPr>
            <w:tcW w:w="3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ind w:left="280" w:right="20" w:hanging="209"/>
        <w:spacing w:after="0" w:line="277" w:lineRule="auto"/>
        <w:rPr>
          <w:sz w:val="20"/>
          <w:szCs w:val="20"/>
          <w:color w:val="auto"/>
        </w:rPr>
      </w:pPr>
      <w:r>
        <w:rPr>
          <w:rFonts w:ascii="Arial" w:cs="Arial" w:eastAsia="Arial" w:hAnsi="Arial"/>
          <w:sz w:val="18"/>
          <w:szCs w:val="18"/>
          <w:color w:val="auto"/>
        </w:rPr>
        <w:t>(1)The Company used a stock price of $8.46 as of June 30, 2022, which was the closing price of the Company’s Class A shares on Nasdaq for that day, to derive intrinsic value.</w:t>
      </w:r>
    </w:p>
    <w:p>
      <w:pPr>
        <w:spacing w:after="0" w:line="62" w:lineRule="exact"/>
        <w:rPr>
          <w:sz w:val="20"/>
          <w:szCs w:val="20"/>
          <w:color w:val="auto"/>
        </w:rPr>
      </w:pPr>
    </w:p>
    <w:p>
      <w:pPr>
        <w:ind w:left="60"/>
        <w:spacing w:after="0"/>
        <w:rPr>
          <w:sz w:val="20"/>
          <w:szCs w:val="20"/>
          <w:color w:val="auto"/>
        </w:rPr>
      </w:pPr>
      <w:r>
        <w:rPr>
          <w:rFonts w:ascii="Arial" w:cs="Arial" w:eastAsia="Arial" w:hAnsi="Arial"/>
          <w:sz w:val="18"/>
          <w:szCs w:val="18"/>
          <w:color w:val="auto"/>
        </w:rPr>
        <w:t>(2)Adjusted for the effect of annual stock dividends.</w:t>
      </w:r>
    </w:p>
    <w:p>
      <w:pPr>
        <w:spacing w:after="0" w:line="333"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total intrinsic value (which is the amount by which the fair value of the underlying stock exceeds the exercise price of an option on the exercise date) of stock options exercised during the six month periods ended June 30, 2023 and 2022 was $387,561 and $521,527, respectively.</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33" w:name="page34"/>
    <w:bookmarkEnd w:id="33"/>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June 30, 2023 (Unaudited)</w:t>
      </w:r>
    </w:p>
    <w:p>
      <w:pPr>
        <w:spacing w:after="0" w:line="184" w:lineRule="exact"/>
        <w:rPr>
          <w:sz w:val="20"/>
          <w:szCs w:val="20"/>
          <w:color w:val="auto"/>
        </w:rPr>
      </w:pPr>
    </w:p>
    <w:p>
      <w:pPr>
        <w:ind w:left="200" w:hanging="192"/>
        <w:spacing w:after="0"/>
        <w:tabs>
          <w:tab w:leader="none" w:pos="20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Stock Compensation Plans</w:t>
      </w:r>
      <w:r>
        <w:rPr>
          <w:rFonts w:ascii="Arial" w:cs="Arial" w:eastAsia="Arial" w:hAnsi="Arial"/>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 (“RSUs”)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Stock based compensation expense for RSUs issued of nil has been recognized under these plans for the three month periods ended June 30, 2023 and 2022, respectively, and of $742 and nil has been recognized under these plans for the six month periods ended June 30, 2023 and 2022, respectively, and is isncluded in personnel expenses on the condensed consolidated statements of earnings. As of June 30, 2023, the total unrecognized compensation expense related to the RSUs issued was nil. The fair value of each RSU granted is determined based on the Company’s stock price on the date of grant. Prior to December 2022, the Company did not grant any RSUs.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Activity of the RSUs during the six month period ended June 30, 2023 is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Weighted Average</w:t>
            </w:r>
          </w:p>
        </w:tc>
      </w:tr>
      <w:tr>
        <w:trPr>
          <w:trHeight w:val="216"/>
        </w:trPr>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3"/>
          </w:tcPr>
          <w:p>
            <w:pPr>
              <w:jc w:val="right"/>
              <w:ind w:right="620"/>
              <w:spacing w:after="0"/>
              <w:rPr>
                <w:sz w:val="20"/>
                <w:szCs w:val="20"/>
                <w:color w:val="auto"/>
              </w:rPr>
            </w:pPr>
            <w:r>
              <w:rPr>
                <w:rFonts w:ascii="Arial" w:cs="Arial" w:eastAsia="Arial" w:hAnsi="Arial"/>
                <w:sz w:val="18"/>
                <w:szCs w:val="18"/>
                <w:color w:val="auto"/>
              </w:rPr>
              <w:t>Number of</w:t>
            </w:r>
          </w:p>
        </w:tc>
        <w:tc>
          <w:tcPr>
            <w:tcW w:w="100" w:type="dxa"/>
            <w:vAlign w:val="bottom"/>
          </w:tcPr>
          <w:p>
            <w:pPr>
              <w:spacing w:after="0"/>
              <w:rPr>
                <w:sz w:val="18"/>
                <w:szCs w:val="18"/>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Grant Date Fair</w:t>
            </w:r>
          </w:p>
        </w:tc>
      </w:tr>
      <w:tr>
        <w:trPr>
          <w:trHeight w:val="237"/>
        </w:trPr>
        <w:tc>
          <w:tcPr>
            <w:tcW w:w="5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gridSpan w:val="3"/>
          </w:tcPr>
          <w:p>
            <w:pPr>
              <w:jc w:val="right"/>
              <w:ind w:right="480"/>
              <w:spacing w:after="0"/>
              <w:rPr>
                <w:sz w:val="20"/>
                <w:szCs w:val="20"/>
                <w:color w:val="auto"/>
              </w:rPr>
            </w:pPr>
            <w:r>
              <w:rPr>
                <w:rFonts w:ascii="Arial" w:cs="Arial" w:eastAsia="Arial" w:hAnsi="Arial"/>
                <w:sz w:val="18"/>
                <w:szCs w:val="18"/>
                <w:color w:val="auto"/>
                <w:w w:val="90"/>
              </w:rPr>
              <w:t>Class A Shares</w:t>
            </w:r>
          </w:p>
        </w:tc>
        <w:tc>
          <w:tcPr>
            <w:tcW w:w="100" w:type="dxa"/>
            <w:vAlign w:val="bottom"/>
          </w:tcPr>
          <w:p>
            <w:pPr>
              <w:spacing w:after="0"/>
              <w:rPr>
                <w:sz w:val="20"/>
                <w:szCs w:val="20"/>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Value</w:t>
            </w:r>
          </w:p>
        </w:tc>
      </w:tr>
      <w:tr>
        <w:trPr>
          <w:trHeight w:val="216"/>
        </w:trPr>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at January 1, 2023</w:t>
            </w: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1,620</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600" w:type="dxa"/>
            <w:vAlign w:val="bottom"/>
          </w:tcPr>
          <w:p>
            <w:pPr>
              <w:ind w:left="180"/>
              <w:spacing w:after="0"/>
              <w:rPr>
                <w:sz w:val="20"/>
                <w:szCs w:val="20"/>
                <w:color w:val="auto"/>
              </w:rPr>
            </w:pPr>
            <w:r>
              <w:rPr>
                <w:rFonts w:ascii="Arial" w:cs="Arial" w:eastAsia="Arial" w:hAnsi="Arial"/>
                <w:sz w:val="18"/>
                <w:szCs w:val="18"/>
                <w:color w:val="auto"/>
              </w:rPr>
              <w:t>Granted</w:t>
            </w:r>
          </w:p>
        </w:tc>
        <w:tc>
          <w:tcPr>
            <w:tcW w:w="16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9"/>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60" w:type="dxa"/>
            <w:vAlign w:val="bottom"/>
            <w:shd w:val="clear" w:color="auto" w:fill="CCEEFF"/>
          </w:tcPr>
          <w:p>
            <w:pPr>
              <w:spacing w:after="0"/>
              <w:rPr>
                <w:sz w:val="21"/>
                <w:szCs w:val="21"/>
                <w:color w:val="auto"/>
              </w:rPr>
            </w:pPr>
          </w:p>
        </w:tc>
        <w:tc>
          <w:tcPr>
            <w:tcW w:w="1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57"/>
        </w:trPr>
        <w:tc>
          <w:tcPr>
            <w:tcW w:w="560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Non-vested at June 30, 2023</w:t>
            </w:r>
          </w:p>
        </w:tc>
        <w:tc>
          <w:tcPr>
            <w:tcW w:w="160" w:type="dxa"/>
            <w:vAlign w:val="bottom"/>
            <w:tcBorders>
              <w:top w:val="single" w:sz="8" w:color="auto"/>
              <w:bottom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1,215</w:t>
            </w:r>
          </w:p>
        </w:tc>
        <w:tc>
          <w:tcPr>
            <w:tcW w:w="20" w:type="dxa"/>
            <w:vAlign w:val="bottom"/>
            <w:tcBorders>
              <w:top w:val="single" w:sz="8" w:color="CCEEFF"/>
              <w:bottom w:val="single" w:sz="8" w:color="CCEEFF"/>
            </w:tcBorders>
          </w:tcPr>
          <w:p>
            <w:pPr>
              <w:spacing w:after="0"/>
              <w:rPr>
                <w:sz w:val="22"/>
                <w:szCs w:val="22"/>
                <w:color w:val="auto"/>
              </w:rPr>
            </w:pPr>
          </w:p>
        </w:tc>
        <w:tc>
          <w:tcPr>
            <w:tcW w:w="24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CCEEFF"/>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6.48</w:t>
            </w:r>
          </w:p>
        </w:tc>
      </w:tr>
      <w:tr>
        <w:trPr>
          <w:trHeight w:val="197"/>
        </w:trPr>
        <w:tc>
          <w:tcPr>
            <w:tcW w:w="5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83"/>
        </w:trPr>
        <w:tc>
          <w:tcPr>
            <w:tcW w:w="5600" w:type="dxa"/>
            <w:vAlign w:val="bottom"/>
          </w:tcPr>
          <w:p>
            <w:pPr>
              <w:spacing w:after="0"/>
              <w:rPr>
                <w:sz w:val="20"/>
                <w:szCs w:val="20"/>
                <w:color w:val="auto"/>
              </w:rPr>
            </w:pPr>
            <w:r>
              <w:rPr>
                <w:rFonts w:ascii="Arial" w:cs="Arial" w:eastAsia="Arial" w:hAnsi="Arial"/>
                <w:sz w:val="18"/>
                <w:szCs w:val="18"/>
                <w:color w:val="auto"/>
              </w:rPr>
              <w:t>Available RSUs for future grant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18,380</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7"/>
        </w:trPr>
        <w:tc>
          <w:tcPr>
            <w:tcW w:w="56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Aggregated intrinsic value of RSUs outstanding at June 30, 2023 (1)</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2,394</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0"/>
        </w:trPr>
        <w:tc>
          <w:tcPr>
            <w:tcW w:w="5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color w:val="auto"/>
        </w:rPr>
        <w:t>(1)The Company used a stock price of $8.45 as of June 30, 2023 to derive intrinsic value.</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4" w:name="page35"/>
    <w:bookmarkEnd w:id="34"/>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June 30, 2023 (Unaudited)</w:t>
      </w:r>
    </w:p>
    <w:p>
      <w:pPr>
        <w:spacing w:after="0" w:line="184" w:lineRule="exact"/>
        <w:rPr>
          <w:sz w:val="20"/>
          <w:szCs w:val="20"/>
          <w:color w:val="auto"/>
        </w:rPr>
      </w:pPr>
    </w:p>
    <w:p>
      <w:pPr>
        <w:ind w:left="200" w:hanging="192"/>
        <w:spacing w:after="0"/>
        <w:tabs>
          <w:tab w:leader="none" w:pos="20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Earnings Per Share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Earnings per share amounts have been retroactively adjusted for the effect of annual stock dividends. In accordance with GAAP, the basic and diluted earnings per share amounts were calculated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5"/>
          </w:tcPr>
          <w:p>
            <w:pPr>
              <w:ind w:left="420"/>
              <w:spacing w:after="0"/>
              <w:rPr>
                <w:sz w:val="20"/>
                <w:szCs w:val="20"/>
                <w:color w:val="auto"/>
              </w:rPr>
            </w:pPr>
            <w:r>
              <w:rPr>
                <w:rFonts w:ascii="Arial" w:cs="Arial" w:eastAsia="Arial" w:hAnsi="Arial"/>
                <w:sz w:val="18"/>
                <w:szCs w:val="18"/>
                <w:color w:val="auto"/>
              </w:rPr>
              <w:t>Three Months Ended</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00" w:type="dxa"/>
            <w:vAlign w:val="bottom"/>
            <w:gridSpan w:val="5"/>
          </w:tcPr>
          <w:p>
            <w:pPr>
              <w:ind w:left="480"/>
              <w:spacing w:after="0"/>
              <w:rPr>
                <w:sz w:val="20"/>
                <w:szCs w:val="20"/>
                <w:color w:val="auto"/>
              </w:rPr>
            </w:pPr>
            <w:r>
              <w:rPr>
                <w:rFonts w:ascii="Arial" w:cs="Arial" w:eastAsia="Arial" w:hAnsi="Arial"/>
                <w:sz w:val="18"/>
                <w:szCs w:val="18"/>
                <w:color w:val="auto"/>
              </w:rPr>
              <w:t>Six Months Ended</w:t>
            </w:r>
          </w:p>
        </w:tc>
      </w:tr>
      <w:tr>
        <w:trPr>
          <w:trHeight w:val="237"/>
        </w:trPr>
        <w:tc>
          <w:tcPr>
            <w:tcW w:w="3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color w:val="auto"/>
              </w:rPr>
              <w:t>June 30,</w:t>
            </w:r>
          </w:p>
        </w:tc>
        <w:tc>
          <w:tcPr>
            <w:tcW w:w="10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87"/>
              <w:spacing w:after="0"/>
              <w:rPr>
                <w:sz w:val="20"/>
                <w:szCs w:val="20"/>
                <w:color w:val="auto"/>
              </w:rPr>
            </w:pPr>
            <w:r>
              <w:rPr>
                <w:rFonts w:ascii="Arial" w:cs="Arial" w:eastAsia="Arial" w:hAnsi="Arial"/>
                <w:sz w:val="18"/>
                <w:szCs w:val="18"/>
                <w:color w:val="auto"/>
              </w:rPr>
              <w:t>June 30,</w:t>
            </w:r>
          </w:p>
        </w:tc>
        <w:tc>
          <w:tcPr>
            <w:tcW w:w="10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364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2023</w:t>
            </w:r>
          </w:p>
        </w:tc>
        <w:tc>
          <w:tcPr>
            <w:tcW w:w="3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2022</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2023</w:t>
            </w:r>
          </w:p>
        </w:tc>
        <w:tc>
          <w:tcPr>
            <w:tcW w:w="2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2022</w:t>
            </w:r>
          </w:p>
        </w:tc>
        <w:tc>
          <w:tcPr>
            <w:tcW w:w="80" w:type="dxa"/>
            <w:vAlign w:val="bottom"/>
            <w:tcBorders>
              <w:bottom w:val="single" w:sz="8" w:color="CCEEFF"/>
            </w:tcBorders>
          </w:tcPr>
          <w:p>
            <w:pPr>
              <w:spacing w:after="0"/>
              <w:rPr>
                <w:sz w:val="20"/>
                <w:szCs w:val="20"/>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83"/>
        </w:trPr>
        <w:tc>
          <w:tcPr>
            <w:tcW w:w="3640" w:type="dxa"/>
            <w:vAlign w:val="bottom"/>
          </w:tcPr>
          <w:p>
            <w:pPr>
              <w:ind w:left="180"/>
              <w:spacing w:after="0"/>
              <w:rPr>
                <w:sz w:val="20"/>
                <w:szCs w:val="20"/>
                <w:color w:val="auto"/>
              </w:rPr>
            </w:pPr>
            <w:r>
              <w:rPr>
                <w:rFonts w:ascii="Arial" w:cs="Arial" w:eastAsia="Arial" w:hAnsi="Arial"/>
                <w:sz w:val="18"/>
                <w:szCs w:val="18"/>
                <w:color w:val="auto"/>
              </w:rPr>
              <w:t>Net earnings</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6,352,706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3,574,449</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7,592,878</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6,803,167</w:t>
            </w:r>
          </w:p>
        </w:tc>
        <w:tc>
          <w:tcPr>
            <w:tcW w:w="80" w:type="dxa"/>
            <w:vAlign w:val="bottom"/>
          </w:tcPr>
          <w:p>
            <w:pPr>
              <w:spacing w:after="0"/>
              <w:rPr>
                <w:sz w:val="24"/>
                <w:szCs w:val="24"/>
                <w:color w:val="auto"/>
              </w:rPr>
            </w:pPr>
          </w:p>
        </w:tc>
      </w:tr>
      <w:tr>
        <w:trPr>
          <w:trHeight w:val="197"/>
        </w:trPr>
        <w:tc>
          <w:tcPr>
            <w:tcW w:w="3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Denominator:</w:t>
            </w:r>
          </w:p>
        </w:tc>
        <w:tc>
          <w:tcPr>
            <w:tcW w:w="2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37"/>
        </w:trPr>
        <w:tc>
          <w:tcPr>
            <w:tcW w:w="3640" w:type="dxa"/>
            <w:vAlign w:val="bottom"/>
          </w:tcPr>
          <w:p>
            <w:pPr>
              <w:ind w:left="180"/>
              <w:spacing w:after="0"/>
              <w:rPr>
                <w:sz w:val="20"/>
                <w:szCs w:val="20"/>
                <w:color w:val="auto"/>
              </w:rPr>
            </w:pPr>
            <w:r>
              <w:rPr>
                <w:rFonts w:ascii="Arial" w:cs="Arial" w:eastAsia="Arial" w:hAnsi="Arial"/>
                <w:sz w:val="18"/>
                <w:szCs w:val="18"/>
                <w:color w:val="auto"/>
                <w:w w:val="98"/>
              </w:rPr>
              <w:t>Basic weighted-average shares outstanding</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22,005,332</w:t>
            </w:r>
          </w:p>
        </w:tc>
        <w:tc>
          <w:tcPr>
            <w:tcW w:w="3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22,233,852</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22,066,991</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22,331,911</w:t>
            </w:r>
          </w:p>
        </w:tc>
        <w:tc>
          <w:tcPr>
            <w:tcW w:w="80" w:type="dxa"/>
            <w:vAlign w:val="bottom"/>
          </w:tcPr>
          <w:p>
            <w:pPr>
              <w:spacing w:after="0"/>
              <w:rPr>
                <w:sz w:val="20"/>
                <w:szCs w:val="20"/>
                <w:color w:val="auto"/>
              </w:rPr>
            </w:pPr>
          </w:p>
        </w:tc>
      </w:tr>
      <w:tr>
        <w:trPr>
          <w:trHeight w:val="216"/>
        </w:trPr>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3640" w:type="dxa"/>
            <w:vAlign w:val="bottom"/>
          </w:tcPr>
          <w:p>
            <w:pPr>
              <w:ind w:left="180"/>
              <w:spacing w:after="0"/>
              <w:rPr>
                <w:sz w:val="20"/>
                <w:szCs w:val="20"/>
                <w:color w:val="auto"/>
              </w:rPr>
            </w:pPr>
            <w:r>
              <w:rPr>
                <w:rFonts w:ascii="Arial" w:cs="Arial" w:eastAsia="Arial" w:hAnsi="Arial"/>
                <w:sz w:val="18"/>
                <w:szCs w:val="18"/>
                <w:color w:val="auto"/>
              </w:rPr>
              <w:t>Employee stock options</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563,301</w:t>
            </w:r>
          </w:p>
        </w:tc>
        <w:tc>
          <w:tcPr>
            <w:tcW w:w="3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874,799</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550,897</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893,689</w:t>
            </w:r>
          </w:p>
        </w:tc>
        <w:tc>
          <w:tcPr>
            <w:tcW w:w="80" w:type="dxa"/>
            <w:vAlign w:val="bottom"/>
          </w:tcPr>
          <w:p>
            <w:pPr>
              <w:spacing w:after="0"/>
              <w:rPr>
                <w:sz w:val="20"/>
                <w:szCs w:val="20"/>
                <w:color w:val="auto"/>
              </w:rPr>
            </w:pPr>
          </w:p>
        </w:tc>
      </w:tr>
      <w:tr>
        <w:trPr>
          <w:trHeight w:val="216"/>
        </w:trPr>
        <w:tc>
          <w:tcPr>
            <w:tcW w:w="36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83"/>
        </w:trPr>
        <w:tc>
          <w:tcPr>
            <w:tcW w:w="3640" w:type="dxa"/>
            <w:vAlign w:val="bottom"/>
          </w:tcPr>
          <w:p>
            <w:pPr>
              <w:ind w:left="180"/>
              <w:spacing w:after="0"/>
              <w:rPr>
                <w:sz w:val="20"/>
                <w:szCs w:val="20"/>
                <w:color w:val="auto"/>
              </w:rPr>
            </w:pPr>
            <w:r>
              <w:rPr>
                <w:rFonts w:ascii="Arial" w:cs="Arial" w:eastAsia="Arial" w:hAnsi="Arial"/>
                <w:sz w:val="18"/>
                <w:szCs w:val="18"/>
                <w:color w:val="auto"/>
                <w:w w:val="95"/>
              </w:rPr>
              <w:t>Diluted weighted-average shares outstanding</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22,568,633</w:t>
            </w:r>
          </w:p>
        </w:tc>
        <w:tc>
          <w:tcPr>
            <w:tcW w:w="320" w:type="dxa"/>
            <w:vAlign w:val="bottom"/>
          </w:tcPr>
          <w:p>
            <w:pPr>
              <w:spacing w:after="0"/>
              <w:rPr>
                <w:sz w:val="24"/>
                <w:szCs w:val="2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23,108,651</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22,617,888</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23,225,600</w:t>
            </w:r>
          </w:p>
        </w:tc>
        <w:tc>
          <w:tcPr>
            <w:tcW w:w="80" w:type="dxa"/>
            <w:vAlign w:val="bottom"/>
          </w:tcPr>
          <w:p>
            <w:pPr>
              <w:spacing w:after="0"/>
              <w:rPr>
                <w:sz w:val="24"/>
                <w:szCs w:val="24"/>
                <w:color w:val="auto"/>
              </w:rPr>
            </w:pPr>
          </w:p>
        </w:tc>
      </w:tr>
      <w:tr>
        <w:trPr>
          <w:trHeight w:val="196"/>
        </w:trPr>
        <w:tc>
          <w:tcPr>
            <w:tcW w:w="36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83"/>
        </w:trPr>
        <w:tc>
          <w:tcPr>
            <w:tcW w:w="3640" w:type="dxa"/>
            <w:vAlign w:val="bottom"/>
          </w:tcPr>
          <w:p>
            <w:pPr>
              <w:spacing w:after="0"/>
              <w:rPr>
                <w:sz w:val="20"/>
                <w:szCs w:val="20"/>
                <w:color w:val="auto"/>
              </w:rPr>
            </w:pPr>
            <w:r>
              <w:rPr>
                <w:rFonts w:ascii="Arial" w:cs="Arial" w:eastAsia="Arial" w:hAnsi="Arial"/>
                <w:sz w:val="18"/>
                <w:szCs w:val="18"/>
                <w:color w:val="auto"/>
              </w:rPr>
              <w:t>Basic net earnings per share</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0.29</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0.16</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0.34</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0.30</w:t>
            </w:r>
          </w:p>
        </w:tc>
        <w:tc>
          <w:tcPr>
            <w:tcW w:w="80" w:type="dxa"/>
            <w:vAlign w:val="bottom"/>
          </w:tcPr>
          <w:p>
            <w:pPr>
              <w:spacing w:after="0"/>
              <w:rPr>
                <w:sz w:val="24"/>
                <w:szCs w:val="24"/>
                <w:color w:val="auto"/>
              </w:rPr>
            </w:pPr>
          </w:p>
        </w:tc>
      </w:tr>
      <w:tr>
        <w:trPr>
          <w:trHeight w:val="197"/>
        </w:trPr>
        <w:tc>
          <w:tcPr>
            <w:tcW w:w="36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43"/>
        </w:trPr>
        <w:tc>
          <w:tcPr>
            <w:tcW w:w="3640" w:type="dxa"/>
            <w:vAlign w:val="bottom"/>
          </w:tcPr>
          <w:p>
            <w:pPr>
              <w:spacing w:after="0"/>
              <w:rPr>
                <w:sz w:val="20"/>
                <w:szCs w:val="20"/>
                <w:color w:val="auto"/>
              </w:rPr>
            </w:pPr>
            <w:r>
              <w:rPr>
                <w:rFonts w:ascii="Arial" w:cs="Arial" w:eastAsia="Arial" w:hAnsi="Arial"/>
                <w:sz w:val="18"/>
                <w:szCs w:val="18"/>
                <w:color w:val="auto"/>
              </w:rPr>
              <w:t>Diluted net earnings per share</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0.28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0.15</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0.34</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0.29</w:t>
            </w:r>
          </w:p>
        </w:tc>
        <w:tc>
          <w:tcPr>
            <w:tcW w:w="80" w:type="dxa"/>
            <w:vAlign w:val="bottom"/>
          </w:tcPr>
          <w:p>
            <w:pPr>
              <w:spacing w:after="0"/>
              <w:rPr>
                <w:sz w:val="21"/>
                <w:szCs w:val="21"/>
                <w:color w:val="auto"/>
              </w:rPr>
            </w:pPr>
          </w:p>
        </w:tc>
      </w:tr>
      <w:tr>
        <w:trPr>
          <w:trHeight w:val="20"/>
        </w:trPr>
        <w:tc>
          <w:tcPr>
            <w:tcW w:w="3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six month periods ended June 30, 2023, and 2022, there were 55,125 and 52,500 anti-dilutive employee stock option shares, respectively, that were not included in the computation of diluted net earnings per common share as their effect would be anti-dilutive. Basic and diluted earnings per share amounts are the same for each class of common stock.</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w w:val="93"/>
              </w:rPr>
              <w:t>The following table summarizes the activity in shares of capital stock.</w:t>
            </w: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380" w:type="dxa"/>
            <w:vAlign w:val="bottom"/>
          </w:tcPr>
          <w:p>
            <w:pPr>
              <w:spacing w:after="0"/>
              <w:rPr>
                <w:sz w:val="20"/>
                <w:szCs w:val="20"/>
                <w:color w:val="auto"/>
              </w:rPr>
            </w:pPr>
          </w:p>
        </w:tc>
      </w:tr>
      <w:tr>
        <w:trPr>
          <w:trHeight w:val="452"/>
        </w:trPr>
        <w:tc>
          <w:tcPr>
            <w:tcW w:w="4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Class A</w:t>
            </w:r>
          </w:p>
        </w:tc>
        <w:tc>
          <w:tcPr>
            <w:tcW w:w="1380" w:type="dxa"/>
            <w:vAlign w:val="bottom"/>
          </w:tcPr>
          <w:p>
            <w:pPr>
              <w:jc w:val="right"/>
              <w:ind w:right="350"/>
              <w:spacing w:after="0"/>
              <w:rPr>
                <w:sz w:val="20"/>
                <w:szCs w:val="20"/>
                <w:color w:val="auto"/>
              </w:rPr>
            </w:pPr>
            <w:r>
              <w:rPr>
                <w:rFonts w:ascii="Arial" w:cs="Arial" w:eastAsia="Arial" w:hAnsi="Arial"/>
                <w:sz w:val="18"/>
                <w:szCs w:val="18"/>
                <w:color w:val="auto"/>
              </w:rPr>
              <w:t>Class C</w:t>
            </w:r>
          </w:p>
        </w:tc>
        <w:tc>
          <w:tcPr>
            <w:tcW w:w="3380" w:type="dxa"/>
            <w:vAlign w:val="bottom"/>
          </w:tcPr>
          <w:p>
            <w:pPr>
              <w:spacing w:after="0"/>
              <w:rPr>
                <w:sz w:val="24"/>
                <w:szCs w:val="24"/>
                <w:color w:val="auto"/>
              </w:rPr>
            </w:pPr>
          </w:p>
        </w:tc>
      </w:tr>
      <w:tr>
        <w:trPr>
          <w:trHeight w:val="216"/>
        </w:trPr>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shares at December 31, 2021</w:t>
            </w: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17,642,722</w:t>
            </w:r>
          </w:p>
        </w:tc>
        <w:tc>
          <w:tcPr>
            <w:tcW w:w="2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2,866,565</w:t>
            </w:r>
          </w:p>
        </w:tc>
        <w:tc>
          <w:tcPr>
            <w:tcW w:w="3380" w:type="dxa"/>
            <w:vAlign w:val="bottom"/>
          </w:tcPr>
          <w:p>
            <w:pPr>
              <w:spacing w:after="0"/>
              <w:rPr>
                <w:sz w:val="18"/>
                <w:szCs w:val="18"/>
                <w:color w:val="auto"/>
              </w:rPr>
            </w:pPr>
          </w:p>
        </w:tc>
      </w:tr>
      <w:tr>
        <w:trPr>
          <w:trHeight w:val="216"/>
        </w:trPr>
        <w:tc>
          <w:tcPr>
            <w:tcW w:w="4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16"/>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Exercise of stock options</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69,096</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380" w:type="dxa"/>
            <w:vAlign w:val="bottom"/>
          </w:tcPr>
          <w:p>
            <w:pPr>
              <w:spacing w:after="0"/>
              <w:rPr>
                <w:sz w:val="18"/>
                <w:szCs w:val="18"/>
                <w:color w:val="auto"/>
              </w:rPr>
            </w:pPr>
          </w:p>
        </w:tc>
      </w:tr>
      <w:tr>
        <w:trPr>
          <w:trHeight w:val="216"/>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Stock dividends</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889,554</w:t>
            </w:r>
          </w:p>
        </w:tc>
        <w:tc>
          <w:tcPr>
            <w:tcW w:w="1380" w:type="dxa"/>
            <w:vAlign w:val="bottom"/>
          </w:tcPr>
          <w:p>
            <w:pPr>
              <w:jc w:val="right"/>
              <w:spacing w:after="0"/>
              <w:rPr>
                <w:sz w:val="20"/>
                <w:szCs w:val="20"/>
                <w:color w:val="auto"/>
              </w:rPr>
            </w:pPr>
            <w:r>
              <w:rPr>
                <w:rFonts w:ascii="Arial" w:cs="Arial" w:eastAsia="Arial" w:hAnsi="Arial"/>
                <w:sz w:val="18"/>
                <w:szCs w:val="18"/>
                <w:color w:val="auto"/>
              </w:rPr>
              <w:t>139,462</w:t>
            </w:r>
          </w:p>
        </w:tc>
        <w:tc>
          <w:tcPr>
            <w:tcW w:w="3380" w:type="dxa"/>
            <w:vAlign w:val="bottom"/>
          </w:tcPr>
          <w:p>
            <w:pPr>
              <w:spacing w:after="0"/>
              <w:rPr>
                <w:sz w:val="18"/>
                <w:szCs w:val="18"/>
                <w:color w:val="auto"/>
              </w:rPr>
            </w:pPr>
          </w:p>
        </w:tc>
      </w:tr>
      <w:tr>
        <w:trPr>
          <w:trHeight w:val="236"/>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Conversion of Class C to Class A</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77,316</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(77,316)</w:t>
            </w:r>
          </w:p>
        </w:tc>
        <w:tc>
          <w:tcPr>
            <w:tcW w:w="3380" w:type="dxa"/>
            <w:vAlign w:val="bottom"/>
          </w:tcPr>
          <w:p>
            <w:pPr>
              <w:spacing w:after="0"/>
              <w:rPr>
                <w:sz w:val="20"/>
                <w:szCs w:val="20"/>
                <w:color w:val="auto"/>
              </w:rPr>
            </w:pPr>
          </w:p>
        </w:tc>
      </w:tr>
      <w:tr>
        <w:trPr>
          <w:trHeight w:val="216"/>
        </w:trPr>
        <w:tc>
          <w:tcPr>
            <w:tcW w:w="49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3380" w:type="dxa"/>
            <w:vAlign w:val="bottom"/>
          </w:tcPr>
          <w:p>
            <w:pPr>
              <w:spacing w:after="0"/>
              <w:rPr>
                <w:sz w:val="18"/>
                <w:szCs w:val="18"/>
                <w:color w:val="auto"/>
              </w:rPr>
            </w:pPr>
          </w:p>
        </w:tc>
      </w:tr>
      <w:tr>
        <w:trPr>
          <w:trHeight w:val="243"/>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shares at June 30, 2022</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18,678,688</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2,928,711</w:t>
            </w:r>
          </w:p>
        </w:tc>
        <w:tc>
          <w:tcPr>
            <w:tcW w:w="3380" w:type="dxa"/>
            <w:vAlign w:val="bottom"/>
          </w:tcPr>
          <w:p>
            <w:pPr>
              <w:spacing w:after="0"/>
              <w:rPr>
                <w:sz w:val="21"/>
                <w:szCs w:val="2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196"/>
        </w:trPr>
        <w:tc>
          <w:tcPr>
            <w:tcW w:w="4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380" w:type="dxa"/>
            <w:vAlign w:val="bottom"/>
          </w:tcPr>
          <w:p>
            <w:pPr>
              <w:spacing w:after="0"/>
              <w:rPr>
                <w:sz w:val="17"/>
                <w:szCs w:val="17"/>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shares at December 31, 2022</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18,758,031</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2,889,859</w:t>
            </w:r>
          </w:p>
        </w:tc>
        <w:tc>
          <w:tcPr>
            <w:tcW w:w="3380" w:type="dxa"/>
            <w:vAlign w:val="bottom"/>
          </w:tcPr>
          <w:p>
            <w:pPr>
              <w:spacing w:after="0"/>
              <w:rPr>
                <w:sz w:val="18"/>
                <w:szCs w:val="18"/>
                <w:color w:val="auto"/>
              </w:rPr>
            </w:pPr>
          </w:p>
        </w:tc>
      </w:tr>
      <w:tr>
        <w:trPr>
          <w:trHeight w:val="216"/>
        </w:trPr>
        <w:tc>
          <w:tcPr>
            <w:tcW w:w="4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16"/>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Exercise of stock options</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127,688</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380" w:type="dxa"/>
            <w:vAlign w:val="bottom"/>
          </w:tcPr>
          <w:p>
            <w:pPr>
              <w:spacing w:after="0"/>
              <w:rPr>
                <w:sz w:val="18"/>
                <w:szCs w:val="18"/>
                <w:color w:val="auto"/>
              </w:rPr>
            </w:pPr>
          </w:p>
        </w:tc>
      </w:tr>
      <w:tr>
        <w:trPr>
          <w:trHeight w:val="216"/>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Vesting of restricted stock units</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405</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3380" w:type="dxa"/>
            <w:vAlign w:val="bottom"/>
          </w:tcPr>
          <w:p>
            <w:pPr>
              <w:spacing w:after="0"/>
              <w:rPr>
                <w:sz w:val="18"/>
                <w:szCs w:val="18"/>
                <w:color w:val="auto"/>
              </w:rPr>
            </w:pPr>
          </w:p>
        </w:tc>
      </w:tr>
      <w:tr>
        <w:trPr>
          <w:trHeight w:val="216"/>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 dividends</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949,675</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141,594</w:t>
            </w:r>
          </w:p>
        </w:tc>
        <w:tc>
          <w:tcPr>
            <w:tcW w:w="3380" w:type="dxa"/>
            <w:vAlign w:val="bottom"/>
          </w:tcPr>
          <w:p>
            <w:pPr>
              <w:spacing w:after="0"/>
              <w:rPr>
                <w:sz w:val="18"/>
                <w:szCs w:val="18"/>
                <w:color w:val="auto"/>
              </w:rPr>
            </w:pPr>
          </w:p>
        </w:tc>
      </w:tr>
      <w:tr>
        <w:trPr>
          <w:trHeight w:val="237"/>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Conversion of Class C to Class A</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57,901</w:t>
            </w:r>
          </w:p>
        </w:tc>
        <w:tc>
          <w:tcPr>
            <w:tcW w:w="1380" w:type="dxa"/>
            <w:vAlign w:val="bottom"/>
          </w:tcPr>
          <w:p>
            <w:pPr>
              <w:jc w:val="right"/>
              <w:spacing w:after="0"/>
              <w:rPr>
                <w:sz w:val="20"/>
                <w:szCs w:val="20"/>
                <w:color w:val="auto"/>
              </w:rPr>
            </w:pPr>
            <w:r>
              <w:rPr>
                <w:rFonts w:ascii="Arial" w:cs="Arial" w:eastAsia="Arial" w:hAnsi="Arial"/>
                <w:sz w:val="18"/>
                <w:szCs w:val="18"/>
                <w:color w:val="auto"/>
              </w:rPr>
              <w:t>(57,901)</w:t>
            </w:r>
          </w:p>
        </w:tc>
        <w:tc>
          <w:tcPr>
            <w:tcW w:w="3380" w:type="dxa"/>
            <w:vAlign w:val="bottom"/>
          </w:tcPr>
          <w:p>
            <w:pPr>
              <w:spacing w:after="0"/>
              <w:rPr>
                <w:sz w:val="20"/>
                <w:szCs w:val="20"/>
                <w:color w:val="auto"/>
              </w:rPr>
            </w:pPr>
          </w:p>
        </w:tc>
      </w:tr>
      <w:tr>
        <w:trPr>
          <w:trHeight w:val="216"/>
        </w:trPr>
        <w:tc>
          <w:tcPr>
            <w:tcW w:w="49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right w:val="single" w:sz="8" w:color="CCEEFF"/>
            </w:tcBorders>
            <w:shd w:val="clear" w:color="auto" w:fill="CCEEFF"/>
          </w:tcPr>
          <w:p>
            <w:pPr>
              <w:spacing w:after="0"/>
              <w:rPr>
                <w:sz w:val="18"/>
                <w:szCs w:val="18"/>
                <w:color w:val="auto"/>
              </w:rPr>
            </w:pPr>
          </w:p>
        </w:tc>
        <w:tc>
          <w:tcPr>
            <w:tcW w:w="3380" w:type="dxa"/>
            <w:vAlign w:val="bottom"/>
          </w:tcPr>
          <w:p>
            <w:pPr>
              <w:spacing w:after="0"/>
              <w:rPr>
                <w:sz w:val="18"/>
                <w:szCs w:val="18"/>
                <w:color w:val="auto"/>
              </w:rPr>
            </w:pPr>
          </w:p>
        </w:tc>
      </w:tr>
      <w:tr>
        <w:trPr>
          <w:trHeight w:val="243"/>
        </w:trPr>
        <w:tc>
          <w:tcPr>
            <w:tcW w:w="5160" w:type="dxa"/>
            <w:vAlign w:val="bottom"/>
            <w:gridSpan w:val="2"/>
          </w:tcPr>
          <w:p>
            <w:pPr>
              <w:spacing w:after="0"/>
              <w:rPr>
                <w:sz w:val="20"/>
                <w:szCs w:val="20"/>
                <w:color w:val="auto"/>
              </w:rPr>
            </w:pPr>
            <w:r>
              <w:rPr>
                <w:rFonts w:ascii="Arial" w:cs="Arial" w:eastAsia="Arial" w:hAnsi="Arial"/>
                <w:sz w:val="18"/>
                <w:szCs w:val="18"/>
                <w:color w:val="auto"/>
              </w:rPr>
              <w:t>Outstanding shares at June 30, 2023</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19,893,700</w:t>
            </w:r>
          </w:p>
        </w:tc>
        <w:tc>
          <w:tcPr>
            <w:tcW w:w="1380" w:type="dxa"/>
            <w:vAlign w:val="bottom"/>
          </w:tcPr>
          <w:p>
            <w:pPr>
              <w:jc w:val="right"/>
              <w:spacing w:after="0"/>
              <w:rPr>
                <w:sz w:val="20"/>
                <w:szCs w:val="20"/>
                <w:color w:val="auto"/>
              </w:rPr>
            </w:pPr>
            <w:r>
              <w:rPr>
                <w:rFonts w:ascii="Arial" w:cs="Arial" w:eastAsia="Arial" w:hAnsi="Arial"/>
                <w:sz w:val="18"/>
                <w:szCs w:val="18"/>
                <w:color w:val="auto"/>
              </w:rPr>
              <w:t>2,973,552</w:t>
            </w:r>
          </w:p>
        </w:tc>
        <w:tc>
          <w:tcPr>
            <w:tcW w:w="3380" w:type="dxa"/>
            <w:vAlign w:val="bottom"/>
          </w:tcPr>
          <w:p>
            <w:pPr>
              <w:spacing w:after="0"/>
              <w:rPr>
                <w:sz w:val="21"/>
                <w:szCs w:val="21"/>
                <w:color w:val="auto"/>
              </w:rPr>
            </w:pPr>
          </w:p>
        </w:tc>
      </w:tr>
      <w:tr>
        <w:trPr>
          <w:trHeight w:val="20"/>
        </w:trPr>
        <w:tc>
          <w:tcPr>
            <w:tcW w:w="49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419"/>
        </w:trPr>
        <w:tc>
          <w:tcPr>
            <w:tcW w:w="4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32</w:t>
            </w:r>
          </w:p>
        </w:tc>
        <w:tc>
          <w:tcPr>
            <w:tcW w:w="2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35" w:name="page36"/>
    <w:bookmarkEnd w:id="35"/>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June 30, 2023 (Unaudited)</w:t>
      </w:r>
    </w:p>
    <w:p>
      <w:pPr>
        <w:spacing w:after="0" w:line="184" w:lineRule="exact"/>
        <w:rPr>
          <w:sz w:val="20"/>
          <w:szCs w:val="20"/>
          <w:color w:val="auto"/>
        </w:rPr>
      </w:pPr>
    </w:p>
    <w:p>
      <w:pPr>
        <w:ind w:left="200" w:hanging="192"/>
        <w:spacing w:after="0"/>
        <w:tabs>
          <w:tab w:leader="none" w:pos="20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Business Segment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Description of Products and Services by Segment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has three reportable business segments: life insurance, cemetery and mortuary, and mortgage. The Company’s life insurance segment consists of life insurance premiums and operating expenses from the sale of insurance products sold by the Company’s independent agency force and net investment income derived from investing policyholder and segment surplus funds. The Company’s cemetery and mortuary segment consists of revenues and operating expenses from the sale of at-need cemetery and mortuary merchandise and services at its mortuaries and cemeteries, pre-need sales of cemetery spaces after collection of 10% or more of the purchase price and the net investment income from investing segment surplus funds. The Company’s mortgage segment consists of fee income and expenses from the originations of residential mortgage loans and interest earned and interest expenses from warehousing loans held for sale.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Measurement of Segment Profit or Loss and Segment Assets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accounting policies of the reportable segments are the same as those described in the Significant Accounting Principles of the Form 10-K for the year ended December 31, 2022. Intersegment revenues are recorded at cost plus an agreed upon intercompany profit, and are eliminated upon consolidation.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Factors Management Used to Identify the Enterprise’s Reportable Segments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reportable segments are business units that are managed separately due to the different products provided and the need to report separately to the various regulatory jurisdictions. The Company regularly reviews the quantitative thresholds and other criteria to determine when other business segments may need to be reported.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Cemetery/</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3"/>
          </w:tcPr>
          <w:p>
            <w:pPr>
              <w:jc w:val="right"/>
              <w:ind w:right="181"/>
              <w:spacing w:after="0"/>
              <w:rPr>
                <w:sz w:val="20"/>
                <w:szCs w:val="20"/>
                <w:color w:val="auto"/>
              </w:rPr>
            </w:pPr>
            <w:r>
              <w:rPr>
                <w:rFonts w:ascii="Arial" w:cs="Arial" w:eastAsia="Arial" w:hAnsi="Arial"/>
                <w:sz w:val="18"/>
                <w:szCs w:val="18"/>
                <w:color w:val="auto"/>
                <w:w w:val="93"/>
              </w:rPr>
              <w:t>Intercompany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1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60" w:type="dxa"/>
            <w:vAlign w:val="bottom"/>
            <w:gridSpan w:val="3"/>
          </w:tcPr>
          <w:p>
            <w:pPr>
              <w:ind w:left="60"/>
              <w:spacing w:after="0"/>
              <w:rPr>
                <w:sz w:val="20"/>
                <w:szCs w:val="20"/>
                <w:color w:val="auto"/>
              </w:rPr>
            </w:pPr>
            <w:r>
              <w:rPr>
                <w:rFonts w:ascii="Arial" w:cs="Arial" w:eastAsia="Arial" w:hAnsi="Arial"/>
                <w:sz w:val="18"/>
                <w:szCs w:val="18"/>
                <w:color w:val="auto"/>
              </w:rPr>
              <w:t>Life Insurance</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Mortuary</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ind w:left="60"/>
              <w:spacing w:after="0"/>
              <w:rPr>
                <w:sz w:val="20"/>
                <w:szCs w:val="20"/>
                <w:color w:val="auto"/>
              </w:rPr>
            </w:pPr>
            <w:r>
              <w:rPr>
                <w:rFonts w:ascii="Arial" w:cs="Arial" w:eastAsia="Arial" w:hAnsi="Arial"/>
                <w:sz w:val="18"/>
                <w:szCs w:val="18"/>
                <w:color w:val="auto"/>
              </w:rPr>
              <w:t>Mortgage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221"/>
              <w:spacing w:after="0"/>
              <w:rPr>
                <w:sz w:val="20"/>
                <w:szCs w:val="20"/>
                <w:color w:val="auto"/>
              </w:rPr>
            </w:pPr>
            <w:r>
              <w:rPr>
                <w:rFonts w:ascii="Arial" w:cs="Arial" w:eastAsia="Arial" w:hAnsi="Arial"/>
                <w:sz w:val="18"/>
                <w:szCs w:val="18"/>
                <w:color w:val="auto"/>
                <w:w w:val="92"/>
              </w:rPr>
              <w:t>Eliminations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rPr>
              <w:t>Consolidated</w:t>
            </w:r>
          </w:p>
        </w:tc>
      </w:tr>
      <w:tr>
        <w:trPr>
          <w:trHeight w:val="176"/>
        </w:trPr>
        <w:tc>
          <w:tcPr>
            <w:tcW w:w="3140" w:type="dxa"/>
            <w:vAlign w:val="bottom"/>
            <w:tcBorders>
              <w:top w:val="single" w:sz="8" w:color="CCEEFF"/>
            </w:tcBorders>
            <w:gridSpan w:val="4"/>
            <w:shd w:val="clear" w:color="auto" w:fill="CCEEFF"/>
          </w:tcPr>
          <w:p>
            <w:pPr>
              <w:spacing w:after="0" w:line="176" w:lineRule="exact"/>
              <w:rPr>
                <w:sz w:val="20"/>
                <w:szCs w:val="20"/>
                <w:color w:val="auto"/>
              </w:rPr>
            </w:pPr>
            <w:r>
              <w:rPr>
                <w:rFonts w:ascii="Arial" w:cs="Arial" w:eastAsia="Arial" w:hAnsi="Arial"/>
                <w:sz w:val="18"/>
                <w:szCs w:val="18"/>
                <w:color w:val="auto"/>
                <w:w w:val="89"/>
              </w:rPr>
              <w:t>For the Three Months Ended June 30, 2023</w:t>
            </w:r>
          </w:p>
        </w:tc>
        <w:tc>
          <w:tcPr>
            <w:tcW w:w="10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0"/>
        </w:trPr>
        <w:tc>
          <w:tcPr>
            <w:tcW w:w="19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3140" w:type="dxa"/>
            <w:vAlign w:val="bottom"/>
            <w:gridSpan w:val="4"/>
          </w:tcPr>
          <w:p>
            <w:pPr>
              <w:spacing w:after="0"/>
              <w:rPr>
                <w:sz w:val="20"/>
                <w:szCs w:val="20"/>
                <w:color w:val="auto"/>
              </w:rPr>
            </w:pPr>
            <w:r>
              <w:rPr>
                <w:rFonts w:ascii="Arial" w:cs="Arial" w:eastAsia="Arial" w:hAnsi="Arial"/>
                <w:sz w:val="18"/>
                <w:szCs w:val="18"/>
                <w:color w:val="auto"/>
              </w:rPr>
              <w:t>Revenues from external customers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48,071,089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8,812,508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26,962,562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83,846,159</w:t>
            </w:r>
          </w:p>
        </w:tc>
      </w:tr>
      <w:tr>
        <w:trPr>
          <w:trHeight w:val="216"/>
        </w:trPr>
        <w:tc>
          <w:tcPr>
            <w:tcW w:w="31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2,517,490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84,767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135,807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(2,738,064)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140" w:type="dxa"/>
            <w:vAlign w:val="bottom"/>
            <w:gridSpan w:val="4"/>
          </w:tcPr>
          <w:p>
            <w:pPr>
              <w:spacing w:after="0"/>
              <w:rPr>
                <w:sz w:val="20"/>
                <w:szCs w:val="20"/>
                <w:color w:val="auto"/>
              </w:rPr>
            </w:pPr>
            <w:r>
              <w:rPr>
                <w:rFonts w:ascii="Arial" w:cs="Arial" w:eastAsia="Arial" w:hAnsi="Arial"/>
                <w:sz w:val="18"/>
                <w:szCs w:val="18"/>
                <w:color w:val="auto"/>
                <w:w w:val="93"/>
              </w:rPr>
              <w:t>Segment profit (loss) before income taxes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9,158,186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2,828,159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(3,837,012)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8,149,333</w:t>
            </w:r>
          </w:p>
        </w:tc>
      </w:tr>
      <w:tr>
        <w:trPr>
          <w:trHeight w:val="216"/>
        </w:trPr>
        <w:tc>
          <w:tcPr>
            <w:tcW w:w="1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5"/>
        </w:trPr>
        <w:tc>
          <w:tcPr>
            <w:tcW w:w="3140" w:type="dxa"/>
            <w:vAlign w:val="bottom"/>
            <w:gridSpan w:val="4"/>
          </w:tcPr>
          <w:p>
            <w:pPr>
              <w:spacing w:after="0" w:line="176" w:lineRule="exact"/>
              <w:rPr>
                <w:sz w:val="20"/>
                <w:szCs w:val="20"/>
                <w:color w:val="auto"/>
              </w:rPr>
            </w:pPr>
            <w:r>
              <w:rPr>
                <w:rFonts w:ascii="Arial" w:cs="Arial" w:eastAsia="Arial" w:hAnsi="Arial"/>
                <w:sz w:val="18"/>
                <w:szCs w:val="18"/>
                <w:color w:val="auto"/>
                <w:w w:val="95"/>
              </w:rPr>
              <w:t>For the Six Months Ended June 30, 2023</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96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1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93,486,386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16,010,904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53,849,603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163,346,893</w:t>
            </w:r>
          </w:p>
        </w:tc>
      </w:tr>
      <w:tr>
        <w:trPr>
          <w:trHeight w:val="216"/>
        </w:trPr>
        <w:tc>
          <w:tcPr>
            <w:tcW w:w="3140" w:type="dxa"/>
            <w:vAlign w:val="bottom"/>
            <w:gridSpan w:val="4"/>
          </w:tcPr>
          <w:p>
            <w:pPr>
              <w:spacing w:after="0"/>
              <w:rPr>
                <w:sz w:val="20"/>
                <w:szCs w:val="20"/>
                <w:color w:val="auto"/>
              </w:rPr>
            </w:pPr>
            <w:r>
              <w:rPr>
                <w:rFonts w:ascii="Arial" w:cs="Arial" w:eastAsia="Arial" w:hAnsi="Arial"/>
                <w:sz w:val="18"/>
                <w:szCs w:val="18"/>
                <w:color w:val="auto"/>
              </w:rPr>
              <w:t>Intersegment revenues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4,027,518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168,603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259,506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Arial" w:cs="Arial" w:eastAsia="Arial" w:hAnsi="Arial"/>
                <w:sz w:val="18"/>
                <w:szCs w:val="18"/>
                <w:color w:val="auto"/>
              </w:rPr>
              <w:t>(4,455,627)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14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3"/>
              </w:rPr>
              <w:t>Segment profit (loss) before income taxes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12,841,921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4,612,751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(7,720,451)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9,734,221</w:t>
            </w:r>
          </w:p>
        </w:tc>
      </w:tr>
      <w:tr>
        <w:trPr>
          <w:trHeight w:val="216"/>
        </w:trPr>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1,284,084,674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89,589,716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114,402,197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(89,723,622)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1,398,352,965</w:t>
            </w:r>
          </w:p>
        </w:tc>
      </w:tr>
      <w:tr>
        <w:trPr>
          <w:trHeight w:val="237"/>
        </w:trPr>
        <w:tc>
          <w:tcPr>
            <w:tcW w:w="3140" w:type="dxa"/>
            <w:vAlign w:val="bottom"/>
            <w:gridSpan w:val="4"/>
          </w:tcPr>
          <w:p>
            <w:pPr>
              <w:spacing w:after="0"/>
              <w:rPr>
                <w:sz w:val="20"/>
                <w:szCs w:val="20"/>
                <w:color w:val="auto"/>
              </w:rPr>
            </w:pPr>
            <w:r>
              <w:rPr>
                <w:rFonts w:ascii="Arial" w:cs="Arial" w:eastAsia="Arial" w:hAnsi="Arial"/>
                <w:sz w:val="18"/>
                <w:szCs w:val="18"/>
                <w:color w:val="auto"/>
              </w:rPr>
              <w:t>Goodwill</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2,765,570</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2,488,213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5,253,783</w:t>
            </w:r>
          </w:p>
        </w:tc>
      </w:tr>
      <w:tr>
        <w:trPr>
          <w:trHeight w:val="230"/>
        </w:trPr>
        <w:tc>
          <w:tcPr>
            <w:tcW w:w="314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1,286,850,244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92,077,929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5"/>
              </w:rPr>
              <w:t>114,402,197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(89,723,622</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1,403,606,748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75"/>
        </w:trPr>
        <w:tc>
          <w:tcPr>
            <w:tcW w:w="31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w w:val="89"/>
              </w:rPr>
              <w:t>For the Three Months Ended June 30, 2022</w:t>
            </w: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
        </w:trPr>
        <w:tc>
          <w:tcPr>
            <w:tcW w:w="19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3140" w:type="dxa"/>
            <w:vAlign w:val="bottom"/>
            <w:gridSpan w:val="4"/>
          </w:tcPr>
          <w:p>
            <w:pPr>
              <w:spacing w:after="0"/>
              <w:rPr>
                <w:sz w:val="20"/>
                <w:szCs w:val="20"/>
                <w:color w:val="auto"/>
              </w:rPr>
            </w:pPr>
            <w:r>
              <w:rPr>
                <w:rFonts w:ascii="Arial" w:cs="Arial" w:eastAsia="Arial" w:hAnsi="Arial"/>
                <w:sz w:val="18"/>
                <w:szCs w:val="18"/>
                <w:color w:val="auto"/>
              </w:rPr>
              <w:t>Revenues from external customers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41,166,269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7,291,018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47,109,367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95,566,654</w:t>
            </w:r>
          </w:p>
        </w:tc>
      </w:tr>
      <w:tr>
        <w:trPr>
          <w:trHeight w:val="216"/>
        </w:trPr>
        <w:tc>
          <w:tcPr>
            <w:tcW w:w="31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2,075,987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85,151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77,826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(2,238,964)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140" w:type="dxa"/>
            <w:vAlign w:val="bottom"/>
            <w:gridSpan w:val="4"/>
          </w:tcPr>
          <w:p>
            <w:pPr>
              <w:spacing w:after="0"/>
              <w:rPr>
                <w:sz w:val="20"/>
                <w:szCs w:val="20"/>
                <w:color w:val="auto"/>
              </w:rPr>
            </w:pPr>
            <w:r>
              <w:rPr>
                <w:rFonts w:ascii="Arial" w:cs="Arial" w:eastAsia="Arial" w:hAnsi="Arial"/>
                <w:sz w:val="18"/>
                <w:szCs w:val="18"/>
                <w:color w:val="auto"/>
                <w:w w:val="93"/>
              </w:rPr>
              <w:t>Segment profit (loss) before income taxes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3,931,784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1,485,938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(687,876)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4,729,846</w:t>
            </w:r>
          </w:p>
        </w:tc>
      </w:tr>
      <w:tr>
        <w:trPr>
          <w:trHeight w:val="216"/>
        </w:trPr>
        <w:tc>
          <w:tcPr>
            <w:tcW w:w="1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5"/>
        </w:trPr>
        <w:tc>
          <w:tcPr>
            <w:tcW w:w="3140" w:type="dxa"/>
            <w:vAlign w:val="bottom"/>
            <w:gridSpan w:val="4"/>
          </w:tcPr>
          <w:p>
            <w:pPr>
              <w:spacing w:after="0" w:line="176" w:lineRule="exact"/>
              <w:rPr>
                <w:sz w:val="20"/>
                <w:szCs w:val="20"/>
                <w:color w:val="auto"/>
              </w:rPr>
            </w:pPr>
            <w:r>
              <w:rPr>
                <w:rFonts w:ascii="Arial" w:cs="Arial" w:eastAsia="Arial" w:hAnsi="Arial"/>
                <w:sz w:val="18"/>
                <w:szCs w:val="18"/>
                <w:color w:val="auto"/>
                <w:w w:val="95"/>
              </w:rPr>
              <w:t>For the Six Months Ended June 30, 2022</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96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1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82,668,078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14,754,212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100,570,271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197,992,561</w:t>
            </w:r>
          </w:p>
        </w:tc>
      </w:tr>
      <w:tr>
        <w:trPr>
          <w:trHeight w:val="216"/>
        </w:trPr>
        <w:tc>
          <w:tcPr>
            <w:tcW w:w="3140" w:type="dxa"/>
            <w:vAlign w:val="bottom"/>
            <w:gridSpan w:val="4"/>
          </w:tcPr>
          <w:p>
            <w:pPr>
              <w:spacing w:after="0"/>
              <w:rPr>
                <w:sz w:val="20"/>
                <w:szCs w:val="20"/>
                <w:color w:val="auto"/>
              </w:rPr>
            </w:pPr>
            <w:r>
              <w:rPr>
                <w:rFonts w:ascii="Arial" w:cs="Arial" w:eastAsia="Arial" w:hAnsi="Arial"/>
                <w:sz w:val="18"/>
                <w:szCs w:val="18"/>
                <w:color w:val="auto"/>
              </w:rPr>
              <w:t>Intersegment revenues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3,771,766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267,740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152,535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Arial" w:cs="Arial" w:eastAsia="Arial" w:hAnsi="Arial"/>
                <w:sz w:val="18"/>
                <w:szCs w:val="18"/>
                <w:color w:val="auto"/>
              </w:rPr>
              <w:t>(4,192,041)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1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Segment profit before income taxes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4,748,269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3,506,255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918,838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9,173,362</w:t>
            </w:r>
          </w:p>
        </w:tc>
      </w:tr>
      <w:tr>
        <w:trPr>
          <w:trHeight w:val="216"/>
        </w:trPr>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1,229,780,002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78,739,030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250,312,796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(91,917,796)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1,466,914,032</w:t>
            </w:r>
          </w:p>
        </w:tc>
      </w:tr>
      <w:tr>
        <w:trPr>
          <w:trHeight w:val="236"/>
        </w:trPr>
        <w:tc>
          <w:tcPr>
            <w:tcW w:w="3140" w:type="dxa"/>
            <w:vAlign w:val="bottom"/>
            <w:gridSpan w:val="4"/>
          </w:tcPr>
          <w:p>
            <w:pPr>
              <w:spacing w:after="0"/>
              <w:rPr>
                <w:sz w:val="20"/>
                <w:szCs w:val="20"/>
                <w:color w:val="auto"/>
              </w:rPr>
            </w:pPr>
            <w:r>
              <w:rPr>
                <w:rFonts w:ascii="Arial" w:cs="Arial" w:eastAsia="Arial" w:hAnsi="Arial"/>
                <w:sz w:val="18"/>
                <w:szCs w:val="18"/>
                <w:color w:val="auto"/>
              </w:rPr>
              <w:t>Goodwill</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2,765,570</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2,488,213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5,253,783</w:t>
            </w:r>
          </w:p>
        </w:tc>
      </w:tr>
      <w:tr>
        <w:trPr>
          <w:trHeight w:val="230"/>
        </w:trPr>
        <w:tc>
          <w:tcPr>
            <w:tcW w:w="314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1,232,545,572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81,227,243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250,312,796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(91,917,796</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1,472,167,815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9"/>
        </w:trPr>
        <w:tc>
          <w:tcPr>
            <w:tcW w:w="1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2"/>
          </w:tcPr>
          <w:p>
            <w:pPr>
              <w:jc w:val="right"/>
              <w:ind w:right="27"/>
              <w:spacing w:after="0"/>
              <w:rPr>
                <w:sz w:val="20"/>
                <w:szCs w:val="20"/>
                <w:color w:val="auto"/>
              </w:rPr>
            </w:pPr>
            <w:r>
              <w:rPr>
                <w:rFonts w:ascii="Arial" w:cs="Arial" w:eastAsia="Arial" w:hAnsi="Arial"/>
                <w:sz w:val="18"/>
                <w:szCs w:val="18"/>
                <w:color w:val="auto"/>
              </w:rPr>
              <w:t>33</w:t>
            </w: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36" w:name="page37"/>
    <w:bookmarkEnd w:id="36"/>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June 30, 2023 (Unaudited)</w:t>
      </w:r>
    </w:p>
    <w:p>
      <w:pPr>
        <w:spacing w:after="0" w:line="184" w:lineRule="exact"/>
        <w:rPr>
          <w:sz w:val="20"/>
          <w:szCs w:val="20"/>
          <w:color w:val="auto"/>
        </w:rPr>
      </w:pPr>
    </w:p>
    <w:p>
      <w:pPr>
        <w:ind w:left="200" w:hanging="192"/>
        <w:spacing w:after="0"/>
        <w:tabs>
          <w:tab w:leader="none" w:pos="20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Fair Value of Financial Instruments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GAAP defines fair value as the exchange price that would be received for an asset or paid to transfer a liability (an exit price) in the principal or most advantageous market for the asset or liability in an orderly transaction between market participants. GAAP also specifies a fair value hierarchy based upon the observability of inputs used in valuation techniques. Observable inputs (highest level) reflect market data obtained from independent sources, while unobservable inputs (lowest level) reflect internally developed market assumptions. Fair value measurements are classified under the following hierarchy:</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Financial assets and financial liabilities whose values are based on unadjusted quoted prices for identical assets or liabilities in an active market</w:t>
      </w:r>
      <w:r>
        <w:rPr>
          <w:rFonts w:ascii="Arial" w:cs="Arial" w:eastAsia="Arial" w:hAnsi="Arial"/>
          <w:sz w:val="18"/>
          <w:szCs w:val="18"/>
          <w:i w:val="1"/>
          <w:iCs w:val="1"/>
          <w:color w:val="auto"/>
        </w:rPr>
        <w:t xml:space="preserve"> </w:t>
      </w:r>
      <w:r>
        <w:rPr>
          <w:rFonts w:ascii="Arial" w:cs="Arial" w:eastAsia="Arial" w:hAnsi="Arial"/>
          <w:sz w:val="18"/>
          <w:szCs w:val="18"/>
          <w:color w:val="auto"/>
        </w:rPr>
        <w:t>that the Company can access.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Financial assets and financial liabilities whose values are based on the following:</w:t>
      </w:r>
    </w:p>
    <w:p>
      <w:pPr>
        <w:spacing w:after="0" w:line="225" w:lineRule="exact"/>
        <w:rPr>
          <w:sz w:val="20"/>
          <w:szCs w:val="20"/>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non-active markets; or</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Valuation models whose inputs are observable, directly or indirectly, for substantially the full term of the asset or liability.</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Financial assets and financial liabilities whose values are based on prices or valuation techniques that require inputs that are both unobservable and</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to the overall fair value measurement. These inputs may reflect the Company’s estimates of the assumptions that market participants would use in valuing the financial assets and financial liabilities.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Company utilizes a combination of third-party valuation service providers, brokers, and internal valuation models to determine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methods and assumptions were used by the Company in estimating the fair value disclosures related to significant financial instruments.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items shown under Level 1 and Level 2 are valued as follows: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Fixed Maturity Securities Available for Sale</w:t>
      </w:r>
      <w:r>
        <w:rPr>
          <w:rFonts w:ascii="Arial" w:cs="Arial" w:eastAsia="Arial" w:hAnsi="Arial"/>
          <w:sz w:val="18"/>
          <w:szCs w:val="18"/>
          <w:i w:val="1"/>
          <w:iCs w:val="1"/>
          <w:color w:val="auto"/>
        </w:rPr>
        <w:t xml:space="preserve">: </w:t>
      </w:r>
      <w:r>
        <w:rPr>
          <w:rFonts w:ascii="Arial" w:cs="Arial" w:eastAsia="Arial" w:hAnsi="Arial"/>
          <w:sz w:val="18"/>
          <w:szCs w:val="18"/>
          <w:color w:val="auto"/>
        </w:rPr>
        <w:t>The fair values of fixed maturity securities are based on quoted market prices, when available. For fixed</w:t>
      </w:r>
      <w:r>
        <w:rPr>
          <w:rFonts w:ascii="Arial" w:cs="Arial" w:eastAsia="Arial" w:hAnsi="Arial"/>
          <w:sz w:val="18"/>
          <w:szCs w:val="18"/>
          <w:i w:val="1"/>
          <w:iCs w:val="1"/>
          <w:color w:val="auto"/>
        </w:rPr>
        <w:t xml:space="preserve"> </w:t>
      </w:r>
      <w:r>
        <w:rPr>
          <w:rFonts w:ascii="Arial" w:cs="Arial" w:eastAsia="Arial" w:hAnsi="Arial"/>
          <w:sz w:val="18"/>
          <w:szCs w:val="18"/>
          <w:color w:val="auto"/>
        </w:rPr>
        <w:t>maturity securities not actively traded, fair values are estimated using values obtained from independent pricing services, or in the case of private placements (considered Level 3 financial assets), are estimated by discounting expected future cash flows using a current market value applicable to the coupon rate, credit and maturity of the investments.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The fair values for equity securities are based on quoted market prices.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u w:val="single" w:color="auto"/>
          <w:color w:val="auto"/>
        </w:rPr>
        <w:t>Restricted Assets</w:t>
      </w:r>
      <w:r>
        <w:rPr>
          <w:rFonts w:ascii="Arial" w:cs="Arial" w:eastAsia="Arial" w:hAnsi="Arial"/>
          <w:sz w:val="16"/>
          <w:szCs w:val="16"/>
          <w:i w:val="1"/>
          <w:iCs w:val="1"/>
          <w:color w:val="auto"/>
        </w:rPr>
        <w:t xml:space="preserve">: </w:t>
      </w:r>
      <w:r>
        <w:rPr>
          <w:rFonts w:ascii="Arial" w:cs="Arial" w:eastAsia="Arial" w:hAnsi="Arial"/>
          <w:sz w:val="16"/>
          <w:szCs w:val="16"/>
          <w:color w:val="auto"/>
        </w:rPr>
        <w:t>A portion of these assets include mutual funds and equity securities and fixed maturity securities that have quoted market prices that are</w:t>
      </w:r>
      <w:r>
        <w:rPr>
          <w:rFonts w:ascii="Arial" w:cs="Arial" w:eastAsia="Arial" w:hAnsi="Arial"/>
          <w:sz w:val="16"/>
          <w:szCs w:val="16"/>
          <w:i w:val="1"/>
          <w:iCs w:val="1"/>
          <w:color w:val="auto"/>
        </w:rPr>
        <w:t xml:space="preserve"> </w:t>
      </w:r>
      <w:r>
        <w:rPr>
          <w:rFonts w:ascii="Arial" w:cs="Arial" w:eastAsia="Arial" w:hAnsi="Arial"/>
          <w:sz w:val="16"/>
          <w:szCs w:val="16"/>
          <w:color w:val="auto"/>
        </w:rPr>
        <w:t>used to determine fair value. Also included are cash and cash equivalents and participations in mortgage loans. The carrying amounts reported in the accompanying condensed consolidated balance sheets for these financial instruments approximate their fair values due to their short-term nature.</w:t>
      </w:r>
    </w:p>
    <w:p>
      <w:pPr>
        <w:spacing w:after="0" w:line="14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u w:val="single" w:color="auto"/>
          <w:color w:val="auto"/>
        </w:rPr>
        <w:t>Cemetery Perpetual Care Trust Investments</w:t>
      </w:r>
      <w:r>
        <w:rPr>
          <w:rFonts w:ascii="Arial" w:cs="Arial" w:eastAsia="Arial" w:hAnsi="Arial"/>
          <w:sz w:val="17"/>
          <w:szCs w:val="17"/>
          <w:i w:val="1"/>
          <w:iCs w:val="1"/>
          <w:color w:val="auto"/>
        </w:rPr>
        <w:t xml:space="preserve">: </w:t>
      </w:r>
      <w:r>
        <w:rPr>
          <w:rFonts w:ascii="Arial" w:cs="Arial" w:eastAsia="Arial" w:hAnsi="Arial"/>
          <w:sz w:val="17"/>
          <w:szCs w:val="17"/>
          <w:color w:val="auto"/>
        </w:rPr>
        <w:t>A portion of these assets include equity securities and fixed maturity securities that have quoted market prices</w:t>
      </w:r>
      <w:r>
        <w:rPr>
          <w:rFonts w:ascii="Arial" w:cs="Arial" w:eastAsia="Arial" w:hAnsi="Arial"/>
          <w:sz w:val="17"/>
          <w:szCs w:val="17"/>
          <w:i w:val="1"/>
          <w:iCs w:val="1"/>
          <w:color w:val="auto"/>
        </w:rPr>
        <w:t xml:space="preserve"> </w:t>
      </w:r>
      <w:r>
        <w:rPr>
          <w:rFonts w:ascii="Arial" w:cs="Arial" w:eastAsia="Arial" w:hAnsi="Arial"/>
          <w:sz w:val="17"/>
          <w:szCs w:val="17"/>
          <w:color w:val="auto"/>
        </w:rPr>
        <w:t>that are used to determine fair value. Also included are cash and cash equivalents. The carrying amounts reported in the accompanying condensed consolidated balance sheets for these financial instruments approximate their fair values due to their short-term nature.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Call and Put Option Derivatives</w:t>
      </w:r>
      <w:r>
        <w:rPr>
          <w:rFonts w:ascii="Arial" w:cs="Arial" w:eastAsia="Arial" w:hAnsi="Arial"/>
          <w:sz w:val="18"/>
          <w:szCs w:val="18"/>
          <w:i w:val="1"/>
          <w:iCs w:val="1"/>
          <w:color w:val="auto"/>
        </w:rPr>
        <w:t xml:space="preserve">: </w:t>
      </w:r>
      <w:r>
        <w:rPr>
          <w:rFonts w:ascii="Arial" w:cs="Arial" w:eastAsia="Arial" w:hAnsi="Arial"/>
          <w:sz w:val="18"/>
          <w:szCs w:val="18"/>
          <w:color w:val="auto"/>
        </w:rPr>
        <w:t>The fair values for call and put options are based on quoted market prices.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Additionally, there were no transfers between Level 1 and Level 2 in the fair value hierarchy.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7" w:name="page38"/>
    <w:bookmarkEnd w:id="37"/>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June 30, 2023 (Unaudited)</w:t>
      </w:r>
    </w:p>
    <w:p>
      <w:pPr>
        <w:spacing w:after="0" w:line="184" w:lineRule="exact"/>
        <w:rPr>
          <w:sz w:val="20"/>
          <w:szCs w:val="20"/>
          <w:color w:val="auto"/>
        </w:rPr>
      </w:pPr>
    </w:p>
    <w:p>
      <w:pPr>
        <w:ind w:right="7340" w:firstLine="8"/>
        <w:spacing w:after="0" w:line="563" w:lineRule="auto"/>
        <w:tabs>
          <w:tab w:leader="none" w:pos="195"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Fair Value of Financial Instruments</w:t>
      </w:r>
      <w:r>
        <w:rPr>
          <w:rFonts w:ascii="Arial" w:cs="Arial" w:eastAsia="Arial" w:hAnsi="Arial"/>
          <w:sz w:val="16"/>
          <w:szCs w:val="16"/>
          <w:color w:val="auto"/>
        </w:rPr>
        <w:t xml:space="preserve"> (Continued) The items shown under Level 3 are valued as follows:</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u w:val="single" w:color="auto"/>
          <w:color w:val="auto"/>
        </w:rPr>
        <w:t>Loans Held for Sale</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elected the fair value option for loans held for sale. The fair value is based on quoted market prices, when available.</w:t>
      </w:r>
      <w:r>
        <w:rPr>
          <w:rFonts w:ascii="Arial" w:cs="Arial" w:eastAsia="Arial" w:hAnsi="Arial"/>
          <w:sz w:val="18"/>
          <w:szCs w:val="18"/>
          <w:i w:val="1"/>
          <w:iCs w:val="1"/>
          <w:color w:val="auto"/>
        </w:rPr>
        <w:t xml:space="preserve"> </w:t>
      </w:r>
      <w:r>
        <w:rPr>
          <w:rFonts w:ascii="Arial" w:cs="Arial" w:eastAsia="Arial" w:hAnsi="Arial"/>
          <w:sz w:val="18"/>
          <w:szCs w:val="18"/>
          <w:color w:val="auto"/>
        </w:rPr>
        <w:t>When a quoted market price is not readily available, the Company uses the market price from its last sale of similar assets. Fair value is often difficult to determine and may contain significant unobservable inputs.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Loan Commitments and Forward Sale Commitments</w:t>
      </w:r>
      <w:r>
        <w:rPr>
          <w:rFonts w:ascii="Arial" w:cs="Arial" w:eastAsia="Arial" w:hAnsi="Arial"/>
          <w:sz w:val="18"/>
          <w:szCs w:val="18"/>
          <w:color w:val="auto"/>
        </w:rPr>
        <w:t>: The Company’s mortgage segment enters into loan commitments with potential borrowers and</w:t>
      </w:r>
      <w:r>
        <w:rPr>
          <w:rFonts w:ascii="Arial" w:cs="Arial" w:eastAsia="Arial" w:hAnsi="Arial"/>
          <w:sz w:val="18"/>
          <w:szCs w:val="18"/>
          <w:i w:val="1"/>
          <w:iCs w:val="1"/>
          <w:color w:val="auto"/>
        </w:rPr>
        <w:t xml:space="preserve"> </w:t>
      </w:r>
      <w:r>
        <w:rPr>
          <w:rFonts w:ascii="Arial" w:cs="Arial" w:eastAsia="Arial" w:hAnsi="Arial"/>
          <w:sz w:val="18"/>
          <w:szCs w:val="18"/>
          <w:color w:val="auto"/>
        </w:rPr>
        <w:t>forward sale commitments to sell loans with third-party investors. The Company also uses a hedging strategy for these transactions. A loan commitment binds the Company to lend funds to a qualified borrower at a specified interest rate and within a specified period of time, generally up to 30 days after issuance of the loan commitment. Loan commitments are defined to be derivatives under GAAP and are recognized at fair value on the consolidated balance sheets with changes in their fair values recorded in current earnings.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estimates the fair value of a loan commitment based on the change in estimated fair value of the underlying mortgage loan, quoted MBS prices, estimates of the fair value of mortgage servicing rights, and an estimate of the probability that the mortgage loan will fund within the terms of the commitment. The change in fair value of the underlying mortgage loan is measured from the date the loan commitment is issued. Following issuance, the value of a mortgage loan commitment can be either positive or negative depending upon the change in value of the underlying mortgage loans. Fallout rates and other factors from the Company’s recent historical data are used to estimate the quantity and value of mortgage loans that will fund within the terms of the commitments.</w:t>
      </w:r>
    </w:p>
    <w:p>
      <w:pPr>
        <w:spacing w:after="0" w:line="19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u w:val="single" w:color="auto"/>
          <w:color w:val="auto"/>
        </w:rPr>
        <w:t>Impaired Mortgage Loans Held for Investment</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believes that the fair value of these nonperforming loans will approximate the unpaid</w:t>
      </w:r>
      <w:r>
        <w:rPr>
          <w:rFonts w:ascii="Arial" w:cs="Arial" w:eastAsia="Arial" w:hAnsi="Arial"/>
          <w:sz w:val="16"/>
          <w:szCs w:val="16"/>
          <w:i w:val="1"/>
          <w:iCs w:val="1"/>
          <w:color w:val="auto"/>
        </w:rPr>
        <w:t xml:space="preserve"> </w:t>
      </w:r>
      <w:r>
        <w:rPr>
          <w:rFonts w:ascii="Arial" w:cs="Arial" w:eastAsia="Arial" w:hAnsi="Arial"/>
          <w:sz w:val="16"/>
          <w:szCs w:val="16"/>
          <w:color w:val="auto"/>
        </w:rPr>
        <w:t>principal balance expected to be recovered based on the fair value of the underlying collateral. For residential and commercial properties, the collateral value is estimated by obtaining an independent appraisal. The appraisal typically considers comparable sales in the area, property condition, and potential rental income that could be generated (particularly for commercial properties). For residential construction loans, the collateral is typically incomplete, so fair value is estimated as the replacement cost using data from a provider of building cost information to the real estate construction.</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Impaired Real Estate Held for Investment</w:t>
      </w:r>
      <w:r>
        <w:rPr>
          <w:rFonts w:ascii="Arial" w:cs="Arial" w:eastAsia="Arial" w:hAnsi="Arial"/>
          <w:sz w:val="18"/>
          <w:szCs w:val="18"/>
          <w:color w:val="auto"/>
        </w:rPr>
        <w:t>: The Company believes that in an orderly market, fair value will approximate the replacement cost of a home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rental income provides a cash flow stream for investment analysis. The Company believes the highest and best use of the properties are as income producing assets since it is the Company’s intent to hold the properties as rental properties, matching the income from the investment in rental properties with the funds required for future estimated policy claims.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It should be noted that for replacement cost, when determining the fair value of real estate held for investment, the Company uses a provider of building cost information to the real estate construction industry. For the investment analysis, the Company uses market data based upon its real estate operation experience and projected the present value of the net rental income over seven years. The Company also considers area comparable properties and property condition when determining fair value.</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to this analysis performed by the Company, the Company depreciates Real Estate Held for Investment. This depreciation reduces the book value of these properties and lessens the exposure to the Company from further deterioration in real estate values.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u w:val="single" w:color="auto"/>
          <w:color w:val="auto"/>
        </w:rPr>
        <w:t>Mortgage Servicing Rights</w:t>
      </w:r>
      <w:r>
        <w:rPr>
          <w:rFonts w:ascii="Arial" w:cs="Arial" w:eastAsia="Arial" w:hAnsi="Arial"/>
          <w:sz w:val="17"/>
          <w:szCs w:val="17"/>
          <w:color w:val="auto"/>
        </w:rPr>
        <w:t>: The Company initially recognizes Mortgage Servicing Rights (“MSRs”) at their estimated fair values derived from the net cash</w:t>
      </w:r>
      <w:r>
        <w:rPr>
          <w:rFonts w:ascii="Arial" w:cs="Arial" w:eastAsia="Arial" w:hAnsi="Arial"/>
          <w:sz w:val="17"/>
          <w:szCs w:val="17"/>
          <w:i w:val="1"/>
          <w:iCs w:val="1"/>
          <w:color w:val="auto"/>
        </w:rPr>
        <w:t xml:space="preserve"> </w:t>
      </w:r>
      <w:r>
        <w:rPr>
          <w:rFonts w:ascii="Arial" w:cs="Arial" w:eastAsia="Arial" w:hAnsi="Arial"/>
          <w:sz w:val="17"/>
          <w:szCs w:val="17"/>
          <w:color w:val="auto"/>
        </w:rPr>
        <w:t>flows associated with the servicing contracts, where the Company assumes the obligation to service the loan in the sale transaction.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8" w:name="page39"/>
    <w:bookmarkEnd w:id="38"/>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June 30, 2023 (Unaudited)</w:t>
      </w:r>
    </w:p>
    <w:p>
      <w:pPr>
        <w:spacing w:after="0" w:line="184" w:lineRule="exact"/>
        <w:rPr>
          <w:sz w:val="20"/>
          <w:szCs w:val="20"/>
          <w:color w:val="auto"/>
        </w:rPr>
      </w:pPr>
    </w:p>
    <w:p>
      <w:pPr>
        <w:ind w:left="200" w:hanging="192"/>
        <w:spacing w:after="0"/>
        <w:tabs>
          <w:tab w:leader="none" w:pos="20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Fair Value of Financial Instruments</w:t>
      </w:r>
      <w:r>
        <w:rPr>
          <w:rFonts w:ascii="Arial" w:cs="Arial" w:eastAsia="Arial" w:hAnsi="Arial"/>
          <w:sz w:val="18"/>
          <w:szCs w:val="18"/>
          <w:color w:val="auto"/>
        </w:rPr>
        <w:t xml:space="preserve"> (Continued)</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tables summarize Level 1, 2 and 3 financial assets and financial liabilities measured at fair value on a recurring basis by their classification in the condensed consolidated balance sheet at June 30, 2023:</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460"/>
              <w:spacing w:after="0"/>
              <w:rPr>
                <w:sz w:val="20"/>
                <w:szCs w:val="20"/>
                <w:color w:val="auto"/>
              </w:rPr>
            </w:pPr>
            <w:r>
              <w:rPr>
                <w:rFonts w:ascii="Arial" w:cs="Arial" w:eastAsia="Arial" w:hAnsi="Arial"/>
                <w:sz w:val="18"/>
                <w:szCs w:val="18"/>
                <w:color w:val="auto"/>
                <w:w w:val="90"/>
              </w:rPr>
              <w:t>Quoted Prices in</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Significant</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gridSpan w:val="3"/>
          </w:tcPr>
          <w:p>
            <w:pPr>
              <w:jc w:val="center"/>
              <w:ind w:right="320"/>
              <w:spacing w:after="0"/>
              <w:rPr>
                <w:sz w:val="20"/>
                <w:szCs w:val="20"/>
                <w:color w:val="auto"/>
              </w:rPr>
            </w:pPr>
            <w:r>
              <w:rPr>
                <w:rFonts w:ascii="Arial" w:cs="Arial" w:eastAsia="Arial" w:hAnsi="Arial"/>
                <w:sz w:val="18"/>
                <w:szCs w:val="18"/>
                <w:color w:val="auto"/>
                <w:w w:val="95"/>
              </w:rPr>
              <w:t>Active Markets for</w:t>
            </w:r>
          </w:p>
        </w:tc>
        <w:tc>
          <w:tcPr>
            <w:tcW w:w="200" w:type="dxa"/>
            <w:vAlign w:val="bottom"/>
          </w:tcPr>
          <w:p>
            <w:pPr>
              <w:spacing w:after="0"/>
              <w:rPr>
                <w:sz w:val="18"/>
                <w:szCs w:val="18"/>
                <w:color w:val="auto"/>
              </w:rPr>
            </w:pPr>
          </w:p>
        </w:tc>
        <w:tc>
          <w:tcPr>
            <w:tcW w:w="1560" w:type="dxa"/>
            <w:vAlign w:val="bottom"/>
            <w:gridSpan w:val="2"/>
          </w:tcPr>
          <w:p>
            <w:pPr>
              <w:jc w:val="right"/>
              <w:ind w:right="640"/>
              <w:spacing w:after="0"/>
              <w:rPr>
                <w:sz w:val="20"/>
                <w:szCs w:val="20"/>
                <w:color w:val="auto"/>
              </w:rPr>
            </w:pPr>
            <w:r>
              <w:rPr>
                <w:rFonts w:ascii="Arial" w:cs="Arial" w:eastAsia="Arial" w:hAnsi="Arial"/>
                <w:sz w:val="18"/>
                <w:szCs w:val="18"/>
                <w:color w:val="auto"/>
              </w:rPr>
              <w:t>Significant</w:t>
            </w: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Unobservable</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520"/>
              <w:spacing w:after="0"/>
              <w:rPr>
                <w:sz w:val="20"/>
                <w:szCs w:val="20"/>
                <w:color w:val="auto"/>
              </w:rPr>
            </w:pPr>
            <w:r>
              <w:rPr>
                <w:rFonts w:ascii="Arial" w:cs="Arial" w:eastAsia="Arial" w:hAnsi="Arial"/>
                <w:sz w:val="18"/>
                <w:szCs w:val="18"/>
                <w:color w:val="auto"/>
                <w:w w:val="91"/>
              </w:rPr>
              <w:t>Identical Assets</w:t>
            </w:r>
          </w:p>
        </w:tc>
        <w:tc>
          <w:tcPr>
            <w:tcW w:w="1760" w:type="dxa"/>
            <w:vAlign w:val="bottom"/>
            <w:gridSpan w:val="3"/>
          </w:tcPr>
          <w:p>
            <w:pPr>
              <w:jc w:val="right"/>
              <w:ind w:right="400"/>
              <w:spacing w:after="0"/>
              <w:rPr>
                <w:sz w:val="20"/>
                <w:szCs w:val="20"/>
                <w:color w:val="auto"/>
              </w:rPr>
            </w:pPr>
            <w:r>
              <w:rPr>
                <w:rFonts w:ascii="Arial" w:cs="Arial" w:eastAsia="Arial" w:hAnsi="Arial"/>
                <w:sz w:val="18"/>
                <w:szCs w:val="18"/>
                <w:color w:val="auto"/>
                <w:w w:val="91"/>
              </w:rPr>
              <w:t>Observable Inputs</w:t>
            </w:r>
          </w:p>
        </w:tc>
        <w:tc>
          <w:tcPr>
            <w:tcW w:w="160" w:type="dxa"/>
            <w:vAlign w:val="bottom"/>
          </w:tcPr>
          <w:p>
            <w:pPr>
              <w:spacing w:after="0"/>
              <w:rPr>
                <w:sz w:val="18"/>
                <w:szCs w:val="18"/>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8"/>
                <w:szCs w:val="18"/>
                <w:color w:val="auto"/>
              </w:rPr>
              <w:t>Inputs</w:t>
            </w:r>
          </w:p>
        </w:tc>
        <w:tc>
          <w:tcPr>
            <w:tcW w:w="0" w:type="dxa"/>
            <w:vAlign w:val="bottom"/>
          </w:tcPr>
          <w:p>
            <w:pPr>
              <w:spacing w:after="0"/>
              <w:rPr>
                <w:sz w:val="1"/>
                <w:szCs w:val="1"/>
                <w:color w:val="auto"/>
              </w:rPr>
            </w:pPr>
          </w:p>
        </w:tc>
      </w:tr>
      <w:tr>
        <w:trPr>
          <w:trHeight w:val="237"/>
        </w:trPr>
        <w:tc>
          <w:tcPr>
            <w:tcW w:w="4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gridSpan w:val="2"/>
          </w:tcPr>
          <w:p>
            <w:pPr>
              <w:jc w:val="right"/>
              <w:ind w:right="90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p>
        </w:tc>
        <w:tc>
          <w:tcPr>
            <w:tcW w:w="1700" w:type="dxa"/>
            <w:vAlign w:val="bottom"/>
            <w:gridSpan w:val="2"/>
          </w:tcPr>
          <w:p>
            <w:pPr>
              <w:jc w:val="center"/>
              <w:ind w:right="440"/>
              <w:spacing w:after="0"/>
              <w:rPr>
                <w:sz w:val="20"/>
                <w:szCs w:val="20"/>
                <w:color w:val="auto"/>
              </w:rPr>
            </w:pPr>
            <w:r>
              <w:rPr>
                <w:rFonts w:ascii="Arial" w:cs="Arial" w:eastAsia="Arial" w:hAnsi="Arial"/>
                <w:sz w:val="18"/>
                <w:szCs w:val="18"/>
                <w:color w:val="auto"/>
                <w:w w:val="94"/>
              </w:rPr>
              <w:t>(Level 1)</w:t>
            </w:r>
          </w:p>
        </w:tc>
        <w:tc>
          <w:tcPr>
            <w:tcW w:w="200" w:type="dxa"/>
            <w:vAlign w:val="bottom"/>
          </w:tcPr>
          <w:p>
            <w:pPr>
              <w:spacing w:after="0"/>
              <w:rPr>
                <w:sz w:val="20"/>
                <w:szCs w:val="20"/>
                <w:color w:val="auto"/>
              </w:rPr>
            </w:pPr>
          </w:p>
        </w:tc>
        <w:tc>
          <w:tcPr>
            <w:tcW w:w="1560" w:type="dxa"/>
            <w:vAlign w:val="bottom"/>
            <w:gridSpan w:val="2"/>
          </w:tcPr>
          <w:p>
            <w:pPr>
              <w:jc w:val="right"/>
              <w:ind w:right="700"/>
              <w:spacing w:after="0"/>
              <w:rPr>
                <w:sz w:val="20"/>
                <w:szCs w:val="20"/>
                <w:color w:val="auto"/>
              </w:rPr>
            </w:pPr>
            <w:r>
              <w:rPr>
                <w:rFonts w:ascii="Arial" w:cs="Arial" w:eastAsia="Arial" w:hAnsi="Arial"/>
                <w:sz w:val="18"/>
                <w:szCs w:val="18"/>
                <w:color w:val="auto"/>
              </w:rPr>
              <w:t>(Level 2)</w:t>
            </w:r>
          </w:p>
        </w:tc>
        <w:tc>
          <w:tcPr>
            <w:tcW w:w="16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(Level 3)</w:t>
            </w:r>
          </w:p>
        </w:tc>
        <w:tc>
          <w:tcPr>
            <w:tcW w:w="0" w:type="dxa"/>
            <w:vAlign w:val="bottom"/>
          </w:tcPr>
          <w:p>
            <w:pPr>
              <w:spacing w:after="0"/>
              <w:rPr>
                <w:sz w:val="1"/>
                <w:szCs w:val="1"/>
                <w:color w:val="auto"/>
              </w:rPr>
            </w:pPr>
          </w:p>
        </w:tc>
      </w:tr>
      <w:tr>
        <w:trPr>
          <w:trHeight w:val="216"/>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Assets accounted for at fair value on a recurring basis</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Fixed maturity securities available for sale</w:t>
            </w:r>
          </w:p>
        </w:tc>
        <w:tc>
          <w:tcPr>
            <w:tcW w:w="5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354,789,812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353,357,938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1,431,874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12,801,925</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12,801,925</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Loans held for sale</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161,310,060</w:t>
            </w:r>
          </w:p>
        </w:tc>
        <w:tc>
          <w:tcPr>
            <w:tcW w:w="120" w:type="dxa"/>
            <w:vAlign w:val="bottom"/>
          </w:tcPr>
          <w:p>
            <w:pPr>
              <w:spacing w:after="0"/>
              <w:rPr>
                <w:sz w:val="18"/>
                <w:szCs w:val="18"/>
                <w:color w:val="auto"/>
              </w:rPr>
            </w:pP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161,310,060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Restricted assets (1)</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1,550,968</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1,550,968</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Restricted assets (2)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6,229,193</w:t>
            </w:r>
          </w:p>
        </w:tc>
        <w:tc>
          <w:tcPr>
            <w:tcW w:w="120" w:type="dxa"/>
            <w:vAlign w:val="bottom"/>
          </w:tcPr>
          <w:p>
            <w:pPr>
              <w:spacing w:after="0"/>
              <w:rPr>
                <w:sz w:val="18"/>
                <w:szCs w:val="18"/>
                <w:color w:val="auto"/>
              </w:rPr>
            </w:pP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6,229,193</w:t>
            </w:r>
          </w:p>
        </w:tc>
        <w:tc>
          <w:tcPr>
            <w:tcW w:w="20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Cemetery perpetual care trust investments (1)</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420,625</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420,625</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Cemetery perpetual care trust investments (2)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3,895,307</w:t>
            </w:r>
          </w:p>
        </w:tc>
        <w:tc>
          <w:tcPr>
            <w:tcW w:w="120" w:type="dxa"/>
            <w:vAlign w:val="bottom"/>
          </w:tcPr>
          <w:p>
            <w:pPr>
              <w:spacing w:after="0"/>
              <w:rPr>
                <w:sz w:val="18"/>
                <w:szCs w:val="18"/>
                <w:color w:val="auto"/>
              </w:rPr>
            </w:pP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3,895,307</w:t>
            </w:r>
          </w:p>
        </w:tc>
        <w:tc>
          <w:tcPr>
            <w:tcW w:w="20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Derivatives - loan commitments (3)</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5,949,181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5,949,181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vMerge w:val="restart"/>
          </w:tcPr>
          <w:p>
            <w:pPr>
              <w:spacing w:after="0" w:line="195" w:lineRule="exact"/>
              <w:rPr>
                <w:sz w:val="20"/>
                <w:szCs w:val="20"/>
                <w:color w:val="auto"/>
              </w:rPr>
            </w:pPr>
            <w:r>
              <w:rPr>
                <w:rFonts w:ascii="Arial" w:cs="Arial" w:eastAsia="Arial" w:hAnsi="Arial"/>
                <w:sz w:val="18"/>
                <w:szCs w:val="18"/>
                <w:color w:val="auto"/>
              </w:rPr>
              <w:t>Total assets accounted for at fair value on a</w:t>
            </w: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80" w:type="dxa"/>
            <w:vAlign w:val="bottom"/>
            <w:vMerge w:val="continue"/>
          </w:tcPr>
          <w:p>
            <w:pPr>
              <w:spacing w:after="0"/>
              <w:rPr>
                <w:sz w:val="15"/>
                <w:szCs w:val="15"/>
                <w:color w:val="auto"/>
              </w:rPr>
            </w:pPr>
          </w:p>
        </w:tc>
        <w:tc>
          <w:tcPr>
            <w:tcW w:w="200" w:type="dxa"/>
            <w:vAlign w:val="bottom"/>
            <w:vMerge w:val="restart"/>
          </w:tcPr>
          <w:p>
            <w:pPr>
              <w:spacing w:after="0"/>
              <w:rPr>
                <w:sz w:val="15"/>
                <w:szCs w:val="15"/>
                <w:color w:val="auto"/>
              </w:rPr>
            </w:pP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546,947,071</w:t>
            </w:r>
          </w:p>
        </w:tc>
        <w:tc>
          <w:tcPr>
            <w:tcW w:w="340" w:type="dxa"/>
            <w:vAlign w:val="bottom"/>
            <w:vMerge w:val="restart"/>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22,926,425</w:t>
            </w:r>
          </w:p>
        </w:tc>
        <w:tc>
          <w:tcPr>
            <w:tcW w:w="200" w:type="dxa"/>
            <w:vAlign w:val="bottom"/>
            <w:vMerge w:val="restart"/>
          </w:tcPr>
          <w:p>
            <w:pPr>
              <w:jc w:val="right"/>
              <w:ind w:right="43"/>
              <w:spacing w:after="0"/>
              <w:rPr>
                <w:sz w:val="20"/>
                <w:szCs w:val="20"/>
                <w:color w:val="auto"/>
              </w:rPr>
            </w:pPr>
            <w:r>
              <w:rPr>
                <w:rFonts w:ascii="Arial" w:cs="Arial" w:eastAsia="Arial" w:hAnsi="Arial"/>
                <w:sz w:val="15"/>
                <w:szCs w:val="15"/>
                <w:color w:val="auto"/>
                <w:w w:val="71"/>
              </w:rPr>
              <w:t>$</w:t>
            </w:r>
          </w:p>
        </w:tc>
        <w:tc>
          <w:tcPr>
            <w:tcW w:w="156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355,329,531</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168,691,115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080" w:type="dxa"/>
            <w:vAlign w:val="bottom"/>
          </w:tcPr>
          <w:p>
            <w:pPr>
              <w:spacing w:after="0"/>
              <w:rPr>
                <w:sz w:val="20"/>
                <w:szCs w:val="20"/>
                <w:color w:val="auto"/>
              </w:rPr>
            </w:pPr>
            <w:r>
              <w:rPr>
                <w:rFonts w:ascii="Arial" w:cs="Arial" w:eastAsia="Arial" w:hAnsi="Arial"/>
                <w:sz w:val="18"/>
                <w:szCs w:val="18"/>
                <w:color w:val="auto"/>
              </w:rPr>
              <w:t>recurring basis</w:t>
            </w:r>
          </w:p>
        </w:tc>
        <w:tc>
          <w:tcPr>
            <w:tcW w:w="200" w:type="dxa"/>
            <w:vAlign w:val="bottom"/>
            <w:vMerge w:val="continue"/>
          </w:tcPr>
          <w:p>
            <w:pPr>
              <w:spacing w:after="0"/>
              <w:rPr>
                <w:sz w:val="22"/>
                <w:szCs w:val="22"/>
                <w:color w:val="auto"/>
              </w:rPr>
            </w:pPr>
          </w:p>
        </w:tc>
        <w:tc>
          <w:tcPr>
            <w:tcW w:w="320" w:type="dxa"/>
            <w:vAlign w:val="bottom"/>
            <w:vMerge w:val="continue"/>
          </w:tcPr>
          <w:p>
            <w:pPr>
              <w:spacing w:after="0"/>
              <w:rPr>
                <w:sz w:val="22"/>
                <w:szCs w:val="22"/>
                <w:color w:val="auto"/>
              </w:rPr>
            </w:pPr>
          </w:p>
        </w:tc>
        <w:tc>
          <w:tcPr>
            <w:tcW w:w="1160" w:type="dxa"/>
            <w:vAlign w:val="bottom"/>
            <w:vMerge w:val="continue"/>
          </w:tcPr>
          <w:p>
            <w:pPr>
              <w:spacing w:after="0"/>
              <w:rPr>
                <w:sz w:val="22"/>
                <w:szCs w:val="22"/>
                <w:color w:val="auto"/>
              </w:rPr>
            </w:pPr>
          </w:p>
        </w:tc>
        <w:tc>
          <w:tcPr>
            <w:tcW w:w="340" w:type="dxa"/>
            <w:vAlign w:val="bottom"/>
            <w:vMerge w:val="continue"/>
          </w:tcPr>
          <w:p>
            <w:pPr>
              <w:spacing w:after="0"/>
              <w:rPr>
                <w:sz w:val="22"/>
                <w:szCs w:val="22"/>
                <w:color w:val="auto"/>
              </w:rPr>
            </w:pPr>
          </w:p>
        </w:tc>
        <w:tc>
          <w:tcPr>
            <w:tcW w:w="120" w:type="dxa"/>
            <w:vAlign w:val="bottom"/>
            <w:vMerge w:val="continue"/>
          </w:tcPr>
          <w:p>
            <w:pPr>
              <w:spacing w:after="0"/>
              <w:rPr>
                <w:sz w:val="22"/>
                <w:szCs w:val="22"/>
                <w:color w:val="auto"/>
              </w:rPr>
            </w:pPr>
          </w:p>
        </w:tc>
        <w:tc>
          <w:tcPr>
            <w:tcW w:w="1700" w:type="dxa"/>
            <w:vAlign w:val="bottom"/>
            <w:gridSpan w:val="2"/>
            <w:vMerge w:val="continue"/>
          </w:tcPr>
          <w:p>
            <w:pPr>
              <w:spacing w:after="0"/>
              <w:rPr>
                <w:sz w:val="22"/>
                <w:szCs w:val="22"/>
                <w:color w:val="auto"/>
              </w:rPr>
            </w:pPr>
          </w:p>
        </w:tc>
        <w:tc>
          <w:tcPr>
            <w:tcW w:w="200" w:type="dxa"/>
            <w:vAlign w:val="bottom"/>
            <w:vMerge w:val="continue"/>
          </w:tcPr>
          <w:p>
            <w:pPr>
              <w:spacing w:after="0"/>
              <w:rPr>
                <w:sz w:val="22"/>
                <w:szCs w:val="22"/>
                <w:color w:val="auto"/>
              </w:rPr>
            </w:pPr>
          </w:p>
        </w:tc>
        <w:tc>
          <w:tcPr>
            <w:tcW w:w="1560" w:type="dxa"/>
            <w:vAlign w:val="bottom"/>
            <w:gridSpan w:val="2"/>
            <w:vMerge w:val="continue"/>
          </w:tcPr>
          <w:p>
            <w:pPr>
              <w:spacing w:after="0"/>
              <w:rPr>
                <w:sz w:val="22"/>
                <w:szCs w:val="22"/>
                <w:color w:val="auto"/>
              </w:rPr>
            </w:pPr>
          </w:p>
        </w:tc>
        <w:tc>
          <w:tcPr>
            <w:tcW w:w="160" w:type="dxa"/>
            <w:vAlign w:val="bottom"/>
            <w:vMerge w:val="continue"/>
          </w:tcPr>
          <w:p>
            <w:pPr>
              <w:spacing w:after="0"/>
              <w:rPr>
                <w:sz w:val="22"/>
                <w:szCs w:val="22"/>
                <w:color w:val="auto"/>
              </w:rPr>
            </w:pPr>
          </w:p>
        </w:tc>
        <w:tc>
          <w:tcPr>
            <w:tcW w:w="130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0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80" w:type="dxa"/>
            <w:vAlign w:val="bottom"/>
          </w:tcPr>
          <w:p>
            <w:pPr>
              <w:spacing w:after="0" w:line="201" w:lineRule="exact"/>
              <w:rPr>
                <w:sz w:val="20"/>
                <w:szCs w:val="20"/>
                <w:color w:val="auto"/>
              </w:rPr>
            </w:pPr>
            <w:r>
              <w:rPr>
                <w:rFonts w:ascii="Arial" w:cs="Arial" w:eastAsia="Arial" w:hAnsi="Arial"/>
                <w:sz w:val="18"/>
                <w:szCs w:val="18"/>
                <w:color w:val="auto"/>
              </w:rPr>
              <w:t>Liabilities accounted for at fair value on a recurring</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basis</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Derivatives - loan commitments (4)</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(2,715,734)</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(2,715,734)</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vMerge w:val="restart"/>
          </w:tcPr>
          <w:p>
            <w:pPr>
              <w:spacing w:after="0" w:line="195" w:lineRule="exact"/>
              <w:rPr>
                <w:sz w:val="20"/>
                <w:szCs w:val="20"/>
                <w:color w:val="auto"/>
              </w:rPr>
            </w:pPr>
            <w:r>
              <w:rPr>
                <w:rFonts w:ascii="Arial" w:cs="Arial" w:eastAsia="Arial" w:hAnsi="Arial"/>
                <w:sz w:val="18"/>
                <w:szCs w:val="18"/>
                <w:color w:val="auto"/>
              </w:rPr>
              <w:t>Total liabilities accounted for at fair value</w:t>
            </w: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80" w:type="dxa"/>
            <w:vAlign w:val="bottom"/>
            <w:vMerge w:val="continue"/>
          </w:tcPr>
          <w:p>
            <w:pPr>
              <w:spacing w:after="0"/>
              <w:rPr>
                <w:sz w:val="15"/>
                <w:szCs w:val="15"/>
                <w:color w:val="auto"/>
              </w:rPr>
            </w:pPr>
          </w:p>
        </w:tc>
        <w:tc>
          <w:tcPr>
            <w:tcW w:w="200" w:type="dxa"/>
            <w:vAlign w:val="bottom"/>
            <w:vMerge w:val="restart"/>
          </w:tcPr>
          <w:p>
            <w:pPr>
              <w:spacing w:after="0"/>
              <w:rPr>
                <w:sz w:val="15"/>
                <w:szCs w:val="15"/>
                <w:color w:val="auto"/>
              </w:rPr>
            </w:pP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(2,715,734)</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jc w:val="right"/>
              <w:ind w:right="43"/>
              <w:spacing w:after="0"/>
              <w:rPr>
                <w:sz w:val="20"/>
                <w:szCs w:val="20"/>
                <w:color w:val="auto"/>
              </w:rPr>
            </w:pPr>
            <w:r>
              <w:rPr>
                <w:rFonts w:ascii="Arial" w:cs="Arial" w:eastAsia="Arial" w:hAnsi="Arial"/>
                <w:sz w:val="15"/>
                <w:szCs w:val="15"/>
                <w:color w:val="auto"/>
                <w:w w:val="71"/>
              </w:rPr>
              <w:t>$</w:t>
            </w:r>
          </w:p>
        </w:tc>
        <w:tc>
          <w:tcPr>
            <w:tcW w:w="156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(2,715,734)</w:t>
            </w:r>
          </w:p>
        </w:tc>
        <w:tc>
          <w:tcPr>
            <w:tcW w:w="0" w:type="dxa"/>
            <w:vAlign w:val="bottom"/>
          </w:tcPr>
          <w:p>
            <w:pPr>
              <w:spacing w:after="0"/>
              <w:rPr>
                <w:sz w:val="1"/>
                <w:szCs w:val="1"/>
                <w:color w:val="auto"/>
              </w:rPr>
            </w:pPr>
          </w:p>
        </w:tc>
      </w:tr>
      <w:tr>
        <w:trPr>
          <w:trHeight w:val="217"/>
        </w:trPr>
        <w:tc>
          <w:tcPr>
            <w:tcW w:w="4080" w:type="dxa"/>
            <w:vAlign w:val="bottom"/>
          </w:tcPr>
          <w:p>
            <w:pPr>
              <w:spacing w:after="0"/>
              <w:rPr>
                <w:sz w:val="20"/>
                <w:szCs w:val="20"/>
                <w:color w:val="auto"/>
              </w:rPr>
            </w:pPr>
            <w:r>
              <w:rPr>
                <w:rFonts w:ascii="Arial" w:cs="Arial" w:eastAsia="Arial" w:hAnsi="Arial"/>
                <w:sz w:val="18"/>
                <w:szCs w:val="18"/>
                <w:color w:val="auto"/>
              </w:rPr>
              <w:t>on a recurring basis</w:t>
            </w:r>
          </w:p>
        </w:tc>
        <w:tc>
          <w:tcPr>
            <w:tcW w:w="200" w:type="dxa"/>
            <w:vAlign w:val="bottom"/>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700" w:type="dxa"/>
            <w:vAlign w:val="bottom"/>
            <w:gridSpan w:val="2"/>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color w:val="auto"/>
        </w:rPr>
        <w:t>(1)Fixed maturity securities available for sale</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(2)Equity securities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(3)Included in other assets on the consolidated balance sheets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(4)Included in other liabilities and accrued expenses on the consolidated balance sheets</w:t>
      </w:r>
    </w:p>
    <w:p>
      <w:pPr>
        <w:spacing w:after="0" w:line="33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9" w:name="page40"/>
    <w:bookmarkEnd w:id="39"/>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June 30, 2023 (Unaudited)</w:t>
      </w:r>
    </w:p>
    <w:p>
      <w:pPr>
        <w:spacing w:after="0" w:line="184" w:lineRule="exact"/>
        <w:rPr>
          <w:sz w:val="20"/>
          <w:szCs w:val="20"/>
          <w:color w:val="auto"/>
        </w:rPr>
      </w:pPr>
    </w:p>
    <w:p>
      <w:pPr>
        <w:ind w:left="200" w:hanging="192"/>
        <w:spacing w:after="0"/>
        <w:tabs>
          <w:tab w:leader="none" w:pos="20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Fair Value of Financial Instruments</w:t>
      </w:r>
      <w:r>
        <w:rPr>
          <w:rFonts w:ascii="Arial" w:cs="Arial" w:eastAsia="Arial" w:hAnsi="Arial"/>
          <w:sz w:val="18"/>
          <w:szCs w:val="18"/>
          <w:color w:val="auto"/>
        </w:rPr>
        <w:t xml:space="preserve"> (Continued)</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tables summarize Level 1, 2 and 3 financial assets and financial liabilities measured at fair value on a recurring basis by their classification in the condensed consolidated balance sheet at December 31, 2022:</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460"/>
              <w:spacing w:after="0"/>
              <w:rPr>
                <w:sz w:val="20"/>
                <w:szCs w:val="20"/>
                <w:color w:val="auto"/>
              </w:rPr>
            </w:pPr>
            <w:r>
              <w:rPr>
                <w:rFonts w:ascii="Arial" w:cs="Arial" w:eastAsia="Arial" w:hAnsi="Arial"/>
                <w:sz w:val="18"/>
                <w:szCs w:val="18"/>
                <w:color w:val="auto"/>
                <w:w w:val="90"/>
              </w:rPr>
              <w:t>Quoted Prices in</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Significant</w:t>
            </w:r>
          </w:p>
        </w:tc>
      </w:tr>
      <w:tr>
        <w:trPr>
          <w:trHeight w:val="216"/>
        </w:trPr>
        <w:tc>
          <w:tcPr>
            <w:tcW w:w="4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gridSpan w:val="3"/>
          </w:tcPr>
          <w:p>
            <w:pPr>
              <w:jc w:val="center"/>
              <w:ind w:right="320"/>
              <w:spacing w:after="0"/>
              <w:rPr>
                <w:sz w:val="20"/>
                <w:szCs w:val="20"/>
                <w:color w:val="auto"/>
              </w:rPr>
            </w:pPr>
            <w:r>
              <w:rPr>
                <w:rFonts w:ascii="Arial" w:cs="Arial" w:eastAsia="Arial" w:hAnsi="Arial"/>
                <w:sz w:val="18"/>
                <w:szCs w:val="18"/>
                <w:color w:val="auto"/>
                <w:w w:val="95"/>
              </w:rPr>
              <w:t>Active Markets for</w:t>
            </w:r>
          </w:p>
        </w:tc>
        <w:tc>
          <w:tcPr>
            <w:tcW w:w="200" w:type="dxa"/>
            <w:vAlign w:val="bottom"/>
          </w:tcPr>
          <w:p>
            <w:pPr>
              <w:spacing w:after="0"/>
              <w:rPr>
                <w:sz w:val="18"/>
                <w:szCs w:val="18"/>
                <w:color w:val="auto"/>
              </w:rPr>
            </w:pPr>
          </w:p>
        </w:tc>
        <w:tc>
          <w:tcPr>
            <w:tcW w:w="1560" w:type="dxa"/>
            <w:vAlign w:val="bottom"/>
            <w:gridSpan w:val="2"/>
          </w:tcPr>
          <w:p>
            <w:pPr>
              <w:jc w:val="right"/>
              <w:ind w:right="640"/>
              <w:spacing w:after="0"/>
              <w:rPr>
                <w:sz w:val="20"/>
                <w:szCs w:val="20"/>
                <w:color w:val="auto"/>
              </w:rPr>
            </w:pPr>
            <w:r>
              <w:rPr>
                <w:rFonts w:ascii="Arial" w:cs="Arial" w:eastAsia="Arial" w:hAnsi="Arial"/>
                <w:sz w:val="18"/>
                <w:szCs w:val="18"/>
                <w:color w:val="auto"/>
              </w:rPr>
              <w:t>Significant</w:t>
            </w: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Unobservable</w:t>
            </w:r>
          </w:p>
        </w:tc>
      </w:tr>
      <w:tr>
        <w:trPr>
          <w:trHeight w:val="216"/>
        </w:trPr>
        <w:tc>
          <w:tcPr>
            <w:tcW w:w="4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520"/>
              <w:spacing w:after="0"/>
              <w:rPr>
                <w:sz w:val="20"/>
                <w:szCs w:val="20"/>
                <w:color w:val="auto"/>
              </w:rPr>
            </w:pPr>
            <w:r>
              <w:rPr>
                <w:rFonts w:ascii="Arial" w:cs="Arial" w:eastAsia="Arial" w:hAnsi="Arial"/>
                <w:sz w:val="18"/>
                <w:szCs w:val="18"/>
                <w:color w:val="auto"/>
                <w:w w:val="91"/>
              </w:rPr>
              <w:t>Identical Assets</w:t>
            </w:r>
          </w:p>
        </w:tc>
        <w:tc>
          <w:tcPr>
            <w:tcW w:w="1760" w:type="dxa"/>
            <w:vAlign w:val="bottom"/>
            <w:gridSpan w:val="3"/>
          </w:tcPr>
          <w:p>
            <w:pPr>
              <w:jc w:val="right"/>
              <w:ind w:right="400"/>
              <w:spacing w:after="0"/>
              <w:rPr>
                <w:sz w:val="20"/>
                <w:szCs w:val="20"/>
                <w:color w:val="auto"/>
              </w:rPr>
            </w:pPr>
            <w:r>
              <w:rPr>
                <w:rFonts w:ascii="Arial" w:cs="Arial" w:eastAsia="Arial" w:hAnsi="Arial"/>
                <w:sz w:val="18"/>
                <w:szCs w:val="18"/>
                <w:color w:val="auto"/>
                <w:w w:val="91"/>
              </w:rPr>
              <w:t>Observable Inputs</w:t>
            </w:r>
          </w:p>
        </w:tc>
        <w:tc>
          <w:tcPr>
            <w:tcW w:w="160" w:type="dxa"/>
            <w:vAlign w:val="bottom"/>
          </w:tcPr>
          <w:p>
            <w:pPr>
              <w:spacing w:after="0"/>
              <w:rPr>
                <w:sz w:val="18"/>
                <w:szCs w:val="18"/>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8"/>
                <w:szCs w:val="18"/>
                <w:color w:val="auto"/>
              </w:rPr>
              <w:t>Inputs</w:t>
            </w:r>
          </w:p>
        </w:tc>
      </w:tr>
      <w:tr>
        <w:trPr>
          <w:trHeight w:val="237"/>
        </w:trPr>
        <w:tc>
          <w:tcPr>
            <w:tcW w:w="4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gridSpan w:val="2"/>
          </w:tcPr>
          <w:p>
            <w:pPr>
              <w:jc w:val="right"/>
              <w:ind w:right="90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p>
        </w:tc>
        <w:tc>
          <w:tcPr>
            <w:tcW w:w="1700" w:type="dxa"/>
            <w:vAlign w:val="bottom"/>
            <w:gridSpan w:val="2"/>
          </w:tcPr>
          <w:p>
            <w:pPr>
              <w:jc w:val="center"/>
              <w:ind w:right="440"/>
              <w:spacing w:after="0"/>
              <w:rPr>
                <w:sz w:val="20"/>
                <w:szCs w:val="20"/>
                <w:color w:val="auto"/>
              </w:rPr>
            </w:pPr>
            <w:r>
              <w:rPr>
                <w:rFonts w:ascii="Arial" w:cs="Arial" w:eastAsia="Arial" w:hAnsi="Arial"/>
                <w:sz w:val="18"/>
                <w:szCs w:val="18"/>
                <w:color w:val="auto"/>
                <w:w w:val="94"/>
              </w:rPr>
              <w:t>(Level 1)</w:t>
            </w:r>
          </w:p>
        </w:tc>
        <w:tc>
          <w:tcPr>
            <w:tcW w:w="200" w:type="dxa"/>
            <w:vAlign w:val="bottom"/>
          </w:tcPr>
          <w:p>
            <w:pPr>
              <w:spacing w:after="0"/>
              <w:rPr>
                <w:sz w:val="20"/>
                <w:szCs w:val="20"/>
                <w:color w:val="auto"/>
              </w:rPr>
            </w:pPr>
          </w:p>
        </w:tc>
        <w:tc>
          <w:tcPr>
            <w:tcW w:w="1560" w:type="dxa"/>
            <w:vAlign w:val="bottom"/>
            <w:gridSpan w:val="2"/>
          </w:tcPr>
          <w:p>
            <w:pPr>
              <w:jc w:val="right"/>
              <w:ind w:right="700"/>
              <w:spacing w:after="0"/>
              <w:rPr>
                <w:sz w:val="20"/>
                <w:szCs w:val="20"/>
                <w:color w:val="auto"/>
              </w:rPr>
            </w:pPr>
            <w:r>
              <w:rPr>
                <w:rFonts w:ascii="Arial" w:cs="Arial" w:eastAsia="Arial" w:hAnsi="Arial"/>
                <w:sz w:val="18"/>
                <w:szCs w:val="18"/>
                <w:color w:val="auto"/>
              </w:rPr>
              <w:t>(Level 2)</w:t>
            </w:r>
          </w:p>
        </w:tc>
        <w:tc>
          <w:tcPr>
            <w:tcW w:w="16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(Level 3)</w:t>
            </w:r>
          </w:p>
        </w:tc>
      </w:tr>
      <w:tr>
        <w:trPr>
          <w:trHeight w:val="216"/>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Assets accounted for at fair value on a recurring basis</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Fixed maturity securities available for sale</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345,858,492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344,422,973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1,435,519</w:t>
            </w:r>
          </w:p>
        </w:tc>
        <w:tc>
          <w:tcPr>
            <w:tcW w:w="10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11,682,526</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11,682,526</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Loans held for sale</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141,179,620</w:t>
            </w:r>
          </w:p>
        </w:tc>
        <w:tc>
          <w:tcPr>
            <w:tcW w:w="120" w:type="dxa"/>
            <w:vAlign w:val="bottom"/>
          </w:tcPr>
          <w:p>
            <w:pPr>
              <w:spacing w:after="0"/>
              <w:rPr>
                <w:sz w:val="18"/>
                <w:szCs w:val="18"/>
                <w:color w:val="auto"/>
              </w:rPr>
            </w:pP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141,179,620</w:t>
            </w:r>
          </w:p>
        </w:tc>
        <w:tc>
          <w:tcPr>
            <w:tcW w:w="10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Restricted assets (1)</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1,217,308</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1,217,308</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Restricted assets (2)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5,348,244</w:t>
            </w:r>
          </w:p>
        </w:tc>
        <w:tc>
          <w:tcPr>
            <w:tcW w:w="120" w:type="dxa"/>
            <w:vAlign w:val="bottom"/>
          </w:tcPr>
          <w:p>
            <w:pPr>
              <w:spacing w:after="0"/>
              <w:rPr>
                <w:sz w:val="18"/>
                <w:szCs w:val="18"/>
                <w:color w:val="auto"/>
              </w:rPr>
            </w:pP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5,348,244</w:t>
            </w:r>
          </w:p>
        </w:tc>
        <w:tc>
          <w:tcPr>
            <w:tcW w:w="20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Cemetery perpetual care trust investments (1)</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254,731</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254,731</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Cemetery perpetual care trust investments (2)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3,605,162</w:t>
            </w:r>
          </w:p>
        </w:tc>
        <w:tc>
          <w:tcPr>
            <w:tcW w:w="120" w:type="dxa"/>
            <w:vAlign w:val="bottom"/>
          </w:tcPr>
          <w:p>
            <w:pPr>
              <w:spacing w:after="0"/>
              <w:rPr>
                <w:sz w:val="18"/>
                <w:szCs w:val="18"/>
                <w:color w:val="auto"/>
              </w:rPr>
            </w:pP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3,605,162</w:t>
            </w:r>
          </w:p>
        </w:tc>
        <w:tc>
          <w:tcPr>
            <w:tcW w:w="20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49"/>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Derivatives - loan commitments (3)</w:t>
            </w:r>
          </w:p>
        </w:tc>
        <w:tc>
          <w:tcPr>
            <w:tcW w:w="2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4,089,856</w:t>
            </w:r>
          </w:p>
        </w:tc>
        <w:tc>
          <w:tcPr>
            <w:tcW w:w="12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4,089,856</w:t>
            </w:r>
          </w:p>
        </w:tc>
        <w:tc>
          <w:tcPr>
            <w:tcW w:w="100" w:type="dxa"/>
            <w:vAlign w:val="bottom"/>
            <w:shd w:val="clear" w:color="auto" w:fill="CCEEFF"/>
          </w:tcPr>
          <w:p>
            <w:pPr>
              <w:spacing w:after="0"/>
              <w:rPr>
                <w:sz w:val="21"/>
                <w:szCs w:val="21"/>
                <w:color w:val="auto"/>
              </w:rPr>
            </w:pPr>
          </w:p>
        </w:tc>
      </w:tr>
      <w:tr>
        <w:trPr>
          <w:trHeight w:val="175"/>
        </w:trPr>
        <w:tc>
          <w:tcPr>
            <w:tcW w:w="408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w w:val="95"/>
              </w:rPr>
              <w:t>Total assets accounted for at fair value on a recurring</w:t>
            </w:r>
          </w:p>
        </w:tc>
        <w:tc>
          <w:tcPr>
            <w:tcW w:w="200" w:type="dxa"/>
            <w:vAlign w:val="bottom"/>
            <w:tcBorders>
              <w:top w:val="single" w:sz="8" w:color="CCEEFF"/>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97"/>
        </w:trPr>
        <w:tc>
          <w:tcPr>
            <w:tcW w:w="4080" w:type="dxa"/>
            <w:vAlign w:val="bottom"/>
          </w:tcPr>
          <w:p>
            <w:pPr>
              <w:spacing w:after="0"/>
              <w:rPr>
                <w:sz w:val="20"/>
                <w:szCs w:val="20"/>
                <w:color w:val="auto"/>
              </w:rPr>
            </w:pPr>
            <w:r>
              <w:rPr>
                <w:rFonts w:ascii="Arial" w:cs="Arial" w:eastAsia="Arial" w:hAnsi="Arial"/>
                <w:sz w:val="18"/>
                <w:szCs w:val="18"/>
                <w:color w:val="auto"/>
              </w:rPr>
              <w:t>basis</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513,235,939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20,635,932</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345,895,012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146,704,995</w:t>
            </w:r>
          </w:p>
        </w:tc>
        <w:tc>
          <w:tcPr>
            <w:tcW w:w="100" w:type="dxa"/>
            <w:vAlign w:val="bottom"/>
          </w:tcPr>
          <w:p>
            <w:pPr>
              <w:spacing w:after="0"/>
              <w:rPr>
                <w:sz w:val="24"/>
                <w:szCs w:val="24"/>
                <w:color w:val="auto"/>
              </w:rPr>
            </w:pPr>
          </w:p>
        </w:tc>
      </w:tr>
      <w:tr>
        <w:trPr>
          <w:trHeight w:val="197"/>
        </w:trPr>
        <w:tc>
          <w:tcPr>
            <w:tcW w:w="40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02"/>
        </w:trPr>
        <w:tc>
          <w:tcPr>
            <w:tcW w:w="4080" w:type="dxa"/>
            <w:vAlign w:val="bottom"/>
          </w:tcPr>
          <w:p>
            <w:pPr>
              <w:spacing w:after="0" w:line="201" w:lineRule="exact"/>
              <w:rPr>
                <w:sz w:val="20"/>
                <w:szCs w:val="20"/>
                <w:color w:val="auto"/>
              </w:rPr>
            </w:pPr>
            <w:r>
              <w:rPr>
                <w:rFonts w:ascii="Arial" w:cs="Arial" w:eastAsia="Arial" w:hAnsi="Arial"/>
                <w:sz w:val="18"/>
                <w:szCs w:val="18"/>
                <w:color w:val="auto"/>
              </w:rPr>
              <w:t>Liabilities accounted for at fair value on a</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recurring basis</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Derivatives - call options (4)</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(29,715)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(29,715)</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Derivatives - put options (4)</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(13,888)</w:t>
            </w:r>
          </w:p>
        </w:tc>
        <w:tc>
          <w:tcPr>
            <w:tcW w:w="120" w:type="dxa"/>
            <w:vAlign w:val="bottom"/>
          </w:tcPr>
          <w:p>
            <w:pPr>
              <w:spacing w:after="0"/>
              <w:rPr>
                <w:sz w:val="18"/>
                <w:szCs w:val="18"/>
                <w:color w:val="auto"/>
              </w:rPr>
            </w:pPr>
          </w:p>
        </w:tc>
        <w:tc>
          <w:tcPr>
            <w:tcW w:w="1700" w:type="dxa"/>
            <w:vAlign w:val="bottom"/>
            <w:gridSpan w:val="2"/>
          </w:tcPr>
          <w:p>
            <w:pPr>
              <w:jc w:val="right"/>
              <w:ind w:right="280"/>
              <w:spacing w:after="0"/>
              <w:rPr>
                <w:sz w:val="20"/>
                <w:szCs w:val="20"/>
                <w:color w:val="auto"/>
              </w:rPr>
            </w:pPr>
            <w:r>
              <w:rPr>
                <w:rFonts w:ascii="Arial" w:cs="Arial" w:eastAsia="Arial" w:hAnsi="Arial"/>
                <w:sz w:val="18"/>
                <w:szCs w:val="18"/>
                <w:color w:val="auto"/>
              </w:rPr>
              <w:t>(13,888)</w:t>
            </w:r>
          </w:p>
        </w:tc>
        <w:tc>
          <w:tcPr>
            <w:tcW w:w="20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5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Derivatives - loan commitments (4)</w:t>
            </w:r>
          </w:p>
        </w:tc>
        <w:tc>
          <w:tcPr>
            <w:tcW w:w="2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(1,382,979)</w:t>
            </w:r>
          </w:p>
        </w:tc>
        <w:tc>
          <w:tcPr>
            <w:tcW w:w="12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(1,382,979)</w:t>
            </w:r>
          </w:p>
        </w:tc>
      </w:tr>
      <w:tr>
        <w:trPr>
          <w:trHeight w:val="175"/>
        </w:trPr>
        <w:tc>
          <w:tcPr>
            <w:tcW w:w="408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Total liabilities accounted for at fair value on a</w:t>
            </w:r>
          </w:p>
        </w:tc>
        <w:tc>
          <w:tcPr>
            <w:tcW w:w="200" w:type="dxa"/>
            <w:vAlign w:val="bottom"/>
            <w:tcBorders>
              <w:top w:val="single" w:sz="8" w:color="CCEEFF"/>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57"/>
        </w:trPr>
        <w:tc>
          <w:tcPr>
            <w:tcW w:w="4080" w:type="dxa"/>
            <w:vAlign w:val="bottom"/>
          </w:tcPr>
          <w:p>
            <w:pPr>
              <w:spacing w:after="0"/>
              <w:rPr>
                <w:sz w:val="20"/>
                <w:szCs w:val="20"/>
                <w:color w:val="auto"/>
              </w:rPr>
            </w:pPr>
            <w:r>
              <w:rPr>
                <w:rFonts w:ascii="Arial" w:cs="Arial" w:eastAsia="Arial" w:hAnsi="Arial"/>
                <w:sz w:val="18"/>
                <w:szCs w:val="18"/>
                <w:color w:val="auto"/>
              </w:rPr>
              <w:t>recurring basis</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(1,426,582)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tcPr>
          <w:p>
            <w:pPr>
              <w:jc w:val="right"/>
              <w:ind w:right="280"/>
              <w:spacing w:after="0"/>
              <w:rPr>
                <w:sz w:val="20"/>
                <w:szCs w:val="20"/>
                <w:color w:val="auto"/>
              </w:rPr>
            </w:pPr>
            <w:r>
              <w:rPr>
                <w:rFonts w:ascii="Arial" w:cs="Arial" w:eastAsia="Arial" w:hAnsi="Arial"/>
                <w:sz w:val="18"/>
                <w:szCs w:val="18"/>
                <w:color w:val="auto"/>
              </w:rPr>
              <w:t>(43,603)</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(1,382,979)</w:t>
            </w:r>
          </w:p>
        </w:tc>
      </w:tr>
      <w:tr>
        <w:trPr>
          <w:trHeight w:val="20"/>
        </w:trPr>
        <w:tc>
          <w:tcPr>
            <w:tcW w:w="4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color w:val="auto"/>
        </w:rPr>
        <w:t>(1)Fixed maturity securities available for sale</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(2)Equity securities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(3)Included in other assets on the consolidated balance sheets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(4)Included in other liabilities and accrued expenses on the consolidated balance sheets</w:t>
      </w:r>
    </w:p>
    <w:p>
      <w:pPr>
        <w:spacing w:after="0" w:line="33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0" w:name="page41"/>
    <w:bookmarkEnd w:id="40"/>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June 30, 2023 (Unaudited)</w:t>
      </w:r>
    </w:p>
    <w:p>
      <w:pPr>
        <w:spacing w:after="0" w:line="184" w:lineRule="exact"/>
        <w:rPr>
          <w:sz w:val="20"/>
          <w:szCs w:val="20"/>
          <w:color w:val="auto"/>
        </w:rPr>
      </w:pPr>
    </w:p>
    <w:p>
      <w:pPr>
        <w:ind w:left="200" w:hanging="192"/>
        <w:spacing w:after="0"/>
        <w:tabs>
          <w:tab w:leader="none" w:pos="20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Fair Value of Financial Instruments</w:t>
      </w:r>
      <w:r>
        <w:rPr>
          <w:rFonts w:ascii="Arial" w:cs="Arial" w:eastAsia="Arial" w:hAnsi="Arial"/>
          <w:sz w:val="18"/>
          <w:szCs w:val="18"/>
          <w:color w:val="auto"/>
        </w:rPr>
        <w:t xml:space="preserve"> (Continued)</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Level 3 assets and liabilities measured at fair value on a recurring basis as of June 30, 2023, the significant unobservable inputs used in the fair value measurements were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Significant</w:t>
            </w:r>
          </w:p>
        </w:tc>
        <w:tc>
          <w:tcPr>
            <w:tcW w:w="120" w:type="dxa"/>
            <w:vAlign w:val="bottom"/>
          </w:tcPr>
          <w:p>
            <w:pPr>
              <w:spacing w:after="0"/>
              <w:rPr>
                <w:sz w:val="20"/>
                <w:szCs w:val="20"/>
                <w:color w:val="auto"/>
              </w:rPr>
            </w:pPr>
          </w:p>
        </w:tc>
        <w:tc>
          <w:tcPr>
            <w:tcW w:w="2640" w:type="dxa"/>
            <w:vAlign w:val="bottom"/>
            <w:gridSpan w:val="5"/>
          </w:tcPr>
          <w:p>
            <w:pPr>
              <w:jc w:val="right"/>
              <w:ind w:right="1000"/>
              <w:spacing w:after="0"/>
              <w:rPr>
                <w:sz w:val="20"/>
                <w:szCs w:val="20"/>
                <w:color w:val="auto"/>
              </w:rPr>
            </w:pPr>
            <w:r>
              <w:rPr>
                <w:rFonts w:ascii="Arial" w:cs="Arial" w:eastAsia="Arial" w:hAnsi="Arial"/>
                <w:sz w:val="18"/>
                <w:szCs w:val="18"/>
                <w:color w:val="auto"/>
              </w:rPr>
              <w:t>Range of Inputs</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5"/>
        </w:trPr>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center"/>
              <w:ind w:right="460"/>
              <w:spacing w:after="0"/>
              <w:rPr>
                <w:sz w:val="20"/>
                <w:szCs w:val="20"/>
                <w:color w:val="auto"/>
              </w:rPr>
            </w:pPr>
            <w:r>
              <w:rPr>
                <w:rFonts w:ascii="Arial" w:cs="Arial" w:eastAsia="Arial" w:hAnsi="Arial"/>
                <w:sz w:val="18"/>
                <w:szCs w:val="18"/>
                <w:color w:val="auto"/>
                <w:w w:val="90"/>
              </w:rPr>
              <w:t>Fair Value at</w:t>
            </w:r>
          </w:p>
        </w:tc>
        <w:tc>
          <w:tcPr>
            <w:tcW w:w="1340" w:type="dxa"/>
            <w:vAlign w:val="bottom"/>
          </w:tcPr>
          <w:p>
            <w:pPr>
              <w:jc w:val="center"/>
              <w:spacing w:after="0"/>
              <w:rPr>
                <w:sz w:val="20"/>
                <w:szCs w:val="20"/>
                <w:color w:val="auto"/>
              </w:rPr>
            </w:pPr>
            <w:r>
              <w:rPr>
                <w:rFonts w:ascii="Arial" w:cs="Arial" w:eastAsia="Arial" w:hAnsi="Arial"/>
                <w:sz w:val="18"/>
                <w:szCs w:val="18"/>
                <w:color w:val="auto"/>
                <w:w w:val="93"/>
              </w:rPr>
              <w:t>Valuation</w:t>
            </w:r>
          </w:p>
        </w:tc>
        <w:tc>
          <w:tcPr>
            <w:tcW w:w="220" w:type="dxa"/>
            <w:vAlign w:val="bottom"/>
          </w:tcPr>
          <w:p>
            <w:pPr>
              <w:spacing w:after="0"/>
              <w:rPr>
                <w:sz w:val="18"/>
                <w:szCs w:val="18"/>
                <w:color w:val="auto"/>
              </w:rPr>
            </w:pPr>
          </w:p>
        </w:tc>
        <w:tc>
          <w:tcPr>
            <w:tcW w:w="200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Unobservable</w:t>
            </w: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2"/>
          </w:tcPr>
          <w:p>
            <w:pPr>
              <w:jc w:val="right"/>
              <w:ind w:right="520"/>
              <w:spacing w:after="0"/>
              <w:rPr>
                <w:sz w:val="20"/>
                <w:szCs w:val="20"/>
                <w:color w:val="auto"/>
              </w:rPr>
            </w:pPr>
            <w:r>
              <w:rPr>
                <w:rFonts w:ascii="Arial" w:cs="Arial" w:eastAsia="Arial" w:hAnsi="Arial"/>
                <w:sz w:val="18"/>
                <w:szCs w:val="18"/>
                <w:color w:val="auto"/>
                <w:w w:val="98"/>
              </w:rPr>
              <w:t>Minimum</w:t>
            </w: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7"/>
              </w:rPr>
              <w:t>Maximum</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Weighted</w:t>
            </w:r>
          </w:p>
        </w:tc>
      </w:tr>
      <w:tr>
        <w:trPr>
          <w:trHeight w:val="237"/>
        </w:trPr>
        <w:tc>
          <w:tcPr>
            <w:tcW w:w="1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2"/>
          </w:tcPr>
          <w:p>
            <w:pPr>
              <w:jc w:val="center"/>
              <w:ind w:right="460"/>
              <w:spacing w:after="0"/>
              <w:rPr>
                <w:sz w:val="20"/>
                <w:szCs w:val="20"/>
                <w:color w:val="auto"/>
              </w:rPr>
            </w:pPr>
            <w:r>
              <w:rPr>
                <w:rFonts w:ascii="Arial" w:cs="Arial" w:eastAsia="Arial" w:hAnsi="Arial"/>
                <w:sz w:val="18"/>
                <w:szCs w:val="18"/>
                <w:color w:val="auto"/>
                <w:w w:val="87"/>
              </w:rPr>
              <w:t>June 30, 2023</w:t>
            </w:r>
          </w:p>
        </w:tc>
        <w:tc>
          <w:tcPr>
            <w:tcW w:w="1340" w:type="dxa"/>
            <w:vAlign w:val="bottom"/>
          </w:tcPr>
          <w:p>
            <w:pPr>
              <w:jc w:val="center"/>
              <w:spacing w:after="0"/>
              <w:rPr>
                <w:sz w:val="20"/>
                <w:szCs w:val="20"/>
                <w:color w:val="auto"/>
              </w:rPr>
            </w:pPr>
            <w:r>
              <w:rPr>
                <w:rFonts w:ascii="Arial" w:cs="Arial" w:eastAsia="Arial" w:hAnsi="Arial"/>
                <w:sz w:val="18"/>
                <w:szCs w:val="18"/>
                <w:color w:val="auto"/>
                <w:w w:val="87"/>
              </w:rPr>
              <w:t>Technique</w:t>
            </w:r>
          </w:p>
        </w:tc>
        <w:tc>
          <w:tcPr>
            <w:tcW w:w="220" w:type="dxa"/>
            <w:vAlign w:val="bottom"/>
          </w:tcPr>
          <w:p>
            <w:pPr>
              <w:spacing w:after="0"/>
              <w:rPr>
                <w:sz w:val="20"/>
                <w:szCs w:val="20"/>
                <w:color w:val="auto"/>
              </w:rPr>
            </w:pPr>
          </w:p>
        </w:tc>
        <w:tc>
          <w:tcPr>
            <w:tcW w:w="200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Input(s)</w:t>
            </w:r>
          </w:p>
        </w:tc>
        <w:tc>
          <w:tcPr>
            <w:tcW w:w="120" w:type="dxa"/>
            <w:vAlign w:val="bottom"/>
          </w:tcPr>
          <w:p>
            <w:pPr>
              <w:spacing w:after="0"/>
              <w:rPr>
                <w:sz w:val="20"/>
                <w:szCs w:val="20"/>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Value</w:t>
            </w:r>
          </w:p>
        </w:tc>
        <w:tc>
          <w:tcPr>
            <w:tcW w:w="100" w:type="dxa"/>
            <w:vAlign w:val="bottom"/>
          </w:tcPr>
          <w:p>
            <w:pPr>
              <w:spacing w:after="0"/>
              <w:rPr>
                <w:sz w:val="20"/>
                <w:szCs w:val="20"/>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Value</w:t>
            </w:r>
          </w:p>
        </w:tc>
        <w:tc>
          <w:tcPr>
            <w:tcW w:w="120" w:type="dxa"/>
            <w:vAlign w:val="bottom"/>
          </w:tcPr>
          <w:p>
            <w:pPr>
              <w:spacing w:after="0"/>
              <w:rPr>
                <w:sz w:val="20"/>
                <w:szCs w:val="20"/>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Average</w:t>
            </w:r>
          </w:p>
        </w:tc>
      </w:tr>
      <w:tr>
        <w:trPr>
          <w:trHeight w:val="202"/>
        </w:trPr>
        <w:tc>
          <w:tcPr>
            <w:tcW w:w="18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2"/>
              </w:rPr>
              <w:t>Investor contract pricing</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16"/>
        </w:trPr>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as a percentage of</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0"/>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161,310,060</w:t>
            </w: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w w:val="97"/>
              </w:rPr>
              <w:t>Market approach</w:t>
            </w:r>
          </w:p>
        </w:tc>
        <w:tc>
          <w:tcPr>
            <w:tcW w:w="22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unpaid principal balance</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106.0%</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16"/>
        </w:trPr>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2"/>
        </w:trPr>
        <w:tc>
          <w:tcPr>
            <w:tcW w:w="1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Derivatives - loan</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commitments (net)</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3,233,447</w:t>
            </w: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w w:val="97"/>
              </w:rPr>
              <w:t>Market approach</w:t>
            </w:r>
          </w:p>
        </w:tc>
        <w:tc>
          <w:tcPr>
            <w:tcW w:w="22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Pull-through rate</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95.0%</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87.0%</w:t>
            </w:r>
          </w:p>
        </w:tc>
      </w:tr>
      <w:tr>
        <w:trPr>
          <w:trHeight w:val="216"/>
        </w:trPr>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20" w:type="dxa"/>
            <w:vAlign w:val="bottom"/>
            <w:gridSpan w:val="3"/>
          </w:tcPr>
          <w:p>
            <w:pPr>
              <w:ind w:left="220"/>
              <w:spacing w:after="0"/>
              <w:rPr>
                <w:sz w:val="20"/>
                <w:szCs w:val="20"/>
                <w:color w:val="auto"/>
              </w:rPr>
            </w:pPr>
            <w:r>
              <w:rPr>
                <w:rFonts w:ascii="Arial" w:cs="Arial" w:eastAsia="Arial" w:hAnsi="Arial"/>
                <w:sz w:val="18"/>
                <w:szCs w:val="18"/>
                <w:color w:val="auto"/>
              </w:rPr>
              <w:t>Initial-Value</w:t>
            </w:r>
          </w:p>
        </w:tc>
        <w:tc>
          <w:tcPr>
            <w:tcW w:w="12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Servicing</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 bps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154 bps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 bps</w:t>
            </w:r>
          </w:p>
        </w:tc>
      </w:tr>
      <w:tr>
        <w:trPr>
          <w:trHeight w:val="216"/>
        </w:trPr>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2"/>
        </w:trPr>
        <w:tc>
          <w:tcPr>
            <w:tcW w:w="1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Fixed maturity</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securities available for</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0"/>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sale</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1,431,874</w:t>
            </w: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Broker quotes</w:t>
            </w:r>
          </w:p>
        </w:tc>
        <w:tc>
          <w:tcPr>
            <w:tcW w:w="22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Pricing quotes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111.11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104.72</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Level 3 assets and liabilities measured at fair value on a recurring basis as of December 31, 2022, the significant unobservable inputs used in the fair value measurements were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2"/>
          </w:tcPr>
          <w:p>
            <w:pPr>
              <w:jc w:val="center"/>
              <w:ind w:right="460"/>
              <w:spacing w:after="0"/>
              <w:rPr>
                <w:sz w:val="20"/>
                <w:szCs w:val="20"/>
                <w:color w:val="auto"/>
              </w:rPr>
            </w:pPr>
            <w:r>
              <w:rPr>
                <w:rFonts w:ascii="Arial" w:cs="Arial" w:eastAsia="Arial" w:hAnsi="Arial"/>
                <w:sz w:val="18"/>
                <w:szCs w:val="18"/>
                <w:color w:val="auto"/>
                <w:w w:val="90"/>
              </w:rPr>
              <w:t>Fair Value at</w:t>
            </w: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Significant</w:t>
            </w:r>
          </w:p>
        </w:tc>
        <w:tc>
          <w:tcPr>
            <w:tcW w:w="120" w:type="dxa"/>
            <w:vAlign w:val="bottom"/>
          </w:tcPr>
          <w:p>
            <w:pPr>
              <w:spacing w:after="0"/>
              <w:rPr>
                <w:sz w:val="20"/>
                <w:szCs w:val="20"/>
                <w:color w:val="auto"/>
              </w:rPr>
            </w:pPr>
          </w:p>
        </w:tc>
        <w:tc>
          <w:tcPr>
            <w:tcW w:w="2640" w:type="dxa"/>
            <w:vAlign w:val="bottom"/>
            <w:gridSpan w:val="5"/>
          </w:tcPr>
          <w:p>
            <w:pPr>
              <w:jc w:val="right"/>
              <w:ind w:right="1000"/>
              <w:spacing w:after="0"/>
              <w:rPr>
                <w:sz w:val="20"/>
                <w:szCs w:val="20"/>
                <w:color w:val="auto"/>
              </w:rPr>
            </w:pPr>
            <w:r>
              <w:rPr>
                <w:rFonts w:ascii="Arial" w:cs="Arial" w:eastAsia="Arial" w:hAnsi="Arial"/>
                <w:sz w:val="18"/>
                <w:szCs w:val="18"/>
                <w:color w:val="auto"/>
              </w:rPr>
              <w:t>Range of Inputs</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5"/>
        </w:trPr>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center"/>
              <w:ind w:right="460"/>
              <w:spacing w:after="0"/>
              <w:rPr>
                <w:sz w:val="20"/>
                <w:szCs w:val="20"/>
                <w:color w:val="auto"/>
              </w:rPr>
            </w:pPr>
            <w:r>
              <w:rPr>
                <w:rFonts w:ascii="Arial" w:cs="Arial" w:eastAsia="Arial" w:hAnsi="Arial"/>
                <w:sz w:val="18"/>
                <w:szCs w:val="18"/>
                <w:color w:val="auto"/>
                <w:w w:val="88"/>
              </w:rPr>
              <w:t>December 31,</w:t>
            </w:r>
          </w:p>
        </w:tc>
        <w:tc>
          <w:tcPr>
            <w:tcW w:w="1340" w:type="dxa"/>
            <w:vAlign w:val="bottom"/>
          </w:tcPr>
          <w:p>
            <w:pPr>
              <w:jc w:val="center"/>
              <w:spacing w:after="0"/>
              <w:rPr>
                <w:sz w:val="20"/>
                <w:szCs w:val="20"/>
                <w:color w:val="auto"/>
              </w:rPr>
            </w:pPr>
            <w:r>
              <w:rPr>
                <w:rFonts w:ascii="Arial" w:cs="Arial" w:eastAsia="Arial" w:hAnsi="Arial"/>
                <w:sz w:val="18"/>
                <w:szCs w:val="18"/>
                <w:color w:val="auto"/>
                <w:w w:val="93"/>
              </w:rPr>
              <w:t>Valuation</w:t>
            </w:r>
          </w:p>
        </w:tc>
        <w:tc>
          <w:tcPr>
            <w:tcW w:w="220" w:type="dxa"/>
            <w:vAlign w:val="bottom"/>
          </w:tcPr>
          <w:p>
            <w:pPr>
              <w:spacing w:after="0"/>
              <w:rPr>
                <w:sz w:val="18"/>
                <w:szCs w:val="18"/>
                <w:color w:val="auto"/>
              </w:rPr>
            </w:pPr>
          </w:p>
        </w:tc>
        <w:tc>
          <w:tcPr>
            <w:tcW w:w="200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Unobservable</w:t>
            </w: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2"/>
          </w:tcPr>
          <w:p>
            <w:pPr>
              <w:jc w:val="right"/>
              <w:ind w:right="520"/>
              <w:spacing w:after="0"/>
              <w:rPr>
                <w:sz w:val="20"/>
                <w:szCs w:val="20"/>
                <w:color w:val="auto"/>
              </w:rPr>
            </w:pPr>
            <w:r>
              <w:rPr>
                <w:rFonts w:ascii="Arial" w:cs="Arial" w:eastAsia="Arial" w:hAnsi="Arial"/>
                <w:sz w:val="18"/>
                <w:szCs w:val="18"/>
                <w:color w:val="auto"/>
                <w:w w:val="98"/>
              </w:rPr>
              <w:t>Minimum</w:t>
            </w: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7"/>
              </w:rPr>
              <w:t>Maximum</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Weighted</w:t>
            </w:r>
          </w:p>
        </w:tc>
      </w:tr>
      <w:tr>
        <w:trPr>
          <w:trHeight w:val="237"/>
        </w:trPr>
        <w:tc>
          <w:tcPr>
            <w:tcW w:w="1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center"/>
              <w:ind w:right="50"/>
              <w:spacing w:after="0"/>
              <w:rPr>
                <w:sz w:val="20"/>
                <w:szCs w:val="20"/>
                <w:color w:val="auto"/>
              </w:rPr>
            </w:pPr>
            <w:r>
              <w:rPr>
                <w:rFonts w:ascii="Arial" w:cs="Arial" w:eastAsia="Arial" w:hAnsi="Arial"/>
                <w:sz w:val="18"/>
                <w:szCs w:val="18"/>
                <w:color w:val="auto"/>
                <w:w w:val="89"/>
              </w:rPr>
              <w:t>2022</w:t>
            </w:r>
          </w:p>
        </w:tc>
        <w:tc>
          <w:tcPr>
            <w:tcW w:w="3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7"/>
              </w:rPr>
              <w:t>Technique</w:t>
            </w:r>
          </w:p>
        </w:tc>
        <w:tc>
          <w:tcPr>
            <w:tcW w:w="220" w:type="dxa"/>
            <w:vAlign w:val="bottom"/>
          </w:tcPr>
          <w:p>
            <w:pPr>
              <w:spacing w:after="0"/>
              <w:rPr>
                <w:sz w:val="20"/>
                <w:szCs w:val="20"/>
                <w:color w:val="auto"/>
              </w:rPr>
            </w:pPr>
          </w:p>
        </w:tc>
        <w:tc>
          <w:tcPr>
            <w:tcW w:w="200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Input(s)</w:t>
            </w:r>
          </w:p>
        </w:tc>
        <w:tc>
          <w:tcPr>
            <w:tcW w:w="120" w:type="dxa"/>
            <w:vAlign w:val="bottom"/>
          </w:tcPr>
          <w:p>
            <w:pPr>
              <w:spacing w:after="0"/>
              <w:rPr>
                <w:sz w:val="20"/>
                <w:szCs w:val="20"/>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Value</w:t>
            </w:r>
          </w:p>
        </w:tc>
        <w:tc>
          <w:tcPr>
            <w:tcW w:w="100" w:type="dxa"/>
            <w:vAlign w:val="bottom"/>
          </w:tcPr>
          <w:p>
            <w:pPr>
              <w:spacing w:after="0"/>
              <w:rPr>
                <w:sz w:val="20"/>
                <w:szCs w:val="20"/>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Value</w:t>
            </w:r>
          </w:p>
        </w:tc>
        <w:tc>
          <w:tcPr>
            <w:tcW w:w="120" w:type="dxa"/>
            <w:vAlign w:val="bottom"/>
          </w:tcPr>
          <w:p>
            <w:pPr>
              <w:spacing w:after="0"/>
              <w:rPr>
                <w:sz w:val="20"/>
                <w:szCs w:val="20"/>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Average</w:t>
            </w:r>
          </w:p>
        </w:tc>
      </w:tr>
      <w:tr>
        <w:trPr>
          <w:trHeight w:val="202"/>
        </w:trPr>
        <w:tc>
          <w:tcPr>
            <w:tcW w:w="18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2"/>
              </w:rPr>
              <w:t>Investor contract pricing</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16"/>
        </w:trPr>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as a percentage of</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0"/>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141,179,620</w:t>
            </w: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w w:val="97"/>
              </w:rPr>
              <w:t>Market approach</w:t>
            </w:r>
          </w:p>
        </w:tc>
        <w:tc>
          <w:tcPr>
            <w:tcW w:w="22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unpaid principal balance</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69.9%</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106.1%</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99.8%</w:t>
            </w:r>
          </w:p>
        </w:tc>
      </w:tr>
      <w:tr>
        <w:trPr>
          <w:trHeight w:val="216"/>
        </w:trPr>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2"/>
        </w:trPr>
        <w:tc>
          <w:tcPr>
            <w:tcW w:w="1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Derivatives - loan</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commitments (net)</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2,706,877</w:t>
            </w: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w w:val="97"/>
              </w:rPr>
              <w:t>Market approach</w:t>
            </w:r>
          </w:p>
        </w:tc>
        <w:tc>
          <w:tcPr>
            <w:tcW w:w="22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Pull-through rate</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95.0%</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82.2%</w:t>
            </w:r>
          </w:p>
        </w:tc>
      </w:tr>
      <w:tr>
        <w:trPr>
          <w:trHeight w:val="216"/>
        </w:trPr>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20" w:type="dxa"/>
            <w:vAlign w:val="bottom"/>
            <w:gridSpan w:val="3"/>
          </w:tcPr>
          <w:p>
            <w:pPr>
              <w:ind w:left="220"/>
              <w:spacing w:after="0"/>
              <w:rPr>
                <w:sz w:val="20"/>
                <w:szCs w:val="20"/>
                <w:color w:val="auto"/>
              </w:rPr>
            </w:pPr>
            <w:r>
              <w:rPr>
                <w:rFonts w:ascii="Arial" w:cs="Arial" w:eastAsia="Arial" w:hAnsi="Arial"/>
                <w:sz w:val="18"/>
                <w:szCs w:val="18"/>
                <w:color w:val="auto"/>
              </w:rPr>
              <w:t>Initial-Value</w:t>
            </w:r>
          </w:p>
        </w:tc>
        <w:tc>
          <w:tcPr>
            <w:tcW w:w="12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Servicing</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 bps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153 bps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 bps</w:t>
            </w:r>
          </w:p>
        </w:tc>
      </w:tr>
      <w:tr>
        <w:trPr>
          <w:trHeight w:val="216"/>
        </w:trPr>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2"/>
        </w:trPr>
        <w:tc>
          <w:tcPr>
            <w:tcW w:w="1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Fixed maturity</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securities available for</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0"/>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sale</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1,435,519</w:t>
            </w: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Broker quotes</w:t>
            </w:r>
          </w:p>
        </w:tc>
        <w:tc>
          <w:tcPr>
            <w:tcW w:w="22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Pricing quotes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111.11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104.97</w:t>
            </w:r>
          </w:p>
        </w:tc>
      </w:tr>
      <w:tr>
        <w:trPr>
          <w:trHeight w:val="439"/>
        </w:trPr>
        <w:tc>
          <w:tcPr>
            <w:tcW w:w="1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color w:val="auto"/>
              </w:rPr>
              <w:t>38</w:t>
            </w: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41" w:name="page42"/>
    <w:bookmarkEnd w:id="41"/>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June 30, 2023 (Unaudited)</w:t>
      </w:r>
    </w:p>
    <w:p>
      <w:pPr>
        <w:spacing w:after="0" w:line="184" w:lineRule="exact"/>
        <w:rPr>
          <w:sz w:val="20"/>
          <w:szCs w:val="20"/>
          <w:color w:val="auto"/>
        </w:rPr>
      </w:pPr>
    </w:p>
    <w:p>
      <w:pPr>
        <w:ind w:left="200" w:hanging="192"/>
        <w:spacing w:after="0"/>
        <w:tabs>
          <w:tab w:leader="none" w:pos="20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Fair Value of Financial Instruments</w:t>
      </w:r>
      <w:r>
        <w:rPr>
          <w:rFonts w:ascii="Arial" w:cs="Arial" w:eastAsia="Arial" w:hAnsi="Arial"/>
          <w:sz w:val="18"/>
          <w:szCs w:val="18"/>
          <w:color w:val="auto"/>
        </w:rPr>
        <w:t xml:space="preserve"> (Continued)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is a summary of changes in the condensed consolidated balance sheet line items measured using level 3 inputs for the six month periods ended June 30, 2023:</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Fixed Maturity</w:t>
            </w:r>
          </w:p>
        </w:tc>
      </w:tr>
      <w:tr>
        <w:trPr>
          <w:trHeight w:val="216"/>
        </w:trPr>
        <w:tc>
          <w:tcPr>
            <w:tcW w:w="5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2"/>
          </w:tcPr>
          <w:p>
            <w:pPr>
              <w:jc w:val="right"/>
              <w:ind w:right="820"/>
              <w:spacing w:after="0"/>
              <w:rPr>
                <w:sz w:val="20"/>
                <w:szCs w:val="20"/>
                <w:color w:val="auto"/>
              </w:rPr>
            </w:pPr>
            <w:r>
              <w:rPr>
                <w:rFonts w:ascii="Arial" w:cs="Arial" w:eastAsia="Arial" w:hAnsi="Arial"/>
                <w:sz w:val="18"/>
                <w:szCs w:val="18"/>
                <w:color w:val="auto"/>
              </w:rPr>
              <w:t>Net Loan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Securities Available</w:t>
            </w:r>
          </w:p>
        </w:tc>
      </w:tr>
      <w:tr>
        <w:trPr>
          <w:trHeight w:val="237"/>
        </w:trPr>
        <w:tc>
          <w:tcPr>
            <w:tcW w:w="5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gridSpan w:val="2"/>
          </w:tcPr>
          <w:p>
            <w:pPr>
              <w:jc w:val="right"/>
              <w:ind w:right="640"/>
              <w:spacing w:after="0"/>
              <w:rPr>
                <w:sz w:val="20"/>
                <w:szCs w:val="20"/>
                <w:color w:val="auto"/>
              </w:rPr>
            </w:pPr>
            <w:r>
              <w:rPr>
                <w:rFonts w:ascii="Arial" w:cs="Arial" w:eastAsia="Arial" w:hAnsi="Arial"/>
                <w:sz w:val="18"/>
                <w:szCs w:val="18"/>
                <w:color w:val="auto"/>
              </w:rPr>
              <w:t>Commitments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gridSpan w:val="2"/>
          </w:tcPr>
          <w:p>
            <w:pPr>
              <w:jc w:val="right"/>
              <w:ind w:right="540"/>
              <w:spacing w:after="0"/>
              <w:rPr>
                <w:sz w:val="20"/>
                <w:szCs w:val="20"/>
                <w:color w:val="auto"/>
              </w:rPr>
            </w:pPr>
            <w:r>
              <w:rPr>
                <w:rFonts w:ascii="Arial" w:cs="Arial" w:eastAsia="Arial" w:hAnsi="Arial"/>
                <w:sz w:val="18"/>
                <w:szCs w:val="18"/>
                <w:color w:val="auto"/>
                <w:w w:val="91"/>
              </w:rPr>
              <w:t>Loans Held for Sale</w:t>
            </w:r>
          </w:p>
        </w:tc>
        <w:tc>
          <w:tcPr>
            <w:tcW w:w="100" w:type="dxa"/>
            <w:vAlign w:val="bottom"/>
          </w:tcPr>
          <w:p>
            <w:pPr>
              <w:spacing w:after="0"/>
              <w:rPr>
                <w:sz w:val="20"/>
                <w:szCs w:val="20"/>
                <w:color w:val="auto"/>
              </w:rPr>
            </w:pPr>
          </w:p>
        </w:tc>
        <w:tc>
          <w:tcPr>
            <w:tcW w:w="17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for Sale</w:t>
            </w:r>
          </w:p>
        </w:tc>
      </w:tr>
      <w:tr>
        <w:trPr>
          <w:trHeight w:val="216"/>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December 31, 2022</w:t>
            </w: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2,706,877</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141,179,620</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1,435,519</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Originations and purchases</w:t>
            </w:r>
          </w:p>
        </w:tc>
        <w:tc>
          <w:tcPr>
            <w:tcW w:w="20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gridSpan w:val="2"/>
          </w:tcPr>
          <w:p>
            <w:pPr>
              <w:jc w:val="right"/>
              <w:ind w:right="440"/>
              <w:spacing w:after="0"/>
              <w:rPr>
                <w:sz w:val="20"/>
                <w:szCs w:val="20"/>
                <w:color w:val="auto"/>
              </w:rPr>
            </w:pPr>
            <w:r>
              <w:rPr>
                <w:rFonts w:ascii="Arial" w:cs="Arial" w:eastAsia="Arial" w:hAnsi="Arial"/>
                <w:sz w:val="18"/>
                <w:szCs w:val="18"/>
                <w:color w:val="auto"/>
              </w:rPr>
              <w:t>1,139,735,241</w:t>
            </w:r>
          </w:p>
        </w:tc>
        <w:tc>
          <w:tcPr>
            <w:tcW w:w="10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Sales, maturities and paydowns</w:t>
            </w:r>
          </w:p>
        </w:tc>
        <w:tc>
          <w:tcPr>
            <w:tcW w:w="2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(1,140,477,623)</w:t>
            </w:r>
          </w:p>
        </w:tc>
        <w:tc>
          <w:tcPr>
            <w:tcW w:w="1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Transfer to mortgage loans held for investment</w:t>
            </w:r>
          </w:p>
        </w:tc>
        <w:tc>
          <w:tcPr>
            <w:tcW w:w="20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gridSpan w:val="2"/>
          </w:tcPr>
          <w:p>
            <w:pPr>
              <w:jc w:val="right"/>
              <w:ind w:right="380"/>
              <w:spacing w:after="0"/>
              <w:rPr>
                <w:sz w:val="20"/>
                <w:szCs w:val="20"/>
                <w:color w:val="auto"/>
              </w:rPr>
            </w:pPr>
            <w:r>
              <w:rPr>
                <w:rFonts w:ascii="Arial" w:cs="Arial" w:eastAsia="Arial" w:hAnsi="Arial"/>
                <w:sz w:val="18"/>
                <w:szCs w:val="18"/>
                <w:color w:val="auto"/>
              </w:rPr>
              <w:t>(1,150,074)</w:t>
            </w:r>
          </w:p>
        </w:tc>
        <w:tc>
          <w:tcPr>
            <w:tcW w:w="10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Total gains (losses):</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200" w:type="dxa"/>
            <w:vAlign w:val="bottom"/>
          </w:tcPr>
          <w:p>
            <w:pPr>
              <w:ind w:left="180"/>
              <w:spacing w:after="0"/>
              <w:rPr>
                <w:sz w:val="20"/>
                <w:szCs w:val="20"/>
                <w:color w:val="auto"/>
              </w:rPr>
            </w:pPr>
            <w:r>
              <w:rPr>
                <w:rFonts w:ascii="Arial" w:cs="Arial" w:eastAsia="Arial" w:hAnsi="Arial"/>
                <w:sz w:val="18"/>
                <w:szCs w:val="18"/>
                <w:color w:val="auto"/>
              </w:rPr>
              <w:t>Included in earnings</w:t>
            </w:r>
          </w:p>
        </w:tc>
        <w:tc>
          <w:tcPr>
            <w:tcW w:w="200" w:type="dxa"/>
            <w:vAlign w:val="bottom"/>
          </w:tcPr>
          <w:p>
            <w:pPr>
              <w:spacing w:after="0"/>
              <w:rPr>
                <w:sz w:val="18"/>
                <w:szCs w:val="18"/>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526,570(1)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gridSpan w:val="2"/>
          </w:tcPr>
          <w:p>
            <w:pPr>
              <w:jc w:val="right"/>
              <w:ind w:right="220"/>
              <w:spacing w:after="0"/>
              <w:rPr>
                <w:sz w:val="20"/>
                <w:szCs w:val="20"/>
                <w:color w:val="auto"/>
              </w:rPr>
            </w:pPr>
            <w:r>
              <w:rPr>
                <w:rFonts w:ascii="Arial" w:cs="Arial" w:eastAsia="Arial" w:hAnsi="Arial"/>
                <w:sz w:val="18"/>
                <w:szCs w:val="18"/>
                <w:color w:val="auto"/>
              </w:rPr>
              <w:t>22,022,896(1)</w:t>
            </w:r>
          </w:p>
        </w:tc>
        <w:tc>
          <w:tcPr>
            <w:tcW w:w="10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Included in other comprehensive income</w:t>
            </w:r>
          </w:p>
        </w:tc>
        <w:tc>
          <w:tcPr>
            <w:tcW w:w="20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(3,645)</w:t>
            </w:r>
          </w:p>
        </w:tc>
      </w:tr>
      <w:tr>
        <w:trPr>
          <w:trHeight w:val="216"/>
        </w:trPr>
        <w:tc>
          <w:tcPr>
            <w:tcW w:w="5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243"/>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Balance - June 30, 2023</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3,233,447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161,310,060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1,431,874</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color w:val="auto"/>
        </w:rPr>
        <w:t>(1)As a component of Mortgage fee income on the condensed consolidated statements of earnings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(2)As a component of Net investment income on the condensed consolidated statements of earnings</w:t>
      </w:r>
    </w:p>
    <w:p>
      <w:pPr>
        <w:spacing w:after="0" w:line="3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is a summary of changes in the condensed consolidated balance sheet line items measured using level 3 inputs for the six month periods ended June 30, 2022:</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3"/>
          </w:tcPr>
          <w:p>
            <w:pPr>
              <w:jc w:val="center"/>
              <w:ind w:right="320"/>
              <w:spacing w:after="0"/>
              <w:rPr>
                <w:sz w:val="20"/>
                <w:szCs w:val="20"/>
                <w:color w:val="auto"/>
              </w:rPr>
            </w:pPr>
            <w:r>
              <w:rPr>
                <w:rFonts w:ascii="Arial" w:cs="Arial" w:eastAsia="Arial" w:hAnsi="Arial"/>
                <w:sz w:val="18"/>
                <w:szCs w:val="18"/>
                <w:color w:val="auto"/>
                <w:w w:val="95"/>
              </w:rPr>
              <w:t>Fixed Maturity</w:t>
            </w:r>
          </w:p>
        </w:tc>
      </w:tr>
      <w:tr>
        <w:trPr>
          <w:trHeight w:val="216"/>
        </w:trPr>
        <w:tc>
          <w:tcPr>
            <w:tcW w:w="5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2"/>
          </w:tcPr>
          <w:p>
            <w:pPr>
              <w:jc w:val="right"/>
              <w:ind w:right="820"/>
              <w:spacing w:after="0"/>
              <w:rPr>
                <w:sz w:val="20"/>
                <w:szCs w:val="20"/>
                <w:color w:val="auto"/>
              </w:rPr>
            </w:pPr>
            <w:r>
              <w:rPr>
                <w:rFonts w:ascii="Arial" w:cs="Arial" w:eastAsia="Arial" w:hAnsi="Arial"/>
                <w:sz w:val="18"/>
                <w:szCs w:val="18"/>
                <w:color w:val="auto"/>
              </w:rPr>
              <w:t>Net Loan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3"/>
          </w:tcPr>
          <w:p>
            <w:pPr>
              <w:jc w:val="center"/>
              <w:ind w:right="320"/>
              <w:spacing w:after="0"/>
              <w:rPr>
                <w:sz w:val="20"/>
                <w:szCs w:val="20"/>
                <w:color w:val="auto"/>
              </w:rPr>
            </w:pPr>
            <w:r>
              <w:rPr>
                <w:rFonts w:ascii="Arial" w:cs="Arial" w:eastAsia="Arial" w:hAnsi="Arial"/>
                <w:sz w:val="18"/>
                <w:szCs w:val="18"/>
                <w:color w:val="auto"/>
                <w:w w:val="91"/>
              </w:rPr>
              <w:t>Securities Available</w:t>
            </w:r>
          </w:p>
        </w:tc>
      </w:tr>
      <w:tr>
        <w:trPr>
          <w:trHeight w:val="237"/>
        </w:trPr>
        <w:tc>
          <w:tcPr>
            <w:tcW w:w="5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gridSpan w:val="2"/>
          </w:tcPr>
          <w:p>
            <w:pPr>
              <w:jc w:val="right"/>
              <w:ind w:right="640"/>
              <w:spacing w:after="0"/>
              <w:rPr>
                <w:sz w:val="20"/>
                <w:szCs w:val="20"/>
                <w:color w:val="auto"/>
              </w:rPr>
            </w:pPr>
            <w:r>
              <w:rPr>
                <w:rFonts w:ascii="Arial" w:cs="Arial" w:eastAsia="Arial" w:hAnsi="Arial"/>
                <w:sz w:val="18"/>
                <w:szCs w:val="18"/>
                <w:color w:val="auto"/>
              </w:rPr>
              <w:t>Commitments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gridSpan w:val="2"/>
          </w:tcPr>
          <w:p>
            <w:pPr>
              <w:jc w:val="right"/>
              <w:ind w:right="540"/>
              <w:spacing w:after="0"/>
              <w:rPr>
                <w:sz w:val="20"/>
                <w:szCs w:val="20"/>
                <w:color w:val="auto"/>
              </w:rPr>
            </w:pPr>
            <w:r>
              <w:rPr>
                <w:rFonts w:ascii="Arial" w:cs="Arial" w:eastAsia="Arial" w:hAnsi="Arial"/>
                <w:sz w:val="18"/>
                <w:szCs w:val="18"/>
                <w:color w:val="auto"/>
                <w:w w:val="91"/>
              </w:rPr>
              <w:t>Loans Held for Sale</w:t>
            </w:r>
          </w:p>
        </w:tc>
        <w:tc>
          <w:tcPr>
            <w:tcW w:w="100" w:type="dxa"/>
            <w:vAlign w:val="bottom"/>
          </w:tcPr>
          <w:p>
            <w:pPr>
              <w:spacing w:after="0"/>
              <w:rPr>
                <w:sz w:val="20"/>
                <w:szCs w:val="20"/>
                <w:color w:val="auto"/>
              </w:rPr>
            </w:pPr>
          </w:p>
        </w:tc>
        <w:tc>
          <w:tcPr>
            <w:tcW w:w="1760" w:type="dxa"/>
            <w:vAlign w:val="bottom"/>
            <w:gridSpan w:val="3"/>
          </w:tcPr>
          <w:p>
            <w:pPr>
              <w:jc w:val="center"/>
              <w:ind w:right="320"/>
              <w:spacing w:after="0"/>
              <w:rPr>
                <w:sz w:val="20"/>
                <w:szCs w:val="20"/>
                <w:color w:val="auto"/>
              </w:rPr>
            </w:pPr>
            <w:r>
              <w:rPr>
                <w:rFonts w:ascii="Arial" w:cs="Arial" w:eastAsia="Arial" w:hAnsi="Arial"/>
                <w:sz w:val="18"/>
                <w:szCs w:val="18"/>
                <w:color w:val="auto"/>
                <w:w w:val="90"/>
              </w:rPr>
              <w:t>for Sale</w:t>
            </w:r>
          </w:p>
        </w:tc>
      </w:tr>
      <w:tr>
        <w:trPr>
          <w:trHeight w:val="216"/>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December 31, 2021</w:t>
            </w: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7,015,515</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302,776,827</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2,023,348</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Originations and purchases</w:t>
            </w:r>
          </w:p>
        </w:tc>
        <w:tc>
          <w:tcPr>
            <w:tcW w:w="20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gridSpan w:val="2"/>
          </w:tcPr>
          <w:p>
            <w:pPr>
              <w:jc w:val="right"/>
              <w:ind w:right="440"/>
              <w:spacing w:after="0"/>
              <w:rPr>
                <w:sz w:val="20"/>
                <w:szCs w:val="20"/>
                <w:color w:val="auto"/>
              </w:rPr>
            </w:pPr>
            <w:r>
              <w:rPr>
                <w:rFonts w:ascii="Arial" w:cs="Arial" w:eastAsia="Arial" w:hAnsi="Arial"/>
                <w:sz w:val="18"/>
                <w:szCs w:val="18"/>
                <w:color w:val="auto"/>
              </w:rPr>
              <w:t>2,049,959,460</w:t>
            </w:r>
          </w:p>
        </w:tc>
        <w:tc>
          <w:tcPr>
            <w:tcW w:w="10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Sales, maturities and paydowns</w:t>
            </w:r>
          </w:p>
        </w:tc>
        <w:tc>
          <w:tcPr>
            <w:tcW w:w="2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(2,187,475,867)</w:t>
            </w:r>
          </w:p>
        </w:tc>
        <w:tc>
          <w:tcPr>
            <w:tcW w:w="10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(24,350)</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Total gains (losses):</w:t>
            </w: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Included in earnings</w:t>
            </w:r>
          </w:p>
        </w:tc>
        <w:tc>
          <w:tcPr>
            <w:tcW w:w="2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428,127(1)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44,599,989(1)</w:t>
            </w:r>
          </w:p>
        </w:tc>
        <w:tc>
          <w:tcPr>
            <w:tcW w:w="10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1,957(2)</w:t>
            </w:r>
          </w:p>
        </w:tc>
      </w:tr>
      <w:tr>
        <w:trPr>
          <w:trHeight w:val="236"/>
        </w:trPr>
        <w:tc>
          <w:tcPr>
            <w:tcW w:w="5200" w:type="dxa"/>
            <w:vAlign w:val="bottom"/>
          </w:tcPr>
          <w:p>
            <w:pPr>
              <w:ind w:left="180"/>
              <w:spacing w:after="0"/>
              <w:rPr>
                <w:sz w:val="20"/>
                <w:szCs w:val="20"/>
                <w:color w:val="auto"/>
              </w:rPr>
            </w:pPr>
            <w:r>
              <w:rPr>
                <w:rFonts w:ascii="Arial" w:cs="Arial" w:eastAsia="Arial" w:hAnsi="Arial"/>
                <w:sz w:val="18"/>
                <w:szCs w:val="18"/>
                <w:color w:val="auto"/>
              </w:rPr>
              <w:t>Included in other comprehensive income</w:t>
            </w:r>
          </w:p>
        </w:tc>
        <w:tc>
          <w:tcPr>
            <w:tcW w:w="200" w:type="dxa"/>
            <w:vAlign w:val="bottom"/>
          </w:tcPr>
          <w:p>
            <w:pPr>
              <w:spacing w:after="0"/>
              <w:rPr>
                <w:sz w:val="20"/>
                <w:szCs w:val="20"/>
                <w:color w:val="auto"/>
              </w:rPr>
            </w:pPr>
          </w:p>
        </w:tc>
        <w:tc>
          <w:tcPr>
            <w:tcW w:w="1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760" w:type="dxa"/>
            <w:vAlign w:val="bottom"/>
            <w:gridSpan w:val="3"/>
          </w:tcPr>
          <w:p>
            <w:pPr>
              <w:jc w:val="right"/>
              <w:ind w:right="160"/>
              <w:spacing w:after="0"/>
              <w:rPr>
                <w:sz w:val="20"/>
                <w:szCs w:val="20"/>
                <w:color w:val="auto"/>
              </w:rPr>
            </w:pPr>
            <w:r>
              <w:rPr>
                <w:rFonts w:ascii="Arial" w:cs="Arial" w:eastAsia="Arial" w:hAnsi="Arial"/>
                <w:sz w:val="18"/>
                <w:szCs w:val="18"/>
                <w:color w:val="auto"/>
              </w:rPr>
              <w:t>(38,166)</w:t>
            </w:r>
          </w:p>
        </w:tc>
      </w:tr>
      <w:tr>
        <w:trPr>
          <w:trHeight w:val="216"/>
        </w:trPr>
        <w:tc>
          <w:tcPr>
            <w:tcW w:w="5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r>
      <w:tr>
        <w:trPr>
          <w:trHeight w:val="243"/>
        </w:trPr>
        <w:tc>
          <w:tcPr>
            <w:tcW w:w="5200" w:type="dxa"/>
            <w:vAlign w:val="bottom"/>
          </w:tcPr>
          <w:p>
            <w:pPr>
              <w:spacing w:after="0"/>
              <w:rPr>
                <w:sz w:val="20"/>
                <w:szCs w:val="20"/>
                <w:color w:val="auto"/>
              </w:rPr>
            </w:pPr>
            <w:r>
              <w:rPr>
                <w:rFonts w:ascii="Arial" w:cs="Arial" w:eastAsia="Arial" w:hAnsi="Arial"/>
                <w:sz w:val="18"/>
                <w:szCs w:val="18"/>
                <w:color w:val="auto"/>
              </w:rPr>
              <w:t>Balance - June 30, 2022</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780" w:type="dxa"/>
            <w:vAlign w:val="bottom"/>
            <w:gridSpan w:val="2"/>
          </w:tcPr>
          <w:p>
            <w:pPr>
              <w:jc w:val="right"/>
              <w:ind w:right="320"/>
              <w:spacing w:after="0"/>
              <w:rPr>
                <w:sz w:val="20"/>
                <w:szCs w:val="20"/>
                <w:color w:val="auto"/>
              </w:rPr>
            </w:pPr>
            <w:r>
              <w:rPr>
                <w:rFonts w:ascii="Arial" w:cs="Arial" w:eastAsia="Arial" w:hAnsi="Arial"/>
                <w:sz w:val="18"/>
                <w:szCs w:val="18"/>
                <w:color w:val="auto"/>
              </w:rPr>
              <w:t>7,443,642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440"/>
              <w:spacing w:after="0"/>
              <w:rPr>
                <w:sz w:val="20"/>
                <w:szCs w:val="20"/>
                <w:color w:val="auto"/>
              </w:rPr>
            </w:pPr>
            <w:r>
              <w:rPr>
                <w:rFonts w:ascii="Arial" w:cs="Arial" w:eastAsia="Arial" w:hAnsi="Arial"/>
                <w:sz w:val="18"/>
                <w:szCs w:val="18"/>
                <w:color w:val="auto"/>
              </w:rPr>
              <w:t>209,860,409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1,962,789</w:t>
            </w:r>
          </w:p>
        </w:tc>
        <w:tc>
          <w:tcPr>
            <w:tcW w:w="200" w:type="dxa"/>
            <w:vAlign w:val="bottom"/>
          </w:tcPr>
          <w:p>
            <w:pPr>
              <w:spacing w:after="0"/>
              <w:rPr>
                <w:sz w:val="21"/>
                <w:szCs w:val="21"/>
                <w:color w:val="auto"/>
              </w:rPr>
            </w:pPr>
          </w:p>
        </w:tc>
      </w:tr>
      <w:tr>
        <w:trPr>
          <w:trHeight w:val="20"/>
        </w:trPr>
        <w:tc>
          <w:tcPr>
            <w:tcW w:w="5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color w:val="auto"/>
        </w:rPr>
        <w:t>(1)As a component of Mortgage fee income on the condensed consolidated statements of earnings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(2)As a component of Net investment income on the condensed consolidated statements of earnings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2" w:name="page43"/>
    <w:bookmarkEnd w:id="42"/>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June 30, 2023 (Unaudited)</w:t>
      </w:r>
    </w:p>
    <w:p>
      <w:pPr>
        <w:spacing w:after="0" w:line="184" w:lineRule="exact"/>
        <w:rPr>
          <w:sz w:val="20"/>
          <w:szCs w:val="20"/>
          <w:color w:val="auto"/>
        </w:rPr>
      </w:pPr>
    </w:p>
    <w:p>
      <w:pPr>
        <w:ind w:left="200" w:hanging="192"/>
        <w:spacing w:after="0"/>
        <w:tabs>
          <w:tab w:leader="none" w:pos="20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Fair Value of Financial Instruments</w:t>
      </w:r>
      <w:r>
        <w:rPr>
          <w:rFonts w:ascii="Arial" w:cs="Arial" w:eastAsia="Arial" w:hAnsi="Arial"/>
          <w:sz w:val="18"/>
          <w:szCs w:val="18"/>
          <w:color w:val="auto"/>
        </w:rPr>
        <w:t xml:space="preserve"> (Continued)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is a summary of changes in the condensed consolidated balance sheet line items measured using level 3 inputs for the three month periods ended June 30, 2023:</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jc w:val="center"/>
              <w:ind w:right="420"/>
              <w:spacing w:after="0"/>
              <w:rPr>
                <w:sz w:val="20"/>
                <w:szCs w:val="20"/>
                <w:color w:val="auto"/>
              </w:rPr>
            </w:pPr>
            <w:r>
              <w:rPr>
                <w:rFonts w:ascii="Arial" w:cs="Arial" w:eastAsia="Arial" w:hAnsi="Arial"/>
                <w:sz w:val="18"/>
                <w:szCs w:val="18"/>
                <w:color w:val="auto"/>
                <w:w w:val="95"/>
              </w:rPr>
              <w:t>Fixed Maturity</w:t>
            </w:r>
          </w:p>
        </w:tc>
      </w:tr>
      <w:tr>
        <w:trPr>
          <w:trHeight w:val="216"/>
        </w:trPr>
        <w:tc>
          <w:tcPr>
            <w:tcW w:w="4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gridSpan w:val="2"/>
          </w:tcPr>
          <w:p>
            <w:pPr>
              <w:jc w:val="right"/>
              <w:ind w:right="1080"/>
              <w:spacing w:after="0"/>
              <w:rPr>
                <w:sz w:val="20"/>
                <w:szCs w:val="20"/>
                <w:color w:val="auto"/>
              </w:rPr>
            </w:pPr>
            <w:r>
              <w:rPr>
                <w:rFonts w:ascii="Arial" w:cs="Arial" w:eastAsia="Arial" w:hAnsi="Arial"/>
                <w:sz w:val="18"/>
                <w:szCs w:val="18"/>
                <w:color w:val="auto"/>
              </w:rPr>
              <w:t>Net Loan</w:t>
            </w: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Securities Available</w:t>
            </w:r>
          </w:p>
        </w:tc>
      </w:tr>
      <w:tr>
        <w:trPr>
          <w:trHeight w:val="237"/>
        </w:trPr>
        <w:tc>
          <w:tcPr>
            <w:tcW w:w="4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gridSpan w:val="2"/>
          </w:tcPr>
          <w:p>
            <w:pPr>
              <w:jc w:val="right"/>
              <w:ind w:right="900"/>
              <w:spacing w:after="0"/>
              <w:rPr>
                <w:sz w:val="20"/>
                <w:szCs w:val="20"/>
                <w:color w:val="auto"/>
              </w:rPr>
            </w:pPr>
            <w:r>
              <w:rPr>
                <w:rFonts w:ascii="Arial" w:cs="Arial" w:eastAsia="Arial" w:hAnsi="Arial"/>
                <w:sz w:val="18"/>
                <w:szCs w:val="18"/>
                <w:color w:val="auto"/>
              </w:rPr>
              <w:t>Commitments</w:t>
            </w:r>
          </w:p>
        </w:tc>
        <w:tc>
          <w:tcPr>
            <w:tcW w:w="120" w:type="dxa"/>
            <w:vAlign w:val="bottom"/>
          </w:tcPr>
          <w:p>
            <w:pPr>
              <w:spacing w:after="0"/>
              <w:rPr>
                <w:sz w:val="20"/>
                <w:szCs w:val="20"/>
                <w:color w:val="auto"/>
              </w:rPr>
            </w:pPr>
          </w:p>
        </w:tc>
        <w:tc>
          <w:tcPr>
            <w:tcW w:w="2120" w:type="dxa"/>
            <w:vAlign w:val="bottom"/>
            <w:gridSpan w:val="2"/>
          </w:tcPr>
          <w:p>
            <w:pPr>
              <w:jc w:val="right"/>
              <w:ind w:right="660"/>
              <w:spacing w:after="0"/>
              <w:rPr>
                <w:sz w:val="20"/>
                <w:szCs w:val="20"/>
                <w:color w:val="auto"/>
              </w:rPr>
            </w:pPr>
            <w:r>
              <w:rPr>
                <w:rFonts w:ascii="Arial" w:cs="Arial" w:eastAsia="Arial" w:hAnsi="Arial"/>
                <w:sz w:val="18"/>
                <w:szCs w:val="18"/>
                <w:color w:val="auto"/>
                <w:w w:val="91"/>
              </w:rPr>
              <w:t>Loans Held for Sale</w:t>
            </w:r>
          </w:p>
        </w:tc>
        <w:tc>
          <w:tcPr>
            <w:tcW w:w="100" w:type="dxa"/>
            <w:vAlign w:val="bottom"/>
          </w:tcPr>
          <w:p>
            <w:pPr>
              <w:spacing w:after="0"/>
              <w:rPr>
                <w:sz w:val="20"/>
                <w:szCs w:val="20"/>
                <w:color w:val="auto"/>
              </w:rPr>
            </w:pPr>
          </w:p>
        </w:tc>
        <w:tc>
          <w:tcPr>
            <w:tcW w:w="1900" w:type="dxa"/>
            <w:vAlign w:val="bottom"/>
            <w:gridSpan w:val="2"/>
          </w:tcPr>
          <w:p>
            <w:pPr>
              <w:jc w:val="center"/>
              <w:ind w:right="420"/>
              <w:spacing w:after="0"/>
              <w:rPr>
                <w:sz w:val="20"/>
                <w:szCs w:val="20"/>
                <w:color w:val="auto"/>
              </w:rPr>
            </w:pPr>
            <w:r>
              <w:rPr>
                <w:rFonts w:ascii="Arial" w:cs="Arial" w:eastAsia="Arial" w:hAnsi="Arial"/>
                <w:sz w:val="18"/>
                <w:szCs w:val="18"/>
                <w:color w:val="auto"/>
                <w:w w:val="90"/>
              </w:rPr>
              <w:t>for Sale</w:t>
            </w:r>
          </w:p>
        </w:tc>
      </w:tr>
      <w:tr>
        <w:trPr>
          <w:trHeight w:val="216"/>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March 31, 2023</w:t>
            </w: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3,384,829</w:t>
            </w:r>
          </w:p>
        </w:tc>
        <w:tc>
          <w:tcPr>
            <w:tcW w:w="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173,015,404</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1,435,519</w:t>
            </w:r>
          </w:p>
        </w:tc>
        <w:tc>
          <w:tcPr>
            <w:tcW w:w="32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Originations and purchases</w:t>
            </w:r>
          </w:p>
        </w:tc>
        <w:tc>
          <w:tcPr>
            <w:tcW w:w="200" w:type="dxa"/>
            <w:vAlign w:val="bottom"/>
          </w:tcPr>
          <w:p>
            <w:pPr>
              <w:spacing w:after="0"/>
              <w:rPr>
                <w:sz w:val="18"/>
                <w:szCs w:val="18"/>
                <w:color w:val="auto"/>
              </w:rPr>
            </w:pPr>
          </w:p>
        </w:tc>
        <w:tc>
          <w:tcPr>
            <w:tcW w:w="2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120" w:type="dxa"/>
            <w:vAlign w:val="bottom"/>
            <w:gridSpan w:val="2"/>
          </w:tcPr>
          <w:p>
            <w:pPr>
              <w:jc w:val="right"/>
              <w:ind w:right="540"/>
              <w:spacing w:after="0"/>
              <w:rPr>
                <w:sz w:val="20"/>
                <w:szCs w:val="20"/>
                <w:color w:val="auto"/>
              </w:rPr>
            </w:pPr>
            <w:r>
              <w:rPr>
                <w:rFonts w:ascii="Arial" w:cs="Arial" w:eastAsia="Arial" w:hAnsi="Arial"/>
                <w:sz w:val="18"/>
                <w:szCs w:val="18"/>
                <w:color w:val="auto"/>
              </w:rPr>
              <w:t>607,867,445</w:t>
            </w:r>
          </w:p>
        </w:tc>
        <w:tc>
          <w:tcPr>
            <w:tcW w:w="100" w:type="dxa"/>
            <w:vAlign w:val="bottom"/>
          </w:tcPr>
          <w:p>
            <w:pPr>
              <w:spacing w:after="0"/>
              <w:rPr>
                <w:sz w:val="18"/>
                <w:szCs w:val="18"/>
                <w:color w:val="auto"/>
              </w:rPr>
            </w:pPr>
          </w:p>
        </w:tc>
        <w:tc>
          <w:tcPr>
            <w:tcW w:w="1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Sales, maturities and paydowns</w:t>
            </w:r>
          </w:p>
        </w:tc>
        <w:tc>
          <w:tcPr>
            <w:tcW w:w="20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(628,567,681)</w:t>
            </w:r>
          </w:p>
        </w:tc>
        <w:tc>
          <w:tcPr>
            <w:tcW w:w="1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Transfer to mortgage loans held for investment</w:t>
            </w:r>
          </w:p>
        </w:tc>
        <w:tc>
          <w:tcPr>
            <w:tcW w:w="200" w:type="dxa"/>
            <w:vAlign w:val="bottom"/>
          </w:tcPr>
          <w:p>
            <w:pPr>
              <w:spacing w:after="0"/>
              <w:rPr>
                <w:sz w:val="18"/>
                <w:szCs w:val="18"/>
                <w:color w:val="auto"/>
              </w:rPr>
            </w:pPr>
          </w:p>
        </w:tc>
        <w:tc>
          <w:tcPr>
            <w:tcW w:w="2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120" w:type="dxa"/>
            <w:vAlign w:val="bottom"/>
            <w:gridSpan w:val="2"/>
          </w:tcPr>
          <w:p>
            <w:pPr>
              <w:jc w:val="right"/>
              <w:ind w:right="480"/>
              <w:spacing w:after="0"/>
              <w:rPr>
                <w:sz w:val="20"/>
                <w:szCs w:val="20"/>
                <w:color w:val="auto"/>
              </w:rPr>
            </w:pPr>
            <w:r>
              <w:rPr>
                <w:rFonts w:ascii="Arial" w:cs="Arial" w:eastAsia="Arial" w:hAnsi="Arial"/>
                <w:sz w:val="18"/>
                <w:szCs w:val="18"/>
                <w:color w:val="auto"/>
              </w:rPr>
              <w:t>(1,150,074)</w:t>
            </w: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Total gains (losses):</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Included in earnings</w:t>
            </w:r>
          </w:p>
        </w:tc>
        <w:tc>
          <w:tcPr>
            <w:tcW w:w="200" w:type="dxa"/>
            <w:vAlign w:val="bottom"/>
          </w:tcPr>
          <w:p>
            <w:pPr>
              <w:spacing w:after="0"/>
              <w:rPr>
                <w:sz w:val="18"/>
                <w:szCs w:val="18"/>
                <w:color w:val="auto"/>
              </w:rPr>
            </w:pPr>
          </w:p>
        </w:tc>
        <w:tc>
          <w:tcPr>
            <w:tcW w:w="2060" w:type="dxa"/>
            <w:vAlign w:val="bottom"/>
            <w:gridSpan w:val="2"/>
          </w:tcPr>
          <w:p>
            <w:pPr>
              <w:jc w:val="right"/>
              <w:ind w:right="300"/>
              <w:spacing w:after="0"/>
              <w:rPr>
                <w:sz w:val="20"/>
                <w:szCs w:val="20"/>
                <w:color w:val="auto"/>
              </w:rPr>
            </w:pPr>
            <w:r>
              <w:rPr>
                <w:rFonts w:ascii="Arial" w:cs="Arial" w:eastAsia="Arial" w:hAnsi="Arial"/>
                <w:sz w:val="18"/>
                <w:szCs w:val="18"/>
                <w:color w:val="auto"/>
              </w:rPr>
              <w:t>(151,382)(1)</w:t>
            </w:r>
          </w:p>
        </w:tc>
        <w:tc>
          <w:tcPr>
            <w:tcW w:w="120" w:type="dxa"/>
            <w:vAlign w:val="bottom"/>
          </w:tcPr>
          <w:p>
            <w:pPr>
              <w:spacing w:after="0"/>
              <w:rPr>
                <w:sz w:val="18"/>
                <w:szCs w:val="18"/>
                <w:color w:val="auto"/>
              </w:rPr>
            </w:pPr>
          </w:p>
        </w:tc>
        <w:tc>
          <w:tcPr>
            <w:tcW w:w="2120" w:type="dxa"/>
            <w:vAlign w:val="bottom"/>
            <w:gridSpan w:val="2"/>
          </w:tcPr>
          <w:p>
            <w:pPr>
              <w:jc w:val="right"/>
              <w:ind w:right="320"/>
              <w:spacing w:after="0"/>
              <w:rPr>
                <w:sz w:val="20"/>
                <w:szCs w:val="20"/>
                <w:color w:val="auto"/>
              </w:rPr>
            </w:pPr>
            <w:r>
              <w:rPr>
                <w:rFonts w:ascii="Arial" w:cs="Arial" w:eastAsia="Arial" w:hAnsi="Arial"/>
                <w:sz w:val="18"/>
                <w:szCs w:val="18"/>
                <w:color w:val="auto"/>
              </w:rPr>
              <w:t>10,144,966(1)</w:t>
            </w:r>
          </w:p>
        </w:tc>
        <w:tc>
          <w:tcPr>
            <w:tcW w:w="100" w:type="dxa"/>
            <w:vAlign w:val="bottom"/>
          </w:tcPr>
          <w:p>
            <w:pPr>
              <w:spacing w:after="0"/>
              <w:rPr>
                <w:sz w:val="18"/>
                <w:szCs w:val="18"/>
                <w:color w:val="auto"/>
              </w:rPr>
            </w:pPr>
          </w:p>
        </w:tc>
        <w:tc>
          <w:tcPr>
            <w:tcW w:w="190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r>
      <w:tr>
        <w:trPr>
          <w:trHeight w:val="237"/>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Included in other comprehensive income</w:t>
            </w:r>
          </w:p>
        </w:tc>
        <w:tc>
          <w:tcPr>
            <w:tcW w:w="200" w:type="dxa"/>
            <w:vAlign w:val="bottom"/>
            <w:shd w:val="clear" w:color="auto" w:fill="CCEEFF"/>
          </w:tcPr>
          <w:p>
            <w:pPr>
              <w:spacing w:after="0"/>
              <w:rPr>
                <w:sz w:val="20"/>
                <w:szCs w:val="20"/>
                <w:color w:val="auto"/>
              </w:rPr>
            </w:pPr>
          </w:p>
        </w:tc>
        <w:tc>
          <w:tcPr>
            <w:tcW w:w="2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(3,645)</w:t>
            </w:r>
          </w:p>
        </w:tc>
      </w:tr>
      <w:tr>
        <w:trPr>
          <w:trHeight w:val="216"/>
        </w:trPr>
        <w:tc>
          <w:tcPr>
            <w:tcW w:w="47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r>
      <w:tr>
        <w:trPr>
          <w:trHeight w:val="243"/>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Balance - June 30, 2023</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2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3,233,447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161,310,060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1,431,874</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color w:val="auto"/>
        </w:rPr>
        <w:t>(1)As a component of Mortgage fee income on the condensed consolidated statements of earnings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(2)As a component of Net investment income on the condensed consolidated statements of earnings</w:t>
      </w:r>
    </w:p>
    <w:p>
      <w:pPr>
        <w:spacing w:after="0" w:line="3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is a summary of changes in the condensed consolidated balance sheet line items measured using level 3 inputs for the three month periods ended June 30, 2022:</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3"/>
          </w:tcPr>
          <w:p>
            <w:pPr>
              <w:jc w:val="center"/>
              <w:ind w:right="420"/>
              <w:spacing w:after="0"/>
              <w:rPr>
                <w:sz w:val="20"/>
                <w:szCs w:val="20"/>
                <w:color w:val="auto"/>
              </w:rPr>
            </w:pPr>
            <w:r>
              <w:rPr>
                <w:rFonts w:ascii="Arial" w:cs="Arial" w:eastAsia="Arial" w:hAnsi="Arial"/>
                <w:sz w:val="18"/>
                <w:szCs w:val="18"/>
                <w:color w:val="auto"/>
                <w:w w:val="95"/>
              </w:rPr>
              <w:t>Fixed Maturity</w:t>
            </w:r>
          </w:p>
        </w:tc>
      </w:tr>
      <w:tr>
        <w:trPr>
          <w:trHeight w:val="216"/>
        </w:trPr>
        <w:tc>
          <w:tcPr>
            <w:tcW w:w="4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gridSpan w:val="2"/>
          </w:tcPr>
          <w:p>
            <w:pPr>
              <w:jc w:val="right"/>
              <w:ind w:right="1080"/>
              <w:spacing w:after="0"/>
              <w:rPr>
                <w:sz w:val="20"/>
                <w:szCs w:val="20"/>
                <w:color w:val="auto"/>
              </w:rPr>
            </w:pPr>
            <w:r>
              <w:rPr>
                <w:rFonts w:ascii="Arial" w:cs="Arial" w:eastAsia="Arial" w:hAnsi="Arial"/>
                <w:sz w:val="18"/>
                <w:szCs w:val="18"/>
                <w:color w:val="auto"/>
              </w:rPr>
              <w:t>Net Loan</w:t>
            </w: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3"/>
          </w:tcPr>
          <w:p>
            <w:pPr>
              <w:jc w:val="center"/>
              <w:ind w:right="420"/>
              <w:spacing w:after="0"/>
              <w:rPr>
                <w:sz w:val="20"/>
                <w:szCs w:val="20"/>
                <w:color w:val="auto"/>
              </w:rPr>
            </w:pPr>
            <w:r>
              <w:rPr>
                <w:rFonts w:ascii="Arial" w:cs="Arial" w:eastAsia="Arial" w:hAnsi="Arial"/>
                <w:sz w:val="18"/>
                <w:szCs w:val="18"/>
                <w:color w:val="auto"/>
                <w:w w:val="91"/>
              </w:rPr>
              <w:t>Securities Available</w:t>
            </w:r>
          </w:p>
        </w:tc>
      </w:tr>
      <w:tr>
        <w:trPr>
          <w:trHeight w:val="237"/>
        </w:trPr>
        <w:tc>
          <w:tcPr>
            <w:tcW w:w="4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gridSpan w:val="2"/>
          </w:tcPr>
          <w:p>
            <w:pPr>
              <w:jc w:val="right"/>
              <w:ind w:right="900"/>
              <w:spacing w:after="0"/>
              <w:rPr>
                <w:sz w:val="20"/>
                <w:szCs w:val="20"/>
                <w:color w:val="auto"/>
              </w:rPr>
            </w:pPr>
            <w:r>
              <w:rPr>
                <w:rFonts w:ascii="Arial" w:cs="Arial" w:eastAsia="Arial" w:hAnsi="Arial"/>
                <w:sz w:val="18"/>
                <w:szCs w:val="18"/>
                <w:color w:val="auto"/>
              </w:rPr>
              <w:t>Commitments</w:t>
            </w:r>
          </w:p>
        </w:tc>
        <w:tc>
          <w:tcPr>
            <w:tcW w:w="120" w:type="dxa"/>
            <w:vAlign w:val="bottom"/>
          </w:tcPr>
          <w:p>
            <w:pPr>
              <w:spacing w:after="0"/>
              <w:rPr>
                <w:sz w:val="20"/>
                <w:szCs w:val="20"/>
                <w:color w:val="auto"/>
              </w:rPr>
            </w:pPr>
          </w:p>
        </w:tc>
        <w:tc>
          <w:tcPr>
            <w:tcW w:w="2120" w:type="dxa"/>
            <w:vAlign w:val="bottom"/>
            <w:gridSpan w:val="2"/>
          </w:tcPr>
          <w:p>
            <w:pPr>
              <w:jc w:val="right"/>
              <w:ind w:right="660"/>
              <w:spacing w:after="0"/>
              <w:rPr>
                <w:sz w:val="20"/>
                <w:szCs w:val="20"/>
                <w:color w:val="auto"/>
              </w:rPr>
            </w:pPr>
            <w:r>
              <w:rPr>
                <w:rFonts w:ascii="Arial" w:cs="Arial" w:eastAsia="Arial" w:hAnsi="Arial"/>
                <w:sz w:val="18"/>
                <w:szCs w:val="18"/>
                <w:color w:val="auto"/>
                <w:w w:val="91"/>
              </w:rPr>
              <w:t>Loans Held for Sale</w:t>
            </w:r>
          </w:p>
        </w:tc>
        <w:tc>
          <w:tcPr>
            <w:tcW w:w="100" w:type="dxa"/>
            <w:vAlign w:val="bottom"/>
          </w:tcPr>
          <w:p>
            <w:pPr>
              <w:spacing w:after="0"/>
              <w:rPr>
                <w:sz w:val="20"/>
                <w:szCs w:val="20"/>
                <w:color w:val="auto"/>
              </w:rPr>
            </w:pPr>
          </w:p>
        </w:tc>
        <w:tc>
          <w:tcPr>
            <w:tcW w:w="1900" w:type="dxa"/>
            <w:vAlign w:val="bottom"/>
            <w:gridSpan w:val="3"/>
          </w:tcPr>
          <w:p>
            <w:pPr>
              <w:jc w:val="center"/>
              <w:ind w:right="420"/>
              <w:spacing w:after="0"/>
              <w:rPr>
                <w:sz w:val="20"/>
                <w:szCs w:val="20"/>
                <w:color w:val="auto"/>
              </w:rPr>
            </w:pPr>
            <w:r>
              <w:rPr>
                <w:rFonts w:ascii="Arial" w:cs="Arial" w:eastAsia="Arial" w:hAnsi="Arial"/>
                <w:sz w:val="18"/>
                <w:szCs w:val="18"/>
                <w:color w:val="auto"/>
                <w:w w:val="90"/>
              </w:rPr>
              <w:t>for Sale</w:t>
            </w:r>
          </w:p>
        </w:tc>
      </w:tr>
      <w:tr>
        <w:trPr>
          <w:trHeight w:val="216"/>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March 31, 2022</w:t>
            </w: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9,690,886</w:t>
            </w:r>
          </w:p>
        </w:tc>
        <w:tc>
          <w:tcPr>
            <w:tcW w:w="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234,012,872</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2,011,772</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Originations and purchases</w:t>
            </w:r>
          </w:p>
        </w:tc>
        <w:tc>
          <w:tcPr>
            <w:tcW w:w="200" w:type="dxa"/>
            <w:vAlign w:val="bottom"/>
          </w:tcPr>
          <w:p>
            <w:pPr>
              <w:spacing w:after="0"/>
              <w:rPr>
                <w:sz w:val="18"/>
                <w:szCs w:val="18"/>
                <w:color w:val="auto"/>
              </w:rPr>
            </w:pPr>
          </w:p>
        </w:tc>
        <w:tc>
          <w:tcPr>
            <w:tcW w:w="2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120" w:type="dxa"/>
            <w:vAlign w:val="bottom"/>
            <w:gridSpan w:val="2"/>
          </w:tcPr>
          <w:p>
            <w:pPr>
              <w:jc w:val="right"/>
              <w:ind w:right="540"/>
              <w:spacing w:after="0"/>
              <w:rPr>
                <w:sz w:val="20"/>
                <w:szCs w:val="20"/>
                <w:color w:val="auto"/>
              </w:rPr>
            </w:pPr>
            <w:r>
              <w:rPr>
                <w:rFonts w:ascii="Arial" w:cs="Arial" w:eastAsia="Arial" w:hAnsi="Arial"/>
                <w:sz w:val="18"/>
                <w:szCs w:val="18"/>
                <w:color w:val="auto"/>
              </w:rPr>
              <w:t>1,010,742,878</w:t>
            </w:r>
          </w:p>
        </w:tc>
        <w:tc>
          <w:tcPr>
            <w:tcW w:w="10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Sales, maturities and paydowns</w:t>
            </w:r>
          </w:p>
        </w:tc>
        <w:tc>
          <w:tcPr>
            <w:tcW w:w="20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(1,055,390,037)</w:t>
            </w:r>
          </w:p>
        </w:tc>
        <w:tc>
          <w:tcPr>
            <w:tcW w:w="10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(12,400)</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Total gains (losses):</w:t>
            </w: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Included in earnings</w:t>
            </w:r>
          </w:p>
        </w:tc>
        <w:tc>
          <w:tcPr>
            <w:tcW w:w="20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(2,247,244)(1)</w:t>
            </w:r>
          </w:p>
        </w:tc>
        <w:tc>
          <w:tcPr>
            <w:tcW w:w="1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20,494,696(1)</w:t>
            </w:r>
          </w:p>
        </w:tc>
        <w:tc>
          <w:tcPr>
            <w:tcW w:w="10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996(2)</w:t>
            </w:r>
          </w:p>
        </w:tc>
      </w:tr>
      <w:tr>
        <w:trPr>
          <w:trHeight w:val="236"/>
        </w:trPr>
        <w:tc>
          <w:tcPr>
            <w:tcW w:w="4740" w:type="dxa"/>
            <w:vAlign w:val="bottom"/>
          </w:tcPr>
          <w:p>
            <w:pPr>
              <w:ind w:left="180"/>
              <w:spacing w:after="0"/>
              <w:rPr>
                <w:sz w:val="20"/>
                <w:szCs w:val="20"/>
                <w:color w:val="auto"/>
              </w:rPr>
            </w:pPr>
            <w:r>
              <w:rPr>
                <w:rFonts w:ascii="Arial" w:cs="Arial" w:eastAsia="Arial" w:hAnsi="Arial"/>
                <w:sz w:val="18"/>
                <w:szCs w:val="18"/>
                <w:color w:val="auto"/>
              </w:rPr>
              <w:t>Included in other comprehensive income</w:t>
            </w:r>
          </w:p>
        </w:tc>
        <w:tc>
          <w:tcPr>
            <w:tcW w:w="200" w:type="dxa"/>
            <w:vAlign w:val="bottom"/>
          </w:tcPr>
          <w:p>
            <w:pPr>
              <w:spacing w:after="0"/>
              <w:rPr>
                <w:sz w:val="20"/>
                <w:szCs w:val="20"/>
                <w:color w:val="auto"/>
              </w:rPr>
            </w:pPr>
          </w:p>
        </w:tc>
        <w:tc>
          <w:tcPr>
            <w:tcW w:w="2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1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900" w:type="dxa"/>
            <w:vAlign w:val="bottom"/>
            <w:gridSpan w:val="3"/>
          </w:tcPr>
          <w:p>
            <w:pPr>
              <w:jc w:val="right"/>
              <w:ind w:right="260"/>
              <w:spacing w:after="0"/>
              <w:rPr>
                <w:sz w:val="20"/>
                <w:szCs w:val="20"/>
                <w:color w:val="auto"/>
              </w:rPr>
            </w:pPr>
            <w:r>
              <w:rPr>
                <w:rFonts w:ascii="Arial" w:cs="Arial" w:eastAsia="Arial" w:hAnsi="Arial"/>
                <w:sz w:val="18"/>
                <w:szCs w:val="18"/>
                <w:color w:val="auto"/>
              </w:rPr>
              <w:t>(37,579)</w:t>
            </w:r>
          </w:p>
        </w:tc>
      </w:tr>
      <w:tr>
        <w:trPr>
          <w:trHeight w:val="216"/>
        </w:trPr>
        <w:tc>
          <w:tcPr>
            <w:tcW w:w="47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r>
      <w:tr>
        <w:trPr>
          <w:trHeight w:val="243"/>
        </w:trPr>
        <w:tc>
          <w:tcPr>
            <w:tcW w:w="4740" w:type="dxa"/>
            <w:vAlign w:val="bottom"/>
          </w:tcPr>
          <w:p>
            <w:pPr>
              <w:spacing w:after="0"/>
              <w:rPr>
                <w:sz w:val="20"/>
                <w:szCs w:val="20"/>
                <w:color w:val="auto"/>
              </w:rPr>
            </w:pPr>
            <w:r>
              <w:rPr>
                <w:rFonts w:ascii="Arial" w:cs="Arial" w:eastAsia="Arial" w:hAnsi="Arial"/>
                <w:sz w:val="18"/>
                <w:szCs w:val="18"/>
                <w:color w:val="auto"/>
              </w:rPr>
              <w:t>Balance - June 30, 2022</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2060" w:type="dxa"/>
            <w:vAlign w:val="bottom"/>
            <w:gridSpan w:val="2"/>
          </w:tcPr>
          <w:p>
            <w:pPr>
              <w:jc w:val="right"/>
              <w:ind w:right="560"/>
              <w:spacing w:after="0"/>
              <w:rPr>
                <w:sz w:val="20"/>
                <w:szCs w:val="20"/>
                <w:color w:val="auto"/>
              </w:rPr>
            </w:pPr>
            <w:r>
              <w:rPr>
                <w:rFonts w:ascii="Arial" w:cs="Arial" w:eastAsia="Arial" w:hAnsi="Arial"/>
                <w:sz w:val="18"/>
                <w:szCs w:val="18"/>
                <w:color w:val="auto"/>
              </w:rPr>
              <w:t>7,443,642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120" w:type="dxa"/>
            <w:vAlign w:val="bottom"/>
            <w:gridSpan w:val="2"/>
          </w:tcPr>
          <w:p>
            <w:pPr>
              <w:jc w:val="right"/>
              <w:ind w:right="540"/>
              <w:spacing w:after="0"/>
              <w:rPr>
                <w:sz w:val="20"/>
                <w:szCs w:val="20"/>
                <w:color w:val="auto"/>
              </w:rPr>
            </w:pPr>
            <w:r>
              <w:rPr>
                <w:rFonts w:ascii="Arial" w:cs="Arial" w:eastAsia="Arial" w:hAnsi="Arial"/>
                <w:sz w:val="18"/>
                <w:szCs w:val="18"/>
                <w:color w:val="auto"/>
              </w:rPr>
              <w:t>209,860,409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1,962,789</w:t>
            </w:r>
          </w:p>
        </w:tc>
        <w:tc>
          <w:tcPr>
            <w:tcW w:w="300" w:type="dxa"/>
            <w:vAlign w:val="bottom"/>
          </w:tcPr>
          <w:p>
            <w:pPr>
              <w:spacing w:after="0"/>
              <w:rPr>
                <w:sz w:val="21"/>
                <w:szCs w:val="21"/>
                <w:color w:val="auto"/>
              </w:rPr>
            </w:pPr>
          </w:p>
        </w:tc>
      </w:tr>
      <w:tr>
        <w:trPr>
          <w:trHeight w:val="20"/>
        </w:trPr>
        <w:tc>
          <w:tcPr>
            <w:tcW w:w="4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color w:val="auto"/>
        </w:rPr>
        <w:t>(1)As a component of Mortgage fee income on the condensed consolidated statements of earnings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(2)As a component of Net investment income on the condensed consolidated statements of earnings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3" w:name="page44"/>
    <w:bookmarkEnd w:id="43"/>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June 30, 2023 (Unaudited)</w:t>
      </w:r>
    </w:p>
    <w:p>
      <w:pPr>
        <w:spacing w:after="0" w:line="184" w:lineRule="exact"/>
        <w:rPr>
          <w:sz w:val="20"/>
          <w:szCs w:val="20"/>
          <w:color w:val="auto"/>
        </w:rPr>
      </w:pPr>
    </w:p>
    <w:p>
      <w:pPr>
        <w:ind w:left="200" w:hanging="192"/>
        <w:spacing w:after="0"/>
        <w:tabs>
          <w:tab w:leader="none" w:pos="20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Fair Value of Financial Instruments</w:t>
      </w:r>
      <w:r>
        <w:rPr>
          <w:rFonts w:ascii="Arial" w:cs="Arial" w:eastAsia="Arial" w:hAnsi="Arial"/>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have any financial assets and financial liabilities measured at fair value on a nonrecurring basis at June 30, 2023.</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Level 1, 2 and 3 financial assets and financial liabilities measured at fair value on a nonrecurring basis by their classification in the condensed consolidated balance sheet at December 31, 2022:</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460"/>
              <w:spacing w:after="0"/>
              <w:rPr>
                <w:sz w:val="20"/>
                <w:szCs w:val="20"/>
                <w:color w:val="auto"/>
              </w:rPr>
            </w:pPr>
            <w:r>
              <w:rPr>
                <w:rFonts w:ascii="Arial" w:cs="Arial" w:eastAsia="Arial" w:hAnsi="Arial"/>
                <w:sz w:val="18"/>
                <w:szCs w:val="18"/>
                <w:color w:val="auto"/>
                <w:w w:val="90"/>
              </w:rPr>
              <w:t>Quoted Prices in</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Significant</w:t>
            </w:r>
          </w:p>
        </w:tc>
      </w:tr>
      <w:tr>
        <w:trPr>
          <w:trHeight w:val="216"/>
        </w:trPr>
        <w:tc>
          <w:tcPr>
            <w:tcW w:w="4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gridSpan w:val="3"/>
          </w:tcPr>
          <w:p>
            <w:pPr>
              <w:jc w:val="center"/>
              <w:ind w:right="320"/>
              <w:spacing w:after="0"/>
              <w:rPr>
                <w:sz w:val="20"/>
                <w:szCs w:val="20"/>
                <w:color w:val="auto"/>
              </w:rPr>
            </w:pPr>
            <w:r>
              <w:rPr>
                <w:rFonts w:ascii="Arial" w:cs="Arial" w:eastAsia="Arial" w:hAnsi="Arial"/>
                <w:sz w:val="18"/>
                <w:szCs w:val="18"/>
                <w:color w:val="auto"/>
                <w:w w:val="95"/>
              </w:rPr>
              <w:t>Active Markets for</w:t>
            </w:r>
          </w:p>
        </w:tc>
        <w:tc>
          <w:tcPr>
            <w:tcW w:w="1360" w:type="dxa"/>
            <w:vAlign w:val="bottom"/>
          </w:tcPr>
          <w:p>
            <w:pPr>
              <w:jc w:val="right"/>
              <w:ind w:right="157"/>
              <w:spacing w:after="0"/>
              <w:rPr>
                <w:sz w:val="20"/>
                <w:szCs w:val="20"/>
                <w:color w:val="auto"/>
              </w:rPr>
            </w:pPr>
            <w:r>
              <w:rPr>
                <w:rFonts w:ascii="Arial" w:cs="Arial" w:eastAsia="Arial" w:hAnsi="Arial"/>
                <w:sz w:val="18"/>
                <w:szCs w:val="18"/>
                <w:color w:val="auto"/>
              </w:rPr>
              <w:t>Significant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Unobservable</w:t>
            </w:r>
          </w:p>
        </w:tc>
      </w:tr>
      <w:tr>
        <w:trPr>
          <w:trHeight w:val="216"/>
        </w:trPr>
        <w:tc>
          <w:tcPr>
            <w:tcW w:w="4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520"/>
              <w:spacing w:after="0"/>
              <w:rPr>
                <w:sz w:val="20"/>
                <w:szCs w:val="20"/>
                <w:color w:val="auto"/>
              </w:rPr>
            </w:pPr>
            <w:r>
              <w:rPr>
                <w:rFonts w:ascii="Arial" w:cs="Arial" w:eastAsia="Arial" w:hAnsi="Arial"/>
                <w:sz w:val="18"/>
                <w:szCs w:val="18"/>
                <w:color w:val="auto"/>
                <w:w w:val="91"/>
              </w:rPr>
              <w:t>Identical Assets</w:t>
            </w:r>
          </w:p>
        </w:tc>
        <w:tc>
          <w:tcPr>
            <w:tcW w:w="1360" w:type="dxa"/>
            <w:vAlign w:val="bottom"/>
          </w:tcPr>
          <w:p>
            <w:pPr>
              <w:jc w:val="right"/>
              <w:spacing w:after="0"/>
              <w:rPr>
                <w:sz w:val="20"/>
                <w:szCs w:val="20"/>
                <w:color w:val="auto"/>
              </w:rPr>
            </w:pPr>
            <w:r>
              <w:rPr>
                <w:rFonts w:ascii="Arial" w:cs="Arial" w:eastAsia="Arial" w:hAnsi="Arial"/>
                <w:sz w:val="18"/>
                <w:szCs w:val="18"/>
                <w:color w:val="auto"/>
                <w:w w:val="91"/>
              </w:rPr>
              <w:t>Observable Inputs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320"/>
              <w:spacing w:after="0"/>
              <w:rPr>
                <w:sz w:val="20"/>
                <w:szCs w:val="20"/>
                <w:color w:val="auto"/>
              </w:rPr>
            </w:pPr>
            <w:r>
              <w:rPr>
                <w:rFonts w:ascii="Arial" w:cs="Arial" w:eastAsia="Arial" w:hAnsi="Arial"/>
                <w:sz w:val="18"/>
                <w:szCs w:val="18"/>
                <w:color w:val="auto"/>
              </w:rPr>
              <w:t>Inputs</w:t>
            </w:r>
          </w:p>
        </w:tc>
      </w:tr>
      <w:tr>
        <w:trPr>
          <w:trHeight w:val="237"/>
        </w:trPr>
        <w:tc>
          <w:tcPr>
            <w:tcW w:w="4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p>
        </w:tc>
        <w:tc>
          <w:tcPr>
            <w:tcW w:w="1700" w:type="dxa"/>
            <w:vAlign w:val="bottom"/>
            <w:gridSpan w:val="2"/>
          </w:tcPr>
          <w:p>
            <w:pPr>
              <w:jc w:val="center"/>
              <w:ind w:right="440"/>
              <w:spacing w:after="0"/>
              <w:rPr>
                <w:sz w:val="20"/>
                <w:szCs w:val="20"/>
                <w:color w:val="auto"/>
              </w:rPr>
            </w:pPr>
            <w:r>
              <w:rPr>
                <w:rFonts w:ascii="Arial" w:cs="Arial" w:eastAsia="Arial" w:hAnsi="Arial"/>
                <w:sz w:val="18"/>
                <w:szCs w:val="18"/>
                <w:color w:val="auto"/>
                <w:w w:val="94"/>
              </w:rPr>
              <w:t>(Level 1)</w:t>
            </w:r>
          </w:p>
        </w:tc>
        <w:tc>
          <w:tcPr>
            <w:tcW w:w="1360" w:type="dxa"/>
            <w:vAlign w:val="bottom"/>
          </w:tcPr>
          <w:p>
            <w:pPr>
              <w:jc w:val="right"/>
              <w:ind w:right="217"/>
              <w:spacing w:after="0"/>
              <w:rPr>
                <w:sz w:val="20"/>
                <w:szCs w:val="20"/>
                <w:color w:val="auto"/>
              </w:rPr>
            </w:pPr>
            <w:r>
              <w:rPr>
                <w:rFonts w:ascii="Arial" w:cs="Arial" w:eastAsia="Arial" w:hAnsi="Arial"/>
                <w:sz w:val="18"/>
                <w:szCs w:val="18"/>
                <w:color w:val="auto"/>
              </w:rPr>
              <w:t>(Level 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(Level 3)</w:t>
            </w:r>
          </w:p>
        </w:tc>
      </w:tr>
      <w:tr>
        <w:trPr>
          <w:trHeight w:val="188"/>
        </w:trPr>
        <w:tc>
          <w:tcPr>
            <w:tcW w:w="402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w w:val="97"/>
              </w:rPr>
              <w:t>Assets accounted for at fair value on a nonrecurring</w:t>
            </w:r>
          </w:p>
        </w:tc>
        <w:tc>
          <w:tcPr>
            <w:tcW w:w="26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3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basis</w:t>
            </w:r>
          </w:p>
        </w:tc>
        <w:tc>
          <w:tcPr>
            <w:tcW w:w="2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7"/>
        </w:trPr>
        <w:tc>
          <w:tcPr>
            <w:tcW w:w="4020" w:type="dxa"/>
            <w:vAlign w:val="bottom"/>
          </w:tcPr>
          <w:p>
            <w:pPr>
              <w:spacing w:after="0"/>
              <w:rPr>
                <w:sz w:val="20"/>
                <w:szCs w:val="20"/>
                <w:color w:val="auto"/>
              </w:rPr>
            </w:pPr>
            <w:r>
              <w:rPr>
                <w:rFonts w:ascii="Arial" w:cs="Arial" w:eastAsia="Arial" w:hAnsi="Arial"/>
                <w:sz w:val="18"/>
                <w:szCs w:val="18"/>
                <w:color w:val="auto"/>
              </w:rPr>
              <w:t>Impaired mortgage loans held for investment</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794,224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197"/>
              <w:spacing w:after="0"/>
              <w:rPr>
                <w:sz w:val="20"/>
                <w:szCs w:val="20"/>
                <w:color w:val="auto"/>
              </w:rPr>
            </w:pPr>
            <w:r>
              <w:rPr>
                <w:rFonts w:ascii="Arial" w:cs="Arial" w:eastAsia="Arial" w:hAnsi="Arial"/>
                <w:sz w:val="15"/>
                <w:szCs w:val="15"/>
                <w:color w:val="auto"/>
                <w:w w:val="71"/>
              </w:rPr>
              <w:t>$</w:t>
            </w:r>
          </w:p>
        </w:tc>
        <w:tc>
          <w:tcPr>
            <w:tcW w:w="24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794,224</w:t>
            </w:r>
          </w:p>
        </w:tc>
      </w:tr>
      <w:tr>
        <w:trPr>
          <w:trHeight w:val="188"/>
        </w:trPr>
        <w:tc>
          <w:tcPr>
            <w:tcW w:w="402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Total assets accounted for at fair value on a</w:t>
            </w:r>
          </w:p>
        </w:tc>
        <w:tc>
          <w:tcPr>
            <w:tcW w:w="26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57"/>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nonrecurring basis</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794,224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197"/>
              <w:spacing w:after="0"/>
              <w:rPr>
                <w:sz w:val="20"/>
                <w:szCs w:val="20"/>
                <w:color w:val="auto"/>
              </w:rPr>
            </w:pPr>
            <w:r>
              <w:rPr>
                <w:rFonts w:ascii="Arial" w:cs="Arial" w:eastAsia="Arial" w:hAnsi="Arial"/>
                <w:sz w:val="15"/>
                <w:szCs w:val="15"/>
                <w:color w:val="auto"/>
                <w:w w:val="71"/>
              </w:rPr>
              <w:t>$</w:t>
            </w:r>
          </w:p>
        </w:tc>
        <w:tc>
          <w:tcPr>
            <w:tcW w:w="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794,224</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 Carried at Other Than Fair Value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ASC 825, Financial Instruments, requires disclosure of fair value information about financial instruments, whether or not recognized in the balance sheet, for which it is practicable to estimate that value.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 uses its best judgment in estimating the fair value of the Company’s financial instruments; however, there are inherent limitations in any estimation technique. Therefore, for substantially all financial instruments, the fair value estimates presented herein are not necessarily indicative of the amounts the Company could have realized in a sales transaction at June 30, 2023 and December 31, 2022.</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values and estimated fair values for such financial instruments, and their corresponding placement in the fair value hierarchy, are summarized as follows as of June 30, 2023:</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w w:val="92"/>
              </w:rPr>
              <w:t>Total Estimated</w:t>
            </w:r>
          </w:p>
        </w:tc>
      </w:tr>
      <w:tr>
        <w:trPr>
          <w:trHeight w:val="237"/>
        </w:trPr>
        <w:tc>
          <w:tcPr>
            <w:tcW w:w="3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gridSpan w:val="3"/>
          </w:tcPr>
          <w:p>
            <w:pPr>
              <w:jc w:val="right"/>
              <w:ind w:right="440"/>
              <w:spacing w:after="0"/>
              <w:rPr>
                <w:sz w:val="20"/>
                <w:szCs w:val="20"/>
                <w:color w:val="auto"/>
              </w:rPr>
            </w:pPr>
            <w:r>
              <w:rPr>
                <w:rFonts w:ascii="Arial" w:cs="Arial" w:eastAsia="Arial" w:hAnsi="Arial"/>
                <w:sz w:val="18"/>
                <w:szCs w:val="18"/>
                <w:color w:val="auto"/>
                <w:w w:val="95"/>
              </w:rPr>
              <w:t>Carrying Value</w:t>
            </w:r>
          </w:p>
        </w:tc>
        <w:tc>
          <w:tcPr>
            <w:tcW w:w="1040" w:type="dxa"/>
            <w:vAlign w:val="bottom"/>
          </w:tcPr>
          <w:p>
            <w:pPr>
              <w:jc w:val="right"/>
              <w:ind w:right="63"/>
              <w:spacing w:after="0"/>
              <w:rPr>
                <w:sz w:val="20"/>
                <w:szCs w:val="20"/>
                <w:color w:val="auto"/>
              </w:rPr>
            </w:pPr>
            <w:r>
              <w:rPr>
                <w:rFonts w:ascii="Arial" w:cs="Arial" w:eastAsia="Arial" w:hAnsi="Arial"/>
                <w:sz w:val="18"/>
                <w:szCs w:val="18"/>
                <w:color w:val="auto"/>
              </w:rPr>
              <w:t>Level 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58"/>
              <w:spacing w:after="0"/>
              <w:rPr>
                <w:sz w:val="20"/>
                <w:szCs w:val="20"/>
                <w:color w:val="auto"/>
              </w:rPr>
            </w:pPr>
            <w:r>
              <w:rPr>
                <w:rFonts w:ascii="Arial" w:cs="Arial" w:eastAsia="Arial" w:hAnsi="Arial"/>
                <w:sz w:val="18"/>
                <w:szCs w:val="18"/>
                <w:color w:val="auto"/>
              </w:rPr>
              <w:t>Level 2</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Level 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Fair Value</w:t>
            </w:r>
          </w:p>
        </w:tc>
      </w:tr>
      <w:tr>
        <w:trPr>
          <w:trHeight w:val="216"/>
        </w:trPr>
        <w:tc>
          <w:tcPr>
            <w:tcW w:w="3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Mortgage loans held for investment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w:t>
            </w:r>
          </w:p>
        </w:tc>
        <w:tc>
          <w:tcPr>
            <w:tcW w:w="34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92,373,964</w:t>
            </w:r>
          </w:p>
        </w:tc>
        <w:tc>
          <w:tcPr>
            <w:tcW w:w="1040" w:type="dxa"/>
            <w:vAlign w:val="bottom"/>
            <w:shd w:val="clear" w:color="auto" w:fill="CCEEFF"/>
          </w:tcPr>
          <w:p>
            <w:pPr>
              <w:jc w:val="right"/>
              <w:ind w:right="883"/>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58"/>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90,236,721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90,236,721</w:t>
            </w:r>
          </w:p>
        </w:tc>
      </w:tr>
      <w:tr>
        <w:trPr>
          <w:trHeight w:val="216"/>
        </w:trPr>
        <w:tc>
          <w:tcPr>
            <w:tcW w:w="3460" w:type="dxa"/>
            <w:vAlign w:val="bottom"/>
          </w:tcPr>
          <w:p>
            <w:pPr>
              <w:ind w:left="180"/>
              <w:spacing w:after="0"/>
              <w:rPr>
                <w:sz w:val="20"/>
                <w:szCs w:val="20"/>
                <w:color w:val="auto"/>
              </w:rPr>
            </w:pPr>
            <w:r>
              <w:rPr>
                <w:rFonts w:ascii="Arial" w:cs="Arial" w:eastAsia="Arial" w:hAnsi="Arial"/>
                <w:sz w:val="18"/>
                <w:szCs w:val="18"/>
                <w:color w:val="auto"/>
              </w:rPr>
              <w:t>Residential construction</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120,783,301</w:t>
            </w:r>
          </w:p>
        </w:tc>
        <w:tc>
          <w:tcPr>
            <w:tcW w:w="104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120,783,301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120,783,301</w:t>
            </w:r>
          </w:p>
        </w:tc>
      </w:tr>
      <w:tr>
        <w:trPr>
          <w:trHeight w:val="249"/>
        </w:trPr>
        <w:tc>
          <w:tcPr>
            <w:tcW w:w="3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57,892,320</w:t>
            </w:r>
          </w:p>
        </w:tc>
        <w:tc>
          <w:tcPr>
            <w:tcW w:w="104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56,552,307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56,552,307</w:t>
            </w:r>
          </w:p>
        </w:tc>
      </w:tr>
      <w:tr>
        <w:trPr>
          <w:trHeight w:val="203"/>
        </w:trPr>
        <w:tc>
          <w:tcPr>
            <w:tcW w:w="34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Mortgage loans held for investment, net</w:t>
            </w:r>
          </w:p>
        </w:tc>
        <w:tc>
          <w:tcPr>
            <w:tcW w:w="1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jc w:val="right"/>
              <w:ind w:right="18"/>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271,049,585</w:t>
            </w:r>
          </w:p>
        </w:tc>
        <w:tc>
          <w:tcPr>
            <w:tcW w:w="360" w:type="dxa"/>
            <w:vAlign w:val="bottom"/>
            <w:tcBorders>
              <w:top w:val="single" w:sz="8" w:color="CCEEFF"/>
            </w:tcBorders>
          </w:tcPr>
          <w:p>
            <w:pPr>
              <w:spacing w:after="0"/>
              <w:rPr>
                <w:sz w:val="17"/>
                <w:szCs w:val="17"/>
                <w:color w:val="auto"/>
              </w:rPr>
            </w:pPr>
          </w:p>
        </w:tc>
        <w:tc>
          <w:tcPr>
            <w:tcW w:w="1040" w:type="dxa"/>
            <w:vAlign w:val="bottom"/>
            <w:tcBorders>
              <w:top w:val="single" w:sz="8" w:color="auto"/>
            </w:tcBorders>
          </w:tcPr>
          <w:p>
            <w:pPr>
              <w:jc w:val="right"/>
              <w:ind w:right="883"/>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20" w:type="dxa"/>
            <w:vAlign w:val="bottom"/>
            <w:tcBorders>
              <w:top w:val="single" w:sz="8" w:color="auto"/>
            </w:tcBorders>
          </w:tcPr>
          <w:p>
            <w:pPr>
              <w:jc w:val="right"/>
              <w:ind w:right="858"/>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tcPr>
          <w:p>
            <w:pPr>
              <w:ind w:left="140"/>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267,572,329</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267,572,329</w:t>
            </w:r>
          </w:p>
        </w:tc>
        <w:tc>
          <w:tcPr>
            <w:tcW w:w="100" w:type="dxa"/>
            <w:vAlign w:val="bottom"/>
            <w:tcBorders>
              <w:top w:val="single" w:sz="8" w:color="CCEEFF"/>
            </w:tcBorders>
          </w:tcPr>
          <w:p>
            <w:pPr>
              <w:spacing w:after="0"/>
              <w:rPr>
                <w:sz w:val="17"/>
                <w:szCs w:val="17"/>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Policy loans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13,020,654</w:t>
            </w:r>
          </w:p>
        </w:tc>
        <w:tc>
          <w:tcPr>
            <w:tcW w:w="10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13,020,654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13,020,654</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Insurance assignments, net (1)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39,466,608</w:t>
            </w:r>
          </w:p>
        </w:tc>
        <w:tc>
          <w:tcPr>
            <w:tcW w:w="104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39,466,608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39,466,608</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Restricted assets (2)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1,377,183</w:t>
            </w:r>
          </w:p>
        </w:tc>
        <w:tc>
          <w:tcPr>
            <w:tcW w:w="10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1,377,183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1,377,183</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w w:val="93"/>
              </w:rPr>
              <w:t>Cemetery perpetual care trust investments (2)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2,271,516</w:t>
            </w:r>
          </w:p>
        </w:tc>
        <w:tc>
          <w:tcPr>
            <w:tcW w:w="104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2,271,516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2,271,516</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Mortgage servicing rights, net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3,442,352</w:t>
            </w:r>
          </w:p>
        </w:tc>
        <w:tc>
          <w:tcPr>
            <w:tcW w:w="10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4,790,912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4,790,912</w:t>
            </w:r>
          </w:p>
        </w:tc>
      </w:tr>
      <w:tr>
        <w:trPr>
          <w:trHeight w:val="216"/>
        </w:trPr>
        <w:tc>
          <w:tcPr>
            <w:tcW w:w="3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Bank and other loans payable</w:t>
            </w:r>
          </w:p>
        </w:tc>
        <w:tc>
          <w:tcPr>
            <w:tcW w:w="340" w:type="dxa"/>
            <w:vAlign w:val="bottom"/>
            <w:gridSpan w:val="2"/>
          </w:tcPr>
          <w:p>
            <w:pPr>
              <w:jc w:val="right"/>
              <w:ind w:right="18"/>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(103,301,721)</w:t>
            </w:r>
          </w:p>
        </w:tc>
        <w:tc>
          <w:tcPr>
            <w:tcW w:w="1040" w:type="dxa"/>
            <w:vAlign w:val="bottom"/>
          </w:tcPr>
          <w:p>
            <w:pPr>
              <w:jc w:val="right"/>
              <w:ind w:right="883"/>
              <w:spacing w:after="0"/>
              <w:rPr>
                <w:sz w:val="20"/>
                <w:szCs w:val="20"/>
                <w:color w:val="auto"/>
              </w:rPr>
            </w:pPr>
            <w:r>
              <w:rPr>
                <w:rFonts w:ascii="Arial" w:cs="Arial" w:eastAsia="Arial" w:hAnsi="Arial"/>
                <w:sz w:val="15"/>
                <w:szCs w:val="15"/>
                <w:color w:val="auto"/>
                <w:w w:val="71"/>
              </w:rPr>
              <w:t>$</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58"/>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w w:val="96"/>
              </w:rPr>
              <w:t>(103,301,721)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(103,301,721)</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Policyholder account balances (3)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(40,389,204)</w:t>
            </w:r>
          </w:p>
        </w:tc>
        <w:tc>
          <w:tcPr>
            <w:tcW w:w="10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(40,878,607)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(40,878,607)</w:t>
            </w: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Future policy benefits - annuities (3)</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(106,259,062)</w:t>
            </w:r>
          </w:p>
        </w:tc>
        <w:tc>
          <w:tcPr>
            <w:tcW w:w="104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w w:val="96"/>
              </w:rPr>
              <w:t>(124,475,238)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(124,475,238)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78308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8" w:lineRule="exact"/>
        <w:rPr>
          <w:sz w:val="20"/>
          <w:szCs w:val="20"/>
          <w:color w:val="auto"/>
        </w:rPr>
      </w:pPr>
    </w:p>
    <w:p>
      <w:pPr>
        <w:ind w:left="60"/>
        <w:spacing w:after="0"/>
        <w:rPr>
          <w:sz w:val="20"/>
          <w:szCs w:val="20"/>
          <w:color w:val="auto"/>
        </w:rPr>
      </w:pPr>
      <w:r>
        <w:rPr>
          <w:rFonts w:ascii="Arial" w:cs="Arial" w:eastAsia="Arial" w:hAnsi="Arial"/>
          <w:sz w:val="18"/>
          <w:szCs w:val="18"/>
          <w:color w:val="auto"/>
        </w:rPr>
        <w:t>(1)Included in other investments and policy loans on the condensed consolidated balance sheets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(2)Mortgage loans held for investment</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(3)Included in future policy benefits and unpaid claims on the condensed consolidated balance sheets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4" w:name="page45"/>
    <w:bookmarkEnd w:id="44"/>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June 30, 2023 (Unaudited)</w:t>
      </w:r>
    </w:p>
    <w:p>
      <w:pPr>
        <w:spacing w:after="0" w:line="184" w:lineRule="exact"/>
        <w:rPr>
          <w:sz w:val="20"/>
          <w:szCs w:val="20"/>
          <w:color w:val="auto"/>
        </w:rPr>
      </w:pPr>
    </w:p>
    <w:p>
      <w:pPr>
        <w:ind w:left="200" w:hanging="192"/>
        <w:spacing w:after="0"/>
        <w:tabs>
          <w:tab w:leader="none" w:pos="20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Fair Value of Financial Instruments</w:t>
      </w:r>
      <w:r>
        <w:rPr>
          <w:rFonts w:ascii="Arial" w:cs="Arial" w:eastAsia="Arial" w:hAnsi="Arial"/>
          <w:sz w:val="18"/>
          <w:szCs w:val="18"/>
          <w:color w:val="auto"/>
        </w:rPr>
        <w:t xml:space="preserve"> (Continued)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carrying values and estimated fair values for such financial instruments, and their corresponding placement in the fair value hierarchy, are summarized as follows as of December 31, 2022:</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w w:val="92"/>
              </w:rPr>
              <w:t>Total Estimated</w:t>
            </w:r>
          </w:p>
        </w:tc>
      </w:tr>
      <w:tr>
        <w:trPr>
          <w:trHeight w:val="237"/>
        </w:trPr>
        <w:tc>
          <w:tcPr>
            <w:tcW w:w="3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gridSpan w:val="3"/>
          </w:tcPr>
          <w:p>
            <w:pPr>
              <w:jc w:val="right"/>
              <w:ind w:right="440"/>
              <w:spacing w:after="0"/>
              <w:rPr>
                <w:sz w:val="20"/>
                <w:szCs w:val="20"/>
                <w:color w:val="auto"/>
              </w:rPr>
            </w:pPr>
            <w:r>
              <w:rPr>
                <w:rFonts w:ascii="Arial" w:cs="Arial" w:eastAsia="Arial" w:hAnsi="Arial"/>
                <w:sz w:val="18"/>
                <w:szCs w:val="18"/>
                <w:color w:val="auto"/>
                <w:w w:val="95"/>
              </w:rPr>
              <w:t>Carrying Value</w:t>
            </w:r>
          </w:p>
        </w:tc>
        <w:tc>
          <w:tcPr>
            <w:tcW w:w="1040" w:type="dxa"/>
            <w:vAlign w:val="bottom"/>
          </w:tcPr>
          <w:p>
            <w:pPr>
              <w:jc w:val="right"/>
              <w:ind w:right="63"/>
              <w:spacing w:after="0"/>
              <w:rPr>
                <w:sz w:val="20"/>
                <w:szCs w:val="20"/>
                <w:color w:val="auto"/>
              </w:rPr>
            </w:pPr>
            <w:r>
              <w:rPr>
                <w:rFonts w:ascii="Arial" w:cs="Arial" w:eastAsia="Arial" w:hAnsi="Arial"/>
                <w:sz w:val="18"/>
                <w:szCs w:val="18"/>
                <w:color w:val="auto"/>
              </w:rPr>
              <w:t>Level 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58"/>
              <w:spacing w:after="0"/>
              <w:rPr>
                <w:sz w:val="20"/>
                <w:szCs w:val="20"/>
                <w:color w:val="auto"/>
              </w:rPr>
            </w:pPr>
            <w:r>
              <w:rPr>
                <w:rFonts w:ascii="Arial" w:cs="Arial" w:eastAsia="Arial" w:hAnsi="Arial"/>
                <w:sz w:val="18"/>
                <w:szCs w:val="18"/>
                <w:color w:val="auto"/>
              </w:rPr>
              <w:t>Level 2</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Level 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Fair Value</w:t>
            </w:r>
          </w:p>
        </w:tc>
      </w:tr>
      <w:tr>
        <w:trPr>
          <w:trHeight w:val="216"/>
        </w:trPr>
        <w:tc>
          <w:tcPr>
            <w:tcW w:w="3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Mortgage loans held for investment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w:t>
            </w:r>
          </w:p>
        </w:tc>
        <w:tc>
          <w:tcPr>
            <w:tcW w:w="34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90,290,776</w:t>
            </w:r>
          </w:p>
        </w:tc>
        <w:tc>
          <w:tcPr>
            <w:tcW w:w="1040" w:type="dxa"/>
            <w:vAlign w:val="bottom"/>
            <w:shd w:val="clear" w:color="auto" w:fill="CCEEFF"/>
          </w:tcPr>
          <w:p>
            <w:pPr>
              <w:jc w:val="right"/>
              <w:ind w:right="883"/>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58"/>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88,575,293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88,575,293</w:t>
            </w:r>
          </w:p>
        </w:tc>
      </w:tr>
      <w:tr>
        <w:trPr>
          <w:trHeight w:val="216"/>
        </w:trPr>
        <w:tc>
          <w:tcPr>
            <w:tcW w:w="3460" w:type="dxa"/>
            <w:vAlign w:val="bottom"/>
          </w:tcPr>
          <w:p>
            <w:pPr>
              <w:ind w:left="180"/>
              <w:spacing w:after="0"/>
              <w:rPr>
                <w:sz w:val="20"/>
                <w:szCs w:val="20"/>
                <w:color w:val="auto"/>
              </w:rPr>
            </w:pPr>
            <w:r>
              <w:rPr>
                <w:rFonts w:ascii="Arial" w:cs="Arial" w:eastAsia="Arial" w:hAnsi="Arial"/>
                <w:sz w:val="18"/>
                <w:szCs w:val="18"/>
                <w:color w:val="auto"/>
              </w:rPr>
              <w:t>Residential construction</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172,139,077</w:t>
            </w:r>
          </w:p>
        </w:tc>
        <w:tc>
          <w:tcPr>
            <w:tcW w:w="104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172,139,077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172,139,077</w:t>
            </w:r>
          </w:p>
        </w:tc>
      </w:tr>
      <w:tr>
        <w:trPr>
          <w:trHeight w:val="249"/>
        </w:trPr>
        <w:tc>
          <w:tcPr>
            <w:tcW w:w="3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45,694,074</w:t>
            </w:r>
          </w:p>
        </w:tc>
        <w:tc>
          <w:tcPr>
            <w:tcW w:w="104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44,079,537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44,079,537</w:t>
            </w:r>
          </w:p>
        </w:tc>
      </w:tr>
      <w:tr>
        <w:trPr>
          <w:trHeight w:val="203"/>
        </w:trPr>
        <w:tc>
          <w:tcPr>
            <w:tcW w:w="34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Mortgage loans held for investment, net</w:t>
            </w:r>
          </w:p>
        </w:tc>
        <w:tc>
          <w:tcPr>
            <w:tcW w:w="1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jc w:val="right"/>
              <w:ind w:right="18"/>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308,123,927</w:t>
            </w:r>
          </w:p>
        </w:tc>
        <w:tc>
          <w:tcPr>
            <w:tcW w:w="360" w:type="dxa"/>
            <w:vAlign w:val="bottom"/>
            <w:tcBorders>
              <w:top w:val="single" w:sz="8" w:color="CCEEFF"/>
            </w:tcBorders>
          </w:tcPr>
          <w:p>
            <w:pPr>
              <w:spacing w:after="0"/>
              <w:rPr>
                <w:sz w:val="17"/>
                <w:szCs w:val="17"/>
                <w:color w:val="auto"/>
              </w:rPr>
            </w:pPr>
          </w:p>
        </w:tc>
        <w:tc>
          <w:tcPr>
            <w:tcW w:w="1040" w:type="dxa"/>
            <w:vAlign w:val="bottom"/>
            <w:tcBorders>
              <w:top w:val="single" w:sz="8" w:color="auto"/>
            </w:tcBorders>
          </w:tcPr>
          <w:p>
            <w:pPr>
              <w:jc w:val="right"/>
              <w:ind w:right="883"/>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20" w:type="dxa"/>
            <w:vAlign w:val="bottom"/>
            <w:tcBorders>
              <w:top w:val="single" w:sz="8" w:color="auto"/>
            </w:tcBorders>
          </w:tcPr>
          <w:p>
            <w:pPr>
              <w:jc w:val="right"/>
              <w:ind w:right="858"/>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tcPr>
          <w:p>
            <w:pPr>
              <w:ind w:left="140"/>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304,793,907</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304,793,907</w:t>
            </w:r>
          </w:p>
        </w:tc>
        <w:tc>
          <w:tcPr>
            <w:tcW w:w="100" w:type="dxa"/>
            <w:vAlign w:val="bottom"/>
            <w:tcBorders>
              <w:top w:val="single" w:sz="8" w:color="CCEEFF"/>
            </w:tcBorders>
          </w:tcPr>
          <w:p>
            <w:pPr>
              <w:spacing w:after="0"/>
              <w:rPr>
                <w:sz w:val="17"/>
                <w:szCs w:val="17"/>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Policy loans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13,095,473</w:t>
            </w:r>
          </w:p>
        </w:tc>
        <w:tc>
          <w:tcPr>
            <w:tcW w:w="10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13,095,473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13,095,473</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Insurance assignments, net (1)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45,332,585</w:t>
            </w:r>
          </w:p>
        </w:tc>
        <w:tc>
          <w:tcPr>
            <w:tcW w:w="104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45,332,585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45,332,585</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Restricted assets (2)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1,731,469</w:t>
            </w:r>
          </w:p>
        </w:tc>
        <w:tc>
          <w:tcPr>
            <w:tcW w:w="10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1,731,469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1,731,469</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w w:val="93"/>
              </w:rPr>
              <w:t>Cemetery perpetual care trust investments (2)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1,506,517</w:t>
            </w:r>
          </w:p>
        </w:tc>
        <w:tc>
          <w:tcPr>
            <w:tcW w:w="104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1,506,517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1,506,517</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Mortgage servicing rights, net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3,039,765</w:t>
            </w:r>
          </w:p>
        </w:tc>
        <w:tc>
          <w:tcPr>
            <w:tcW w:w="10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3,927,877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3,927,877</w:t>
            </w:r>
          </w:p>
        </w:tc>
      </w:tr>
      <w:tr>
        <w:trPr>
          <w:trHeight w:val="216"/>
        </w:trPr>
        <w:tc>
          <w:tcPr>
            <w:tcW w:w="3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Bank and other loans payable</w:t>
            </w:r>
          </w:p>
        </w:tc>
        <w:tc>
          <w:tcPr>
            <w:tcW w:w="340" w:type="dxa"/>
            <w:vAlign w:val="bottom"/>
            <w:gridSpan w:val="2"/>
          </w:tcPr>
          <w:p>
            <w:pPr>
              <w:jc w:val="right"/>
              <w:ind w:right="18"/>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(161,712,804)</w:t>
            </w:r>
          </w:p>
        </w:tc>
        <w:tc>
          <w:tcPr>
            <w:tcW w:w="1040" w:type="dxa"/>
            <w:vAlign w:val="bottom"/>
          </w:tcPr>
          <w:p>
            <w:pPr>
              <w:jc w:val="right"/>
              <w:ind w:right="883"/>
              <w:spacing w:after="0"/>
              <w:rPr>
                <w:sz w:val="20"/>
                <w:szCs w:val="20"/>
                <w:color w:val="auto"/>
              </w:rPr>
            </w:pPr>
            <w:r>
              <w:rPr>
                <w:rFonts w:ascii="Arial" w:cs="Arial" w:eastAsia="Arial" w:hAnsi="Arial"/>
                <w:sz w:val="15"/>
                <w:szCs w:val="15"/>
                <w:color w:val="auto"/>
                <w:w w:val="71"/>
              </w:rPr>
              <w:t>$</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58"/>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w w:val="96"/>
              </w:rPr>
              <w:t>(161,712,804)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(161,712,804)</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Policyholder account balances (3)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(41,146,171)</w:t>
            </w:r>
          </w:p>
        </w:tc>
        <w:tc>
          <w:tcPr>
            <w:tcW w:w="10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(42,181,089)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(42,181,089)</w:t>
            </w: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Future policy benefits - annuities (3)</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(106,637,094)</w:t>
            </w:r>
          </w:p>
        </w:tc>
        <w:tc>
          <w:tcPr>
            <w:tcW w:w="104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w w:val="96"/>
              </w:rPr>
              <w:t>(126,078,031)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(126,078,031)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78308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8" w:lineRule="exact"/>
        <w:rPr>
          <w:sz w:val="20"/>
          <w:szCs w:val="20"/>
          <w:color w:val="auto"/>
        </w:rPr>
      </w:pPr>
    </w:p>
    <w:p>
      <w:pPr>
        <w:ind w:left="60"/>
        <w:spacing w:after="0"/>
        <w:rPr>
          <w:sz w:val="20"/>
          <w:szCs w:val="20"/>
          <w:color w:val="auto"/>
        </w:rPr>
      </w:pPr>
      <w:r>
        <w:rPr>
          <w:rFonts w:ascii="Arial" w:cs="Arial" w:eastAsia="Arial" w:hAnsi="Arial"/>
          <w:sz w:val="18"/>
          <w:szCs w:val="18"/>
          <w:color w:val="auto"/>
        </w:rPr>
        <w:t>(1)Included in other investments and policy loans on the consolidated balance sheets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(2)Mortgage loans held for investment</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(3)Included in future policy benefits and unpaid claims on the consolidated balance sheets</w:t>
      </w:r>
    </w:p>
    <w:p>
      <w:pPr>
        <w:spacing w:after="0" w:line="3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methods, assumptions and significant valuation techniques and inputs used to estimate the fair value of these financial instruments are summarized as follows:</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u w:val="single" w:color="auto"/>
          <w:color w:val="auto"/>
        </w:rPr>
        <w:t>Mortgage Loans Held for Investment</w:t>
      </w:r>
      <w:r>
        <w:rPr>
          <w:rFonts w:ascii="Arial" w:cs="Arial" w:eastAsia="Arial" w:hAnsi="Arial"/>
          <w:sz w:val="16"/>
          <w:szCs w:val="16"/>
          <w:i w:val="1"/>
          <w:iCs w:val="1"/>
          <w:color w:val="auto"/>
        </w:rPr>
        <w:t xml:space="preserve">: </w:t>
      </w:r>
      <w:r>
        <w:rPr>
          <w:rFonts w:ascii="Arial" w:cs="Arial" w:eastAsia="Arial" w:hAnsi="Arial"/>
          <w:sz w:val="16"/>
          <w:szCs w:val="16"/>
          <w:color w:val="auto"/>
        </w:rPr>
        <w:t>The estimated fair value of the Company’s mortgage loans held for investment is determined using various methods.</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Company’s mortgage loans are grouped into three categories: Residential, Residential Construction and Commercial. When estimating the expected future cash flows, it is assumed that all loans will be held to maturity, and any loans that are non-performing are evaluated individually for impairment.</w:t>
      </w:r>
    </w:p>
    <w:p>
      <w:pPr>
        <w:spacing w:after="0" w:line="149"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Residential – The estimated fair value is determined through a combination of discounted cash flows (estimating expected future cash flows of payments and discounting them using current interest rates from single family mortgages) and considering pricing of similar loans that were sold recently.</w:t>
      </w:r>
    </w:p>
    <w:p>
      <w:pPr>
        <w:spacing w:after="0" w:line="184"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Residential Construction – These loans are primarily short in maturity. Accordingly, the estimated fair value is determined to be the carrying value.</w:t>
      </w:r>
    </w:p>
    <w:p>
      <w:pPr>
        <w:spacing w:after="0" w:line="170"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Commercial – The estimated fair value is determined by estimating expected future cash flows of payments and discounting them using current interest rates for commercial mortgages.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u w:val="single" w:color="auto"/>
          <w:color w:val="auto"/>
        </w:rPr>
        <w:t>Policy Loans</w:t>
      </w:r>
      <w:r>
        <w:rPr>
          <w:rFonts w:ascii="Arial" w:cs="Arial" w:eastAsia="Arial" w:hAnsi="Arial"/>
          <w:sz w:val="18"/>
          <w:szCs w:val="18"/>
          <w:color w:val="auto"/>
        </w:rPr>
        <w:t>: The carrying amounts reported in the accompanying condensed consolidated balance sheet for these financial instruments approximate their</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values because they are fully collateralized by the cash surrender value of the underlying insurance policies.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u w:val="single" w:color="auto"/>
          <w:color w:val="auto"/>
        </w:rPr>
        <w:t>Insurance Assignments, Net</w:t>
      </w:r>
      <w:r>
        <w:rPr>
          <w:rFonts w:ascii="Arial" w:cs="Arial" w:eastAsia="Arial" w:hAnsi="Arial"/>
          <w:sz w:val="18"/>
          <w:szCs w:val="18"/>
          <w:color w:val="auto"/>
        </w:rPr>
        <w:t>: These investments are primarily short in maturity, accordingly, the carrying amounts reported in the accompanying condensed</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balance sheet for these financial instruments approximate their fair values.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5" w:name="page46"/>
    <w:bookmarkEnd w:id="45"/>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June 30, 2023 (Unaudited)</w:t>
      </w:r>
    </w:p>
    <w:p>
      <w:pPr>
        <w:spacing w:after="0" w:line="184" w:lineRule="exact"/>
        <w:rPr>
          <w:sz w:val="20"/>
          <w:szCs w:val="20"/>
          <w:color w:val="auto"/>
        </w:rPr>
      </w:pPr>
    </w:p>
    <w:p>
      <w:pPr>
        <w:ind w:left="200" w:hanging="192"/>
        <w:spacing w:after="0"/>
        <w:tabs>
          <w:tab w:leader="none" w:pos="20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Fair Value of Financial Instruments</w:t>
      </w:r>
      <w:r>
        <w:rPr>
          <w:rFonts w:ascii="Arial" w:cs="Arial" w:eastAsia="Arial" w:hAnsi="Arial"/>
          <w:sz w:val="18"/>
          <w:szCs w:val="18"/>
          <w:color w:val="auto"/>
        </w:rPr>
        <w:t xml:space="preserve"> (Continued)</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u w:val="single" w:color="auto"/>
          <w:color w:val="auto"/>
        </w:rPr>
        <w:t>Bank and Other Loans Payable</w:t>
      </w:r>
      <w:r>
        <w:rPr>
          <w:rFonts w:ascii="Arial" w:cs="Arial" w:eastAsia="Arial" w:hAnsi="Arial"/>
          <w:sz w:val="18"/>
          <w:szCs w:val="18"/>
          <w:color w:val="auto"/>
        </w:rPr>
        <w:t>: The carrying amounts reported in the accompanying condensed consolidated balance sheet for these financial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 their fair values due to their relatively short-term maturities and variable interest rates.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u w:val="single" w:color="auto"/>
          <w:color w:val="auto"/>
        </w:rPr>
        <w:t>Policyholder Account Balances and Future Policy Benefits-Annuities</w:t>
      </w:r>
      <w:r>
        <w:rPr>
          <w:rFonts w:ascii="Arial" w:cs="Arial" w:eastAsia="Arial" w:hAnsi="Arial"/>
          <w:sz w:val="16"/>
          <w:szCs w:val="16"/>
          <w:color w:val="auto"/>
        </w:rPr>
        <w:t>: Future policy benefit reserves for interest-sensitive insurance products are computed</w:t>
      </w:r>
      <w:r>
        <w:rPr>
          <w:rFonts w:ascii="Arial" w:cs="Arial" w:eastAsia="Arial" w:hAnsi="Arial"/>
          <w:sz w:val="16"/>
          <w:szCs w:val="16"/>
          <w:i w:val="1"/>
          <w:iCs w:val="1"/>
          <w:color w:val="auto"/>
        </w:rPr>
        <w:t xml:space="preserve"> </w:t>
      </w:r>
      <w:r>
        <w:rPr>
          <w:rFonts w:ascii="Arial" w:cs="Arial" w:eastAsia="Arial" w:hAnsi="Arial"/>
          <w:sz w:val="16"/>
          <w:szCs w:val="16"/>
          <w:color w:val="auto"/>
        </w:rPr>
        <w:t>under a retrospective deposit method and represent policy account balances before applicable surrender charges. Policy benefits and claims that are charged to expense include benefit claims incurred in the period in excess of related policy account balances. Interest crediting rates for interest-sensitive insurance products ranged from 1.5% to 6.5%. The fair values for these investment-type insurance contracts are estimated based on the present value of liability cash flows. The fair values for the Company’s insurance contracts other than investment-type contracts are not required to be disclosed. However, the fair values of liabilities under all insurance contracts are taken into consideration in the Company’s overall management of interest rate risk, such that the Company’s exposure to changing interest rates is minimized through the matching of investment maturities with amounts due under insurance contracts.</w:t>
      </w:r>
    </w:p>
    <w:p>
      <w:pPr>
        <w:spacing w:after="0" w:line="166" w:lineRule="exact"/>
        <w:rPr>
          <w:sz w:val="20"/>
          <w:szCs w:val="20"/>
          <w:color w:val="auto"/>
        </w:rPr>
      </w:pPr>
    </w:p>
    <w:p>
      <w:pPr>
        <w:ind w:left="200" w:hanging="192"/>
        <w:spacing w:after="0"/>
        <w:tabs>
          <w:tab w:leader="none" w:pos="20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Derivative Instruments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Banking Derivatives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Loan Commitments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is exposed to price risk due to the potential impact of changes in interest rates on the values of loan commitments from the time a loan commitment is made to an applicant to the time the loan that would result from the exercise of that loan commitment is funded. Managing price risk is complicated by the fact that the ultimate percentage of loan commitments that will be exercised (i.e., the number of loans that will be funded) fluctuates. The probability that a loan will not be funded or the loan application is denied or withdrawn within the terms of the commitment is driven by a number of factors, particularly the change, if any, in mortgage rates following the issuance of the loan commitment.</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general, the probability of funding increases if mortgage rates rise and decreases if mortgage rates fall. This is due primarily to the relative attractiveness of current mortgage rates compared to the applicant’s committed rate. The probability that a loan will not be funded within the terms of the mortgage loan commitment also is influenced by the source of the applications (retail, broker or correspondent channels), proximity to rate lock expiration, purpose for the loan (purchase or refinance), product type and the application approval status. The Company has developed fallout estimates using historical data that take into account all of the variables, as well as renegotiations of rate and point commitments that tend to occur when mortgage rates fall. These fallout estimates are used to estimate the number of loans that the Company expects to be funded within the terms of the loan commitments and are updated periodically to reflect the most current data.</w:t>
      </w:r>
    </w:p>
    <w:p>
      <w:pPr>
        <w:spacing w:after="0" w:line="19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estimates the fair value of a loan commitment based on the change in estimated fair value of the underlying mortgage loan, quoted mortgage-backed securities (“MBS”) prices, estimates of the fair value of mortgage servicing rights, and an estimate of the probability that the mortgage loan will fund within the terms of the commitment net of estimated commission expense. The change in fair value of the underlying mortgage loan is measured from the date the loan commitment is issued and is shown net of related expenses. Following issuance, the value of a loan commitment can be either positive or negative depending upon the change in value of the underlying mortgage loans. Fallout rates and other factors from the Company’s recent historical data are used to estimate the quantity and value of mortgage loans that will fund within the terms of the commitments.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6" w:name="page47"/>
    <w:bookmarkEnd w:id="46"/>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June 30, 2023 (Unaudited)</w:t>
      </w:r>
    </w:p>
    <w:p>
      <w:pPr>
        <w:spacing w:after="0" w:line="184" w:lineRule="exact"/>
        <w:rPr>
          <w:sz w:val="20"/>
          <w:szCs w:val="20"/>
          <w:color w:val="auto"/>
        </w:rPr>
      </w:pPr>
    </w:p>
    <w:p>
      <w:pPr>
        <w:ind w:right="8460" w:firstLine="8"/>
        <w:spacing w:after="0" w:line="563" w:lineRule="auto"/>
        <w:tabs>
          <w:tab w:leader="none" w:pos="195"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Derivative Instruments</w:t>
      </w:r>
      <w:r>
        <w:rPr>
          <w:rFonts w:ascii="Arial" w:cs="Arial" w:eastAsia="Arial" w:hAnsi="Arial"/>
          <w:sz w:val="16"/>
          <w:szCs w:val="16"/>
          <w:color w:val="auto"/>
        </w:rPr>
        <w:t xml:space="preserve"> (Continued) </w:t>
      </w:r>
      <w:r>
        <w:rPr>
          <w:rFonts w:ascii="Arial" w:cs="Arial" w:eastAsia="Arial" w:hAnsi="Arial"/>
          <w:sz w:val="16"/>
          <w:szCs w:val="16"/>
          <w:u w:val="single" w:color="auto"/>
          <w:color w:val="auto"/>
        </w:rPr>
        <w:t>Forward Sale Commitments</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utilizes forward commitments to economically hedge the price risk associated with its outstanding mortgage loan commitments. A forward commitment protects the Company from losses on sales of the loans arising from exercise of the loan commitments. Management expects these types of commitments will experience changes in fair value opposite to changes in fair value of the loan commitments, thereby reducing earnings volatility related to the recognition in earnings of changes in the values of the commitments.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net changes in fair value of loan commitments and forward sale commitments are shown in current earnings as a component of mortgage fee income on the consolidated statements of earnings. Mortgage banking derivatives are shown in other assets and other liabilities and accrued expenses on the condensed consolidated balance sheets.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Call and Put Options Derivatives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discontinued its use of selling “out of the money” call options on its equity securities and the use of selling put options as a source of revenue in the first quarter of 2023. The net changes in the fair value of call and put options are shown in current earnings as a component of realized gains (losses) on investments and other assets. Call and put options are shown in other liabilities and accrued expenses on the condensed consolidated balance sheets.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fair value and notional amounts of derivative instruments: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8"/>
                <w:szCs w:val="18"/>
                <w:color w:val="auto"/>
                <w:w w:val="87"/>
              </w:rPr>
              <w:t>June 30, 2023</w:t>
            </w: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8"/>
                <w:szCs w:val="18"/>
                <w:color w:val="auto"/>
                <w:w w:val="89"/>
              </w:rPr>
              <w:t>December 31, 2022</w:t>
            </w: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1480" w:type="dxa"/>
            <w:vAlign w:val="bottom"/>
          </w:tcPr>
          <w:p>
            <w:pPr>
              <w:spacing w:after="0"/>
              <w:rPr>
                <w:sz w:val="17"/>
                <w:szCs w:val="17"/>
                <w:color w:val="auto"/>
              </w:rPr>
            </w:pPr>
          </w:p>
        </w:tc>
        <w:tc>
          <w:tcPr>
            <w:tcW w:w="148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88"/>
              </w:rPr>
              <w:t>Balance Sheet</w:t>
            </w:r>
          </w:p>
        </w:tc>
        <w:tc>
          <w:tcPr>
            <w:tcW w:w="160" w:type="dxa"/>
            <w:vAlign w:val="bottom"/>
          </w:tcPr>
          <w:p>
            <w:pPr>
              <w:spacing w:after="0"/>
              <w:rPr>
                <w:sz w:val="17"/>
                <w:szCs w:val="17"/>
                <w:color w:val="auto"/>
              </w:rPr>
            </w:pPr>
          </w:p>
        </w:tc>
        <w:tc>
          <w:tcPr>
            <w:tcW w:w="1320" w:type="dxa"/>
            <w:vAlign w:val="bottom"/>
            <w:gridSpan w:val="2"/>
          </w:tcPr>
          <w:p>
            <w:pPr>
              <w:jc w:val="right"/>
              <w:ind w:right="600"/>
              <w:spacing w:after="0" w:line="201" w:lineRule="exact"/>
              <w:rPr>
                <w:sz w:val="20"/>
                <w:szCs w:val="20"/>
                <w:color w:val="auto"/>
              </w:rPr>
            </w:pPr>
            <w:r>
              <w:rPr>
                <w:rFonts w:ascii="Arial" w:cs="Arial" w:eastAsia="Arial" w:hAnsi="Arial"/>
                <w:sz w:val="18"/>
                <w:szCs w:val="18"/>
                <w:color w:val="auto"/>
              </w:rPr>
              <w:t>Notional</w:t>
            </w:r>
          </w:p>
        </w:tc>
        <w:tc>
          <w:tcPr>
            <w:tcW w:w="140" w:type="dxa"/>
            <w:vAlign w:val="bottom"/>
          </w:tcPr>
          <w:p>
            <w:pPr>
              <w:spacing w:after="0"/>
              <w:rPr>
                <w:sz w:val="17"/>
                <w:szCs w:val="17"/>
                <w:color w:val="auto"/>
              </w:rPr>
            </w:pPr>
          </w:p>
        </w:tc>
        <w:tc>
          <w:tcPr>
            <w:tcW w:w="1340" w:type="dxa"/>
            <w:vAlign w:val="bottom"/>
            <w:gridSpan w:val="2"/>
          </w:tcPr>
          <w:p>
            <w:pPr>
              <w:jc w:val="center"/>
              <w:ind w:right="480"/>
              <w:spacing w:after="0" w:line="201" w:lineRule="exact"/>
              <w:rPr>
                <w:sz w:val="20"/>
                <w:szCs w:val="20"/>
                <w:color w:val="auto"/>
              </w:rPr>
            </w:pPr>
            <w:r>
              <w:rPr>
                <w:rFonts w:ascii="Arial" w:cs="Arial" w:eastAsia="Arial" w:hAnsi="Arial"/>
                <w:sz w:val="18"/>
                <w:szCs w:val="18"/>
                <w:color w:val="auto"/>
                <w:w w:val="91"/>
              </w:rPr>
              <w:t>Asset Fair</w:t>
            </w:r>
          </w:p>
        </w:tc>
        <w:tc>
          <w:tcPr>
            <w:tcW w:w="100" w:type="dxa"/>
            <w:vAlign w:val="bottom"/>
          </w:tcPr>
          <w:p>
            <w:pPr>
              <w:spacing w:after="0"/>
              <w:rPr>
                <w:sz w:val="17"/>
                <w:szCs w:val="17"/>
                <w:color w:val="auto"/>
              </w:rPr>
            </w:pPr>
          </w:p>
        </w:tc>
        <w:tc>
          <w:tcPr>
            <w:tcW w:w="1040" w:type="dxa"/>
            <w:vAlign w:val="bottom"/>
          </w:tcPr>
          <w:p>
            <w:pPr>
              <w:jc w:val="center"/>
              <w:ind w:right="10"/>
              <w:spacing w:after="0" w:line="201" w:lineRule="exact"/>
              <w:rPr>
                <w:sz w:val="20"/>
                <w:szCs w:val="20"/>
                <w:color w:val="auto"/>
              </w:rPr>
            </w:pPr>
            <w:r>
              <w:rPr>
                <w:rFonts w:ascii="Arial" w:cs="Arial" w:eastAsia="Arial" w:hAnsi="Arial"/>
                <w:sz w:val="18"/>
                <w:szCs w:val="18"/>
                <w:color w:val="auto"/>
                <w:w w:val="97"/>
              </w:rPr>
              <w:t>Liability Fair</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Notional</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460"/>
              <w:spacing w:after="0" w:line="201" w:lineRule="exact"/>
              <w:rPr>
                <w:sz w:val="20"/>
                <w:szCs w:val="20"/>
                <w:color w:val="auto"/>
              </w:rPr>
            </w:pPr>
            <w:r>
              <w:rPr>
                <w:rFonts w:ascii="Arial" w:cs="Arial" w:eastAsia="Arial" w:hAnsi="Arial"/>
                <w:sz w:val="18"/>
                <w:szCs w:val="18"/>
                <w:color w:val="auto"/>
                <w:w w:val="91"/>
              </w:rPr>
              <w:t>Asset Fair</w:t>
            </w:r>
          </w:p>
        </w:tc>
        <w:tc>
          <w:tcPr>
            <w:tcW w:w="1000" w:type="dxa"/>
            <w:vAlign w:val="bottom"/>
            <w:gridSpan w:val="2"/>
          </w:tcPr>
          <w:p>
            <w:pPr>
              <w:ind w:left="20"/>
              <w:spacing w:after="0" w:line="201" w:lineRule="exact"/>
              <w:rPr>
                <w:sz w:val="20"/>
                <w:szCs w:val="20"/>
                <w:color w:val="auto"/>
              </w:rPr>
            </w:pPr>
            <w:r>
              <w:rPr>
                <w:rFonts w:ascii="Arial" w:cs="Arial" w:eastAsia="Arial" w:hAnsi="Arial"/>
                <w:sz w:val="18"/>
                <w:szCs w:val="18"/>
                <w:color w:val="auto"/>
                <w:w w:val="99"/>
              </w:rPr>
              <w:t>Liability Fair</w:t>
            </w:r>
          </w:p>
        </w:tc>
        <w:tc>
          <w:tcPr>
            <w:tcW w:w="100" w:type="dxa"/>
            <w:vAlign w:val="bottom"/>
          </w:tcPr>
          <w:p>
            <w:pPr>
              <w:spacing w:after="0"/>
              <w:rPr>
                <w:sz w:val="17"/>
                <w:szCs w:val="17"/>
                <w:color w:val="auto"/>
              </w:rPr>
            </w:pPr>
          </w:p>
        </w:tc>
      </w:tr>
      <w:tr>
        <w:trPr>
          <w:trHeight w:val="237"/>
        </w:trPr>
        <w:tc>
          <w:tcPr>
            <w:tcW w:w="1480" w:type="dxa"/>
            <w:vAlign w:val="bottom"/>
          </w:tcPr>
          <w:p>
            <w:pPr>
              <w:spacing w:after="0"/>
              <w:rPr>
                <w:sz w:val="20"/>
                <w:szCs w:val="20"/>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Location</w:t>
            </w:r>
          </w:p>
        </w:tc>
        <w:tc>
          <w:tcPr>
            <w:tcW w:w="160" w:type="dxa"/>
            <w:vAlign w:val="bottom"/>
          </w:tcPr>
          <w:p>
            <w:pPr>
              <w:spacing w:after="0"/>
              <w:rPr>
                <w:sz w:val="20"/>
                <w:szCs w:val="20"/>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Amount</w:t>
            </w:r>
          </w:p>
        </w:tc>
        <w:tc>
          <w:tcPr>
            <w:tcW w:w="140" w:type="dxa"/>
            <w:vAlign w:val="bottom"/>
          </w:tcPr>
          <w:p>
            <w:pPr>
              <w:spacing w:after="0"/>
              <w:rPr>
                <w:sz w:val="20"/>
                <w:szCs w:val="20"/>
                <w:color w:val="auto"/>
              </w:rPr>
            </w:pPr>
          </w:p>
        </w:tc>
        <w:tc>
          <w:tcPr>
            <w:tcW w:w="1340" w:type="dxa"/>
            <w:vAlign w:val="bottom"/>
            <w:gridSpan w:val="2"/>
          </w:tcPr>
          <w:p>
            <w:pPr>
              <w:jc w:val="center"/>
              <w:ind w:right="500"/>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20"/>
                <w:szCs w:val="20"/>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Value</w:t>
            </w:r>
          </w:p>
        </w:tc>
        <w:tc>
          <w:tcPr>
            <w:tcW w:w="14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Amount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ind w:left="180"/>
              <w:spacing w:after="0"/>
              <w:rPr>
                <w:sz w:val="20"/>
                <w:szCs w:val="20"/>
                <w:color w:val="auto"/>
              </w:rPr>
            </w:pPr>
            <w:r>
              <w:rPr>
                <w:rFonts w:ascii="Arial" w:cs="Arial" w:eastAsia="Arial" w:hAnsi="Arial"/>
                <w:sz w:val="18"/>
                <w:szCs w:val="18"/>
                <w:color w:val="auto"/>
              </w:rPr>
              <w:t>Value</w:t>
            </w:r>
          </w:p>
        </w:tc>
        <w:tc>
          <w:tcPr>
            <w:tcW w:w="180" w:type="dxa"/>
            <w:vAlign w:val="bottom"/>
          </w:tcPr>
          <w:p>
            <w:pPr>
              <w:spacing w:after="0"/>
              <w:rPr>
                <w:sz w:val="20"/>
                <w:szCs w:val="20"/>
                <w:color w:val="auto"/>
              </w:rPr>
            </w:pPr>
          </w:p>
        </w:tc>
        <w:tc>
          <w:tcPr>
            <w:tcW w:w="920" w:type="dxa"/>
            <w:vAlign w:val="bottom"/>
            <w:gridSpan w:val="2"/>
          </w:tcPr>
          <w:p>
            <w:pPr>
              <w:ind w:left="100"/>
              <w:spacing w:after="0"/>
              <w:rPr>
                <w:sz w:val="20"/>
                <w:szCs w:val="20"/>
                <w:color w:val="auto"/>
              </w:rPr>
            </w:pPr>
            <w:r>
              <w:rPr>
                <w:rFonts w:ascii="Arial" w:cs="Arial" w:eastAsia="Arial" w:hAnsi="Arial"/>
                <w:sz w:val="18"/>
                <w:szCs w:val="18"/>
                <w:color w:val="auto"/>
              </w:rPr>
              <w:t>Value</w:t>
            </w:r>
          </w:p>
        </w:tc>
      </w:tr>
      <w:tr>
        <w:trPr>
          <w:trHeight w:val="188"/>
        </w:trPr>
        <w:tc>
          <w:tcPr>
            <w:tcW w:w="148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Derivatives not</w:t>
            </w:r>
          </w:p>
        </w:tc>
        <w:tc>
          <w:tcPr>
            <w:tcW w:w="12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designated as</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hedging</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instruments:</w:t>
            </w:r>
          </w:p>
        </w:tc>
        <w:tc>
          <w:tcPr>
            <w:tcW w:w="1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02"/>
        </w:trPr>
        <w:tc>
          <w:tcPr>
            <w:tcW w:w="1480" w:type="dxa"/>
            <w:vAlign w:val="bottom"/>
          </w:tcPr>
          <w:p>
            <w:pPr>
              <w:spacing w:after="0" w:line="201" w:lineRule="exact"/>
              <w:rPr>
                <w:sz w:val="20"/>
                <w:szCs w:val="20"/>
                <w:color w:val="auto"/>
              </w:rPr>
            </w:pPr>
            <w:r>
              <w:rPr>
                <w:rFonts w:ascii="Arial" w:cs="Arial" w:eastAsia="Arial" w:hAnsi="Arial"/>
                <w:sz w:val="18"/>
                <w:szCs w:val="18"/>
                <w:color w:val="auto"/>
              </w:rPr>
              <w:t>Loan</w:t>
            </w:r>
          </w:p>
        </w:tc>
        <w:tc>
          <w:tcPr>
            <w:tcW w:w="148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86"/>
              </w:rPr>
              <w:t>Other assets and</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commitments</w:t>
            </w: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Other liabilities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344,410,019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5,949,181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2,715,734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453,371,808</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4,089,859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1,382,979</w:t>
            </w:r>
          </w:p>
        </w:tc>
      </w:tr>
      <w:tr>
        <w:trPr>
          <w:trHeight w:val="216"/>
        </w:trPr>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Call options</w:t>
            </w:r>
          </w:p>
        </w:tc>
        <w:tc>
          <w:tcPr>
            <w:tcW w:w="14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4"/>
              </w:rPr>
              <w:t>Other liabilities</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868,600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29,715</w:t>
            </w:r>
          </w:p>
        </w:tc>
      </w:tr>
      <w:tr>
        <w:trPr>
          <w:trHeight w:val="237"/>
        </w:trPr>
        <w:tc>
          <w:tcPr>
            <w:tcW w:w="1480" w:type="dxa"/>
            <w:vAlign w:val="bottom"/>
          </w:tcPr>
          <w:p>
            <w:pPr>
              <w:spacing w:after="0"/>
              <w:rPr>
                <w:sz w:val="20"/>
                <w:szCs w:val="20"/>
                <w:color w:val="auto"/>
              </w:rPr>
            </w:pPr>
            <w:r>
              <w:rPr>
                <w:rFonts w:ascii="Arial" w:cs="Arial" w:eastAsia="Arial" w:hAnsi="Arial"/>
                <w:sz w:val="18"/>
                <w:szCs w:val="18"/>
                <w:color w:val="auto"/>
              </w:rPr>
              <w:t>Put options</w:t>
            </w: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Other liabilities</w:t>
            </w:r>
          </w:p>
        </w:tc>
        <w:tc>
          <w:tcPr>
            <w:tcW w:w="160" w:type="dxa"/>
            <w:vAlign w:val="bottom"/>
          </w:tcPr>
          <w:p>
            <w:pPr>
              <w:spacing w:after="0"/>
              <w:rPr>
                <w:sz w:val="20"/>
                <w:szCs w:val="20"/>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654,500</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13,888</w:t>
            </w:r>
          </w:p>
        </w:tc>
      </w:tr>
      <w:tr>
        <w:trPr>
          <w:trHeight w:val="230"/>
        </w:trPr>
        <w:tc>
          <w:tcPr>
            <w:tcW w:w="1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344,410,019</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5,949,181</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2,715,734</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454,894,908</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7"/>
              </w:rPr>
              <w:t>4,089,859</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1,426,582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table below presents the gains (losses) on derivatives. There were no gains or losses reclassified from accumulated other comprehensive income into income or gains or losses recognized in income on derivatives ineffective portion, or any amounts excluded from effective testing.</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80" w:type="dxa"/>
            <w:vAlign w:val="bottom"/>
            <w:gridSpan w:val="6"/>
          </w:tcPr>
          <w:p>
            <w:pPr>
              <w:jc w:val="center"/>
              <w:ind w:right="601"/>
              <w:spacing w:after="0"/>
              <w:rPr>
                <w:sz w:val="20"/>
                <w:szCs w:val="20"/>
                <w:color w:val="auto"/>
              </w:rPr>
            </w:pPr>
            <w:r>
              <w:rPr>
                <w:rFonts w:ascii="Arial" w:cs="Arial" w:eastAsia="Arial" w:hAnsi="Arial"/>
                <w:sz w:val="18"/>
                <w:szCs w:val="18"/>
                <w:color w:val="auto"/>
                <w:w w:val="93"/>
              </w:rPr>
              <w:t>Net Amount Gain (Loss)</w:t>
            </w:r>
          </w:p>
        </w:tc>
        <w:tc>
          <w:tcPr>
            <w:tcW w:w="340" w:type="dxa"/>
            <w:vAlign w:val="bottom"/>
          </w:tcPr>
          <w:p>
            <w:pPr>
              <w:spacing w:after="0"/>
              <w:rPr>
                <w:sz w:val="19"/>
                <w:szCs w:val="19"/>
                <w:color w:val="auto"/>
              </w:rPr>
            </w:pPr>
          </w:p>
        </w:tc>
        <w:tc>
          <w:tcPr>
            <w:tcW w:w="3220" w:type="dxa"/>
            <w:vAlign w:val="bottom"/>
            <w:gridSpan w:val="5"/>
          </w:tcPr>
          <w:p>
            <w:pPr>
              <w:jc w:val="center"/>
              <w:ind w:right="460"/>
              <w:spacing w:after="0"/>
              <w:rPr>
                <w:sz w:val="20"/>
                <w:szCs w:val="20"/>
                <w:color w:val="auto"/>
              </w:rPr>
            </w:pPr>
            <w:r>
              <w:rPr>
                <w:rFonts w:ascii="Arial" w:cs="Arial" w:eastAsia="Arial" w:hAnsi="Arial"/>
                <w:sz w:val="18"/>
                <w:szCs w:val="18"/>
                <w:color w:val="auto"/>
                <w:w w:val="93"/>
              </w:rPr>
              <w:t>Net Amount Gain (Loss)</w:t>
            </w: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80" w:type="dxa"/>
            <w:vAlign w:val="bottom"/>
            <w:gridSpan w:val="6"/>
          </w:tcPr>
          <w:p>
            <w:pPr>
              <w:jc w:val="center"/>
              <w:ind w:right="601"/>
              <w:spacing w:after="0"/>
              <w:rPr>
                <w:sz w:val="20"/>
                <w:szCs w:val="20"/>
                <w:color w:val="auto"/>
              </w:rPr>
            </w:pPr>
            <w:r>
              <w:rPr>
                <w:rFonts w:ascii="Arial" w:cs="Arial" w:eastAsia="Arial" w:hAnsi="Arial"/>
                <w:sz w:val="18"/>
                <w:szCs w:val="18"/>
                <w:color w:val="auto"/>
                <w:w w:val="89"/>
              </w:rPr>
              <w:t>Three Months Ended June 30,</w:t>
            </w:r>
          </w:p>
        </w:tc>
        <w:tc>
          <w:tcPr>
            <w:tcW w:w="340" w:type="dxa"/>
            <w:vAlign w:val="bottom"/>
          </w:tcPr>
          <w:p>
            <w:pPr>
              <w:spacing w:after="0"/>
              <w:rPr>
                <w:sz w:val="20"/>
                <w:szCs w:val="20"/>
                <w:color w:val="auto"/>
              </w:rPr>
            </w:pPr>
          </w:p>
        </w:tc>
        <w:tc>
          <w:tcPr>
            <w:tcW w:w="3220" w:type="dxa"/>
            <w:vAlign w:val="bottom"/>
            <w:gridSpan w:val="5"/>
          </w:tcPr>
          <w:p>
            <w:pPr>
              <w:jc w:val="center"/>
              <w:ind w:right="440"/>
              <w:spacing w:after="0"/>
              <w:rPr>
                <w:sz w:val="20"/>
                <w:szCs w:val="20"/>
                <w:color w:val="auto"/>
              </w:rPr>
            </w:pPr>
            <w:r>
              <w:rPr>
                <w:rFonts w:ascii="Arial" w:cs="Arial" w:eastAsia="Arial" w:hAnsi="Arial"/>
                <w:sz w:val="18"/>
                <w:szCs w:val="18"/>
                <w:color w:val="auto"/>
                <w:w w:val="89"/>
              </w:rPr>
              <w:t>Six Months Ended June 30,</w:t>
            </w:r>
          </w:p>
        </w:tc>
        <w:tc>
          <w:tcPr>
            <w:tcW w:w="0" w:type="dxa"/>
            <w:vAlign w:val="bottom"/>
          </w:tcPr>
          <w:p>
            <w:pPr>
              <w:spacing w:after="0"/>
              <w:rPr>
                <w:sz w:val="1"/>
                <w:szCs w:val="1"/>
                <w:color w:val="auto"/>
              </w:rPr>
            </w:pPr>
          </w:p>
        </w:tc>
      </w:tr>
      <w:tr>
        <w:trPr>
          <w:trHeight w:val="237"/>
        </w:trPr>
        <w:tc>
          <w:tcPr>
            <w:tcW w:w="170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Derivative</w:t>
            </w:r>
          </w:p>
        </w:tc>
        <w:tc>
          <w:tcPr>
            <w:tcW w:w="220" w:type="dxa"/>
            <w:vAlign w:val="bottom"/>
            <w:tcBorders>
              <w:bottom w:val="single" w:sz="8" w:color="CCEEFF"/>
            </w:tcBorders>
          </w:tcPr>
          <w:p>
            <w:pPr>
              <w:spacing w:after="0"/>
              <w:rPr>
                <w:sz w:val="20"/>
                <w:szCs w:val="20"/>
                <w:color w:val="auto"/>
              </w:rPr>
            </w:pPr>
          </w:p>
        </w:tc>
        <w:tc>
          <w:tcPr>
            <w:tcW w:w="17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Classification</w:t>
            </w:r>
          </w:p>
        </w:tc>
        <w:tc>
          <w:tcPr>
            <w:tcW w:w="220" w:type="dxa"/>
            <w:vAlign w:val="bottom"/>
            <w:tcBorders>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2023</w:t>
            </w:r>
          </w:p>
        </w:tc>
        <w:tc>
          <w:tcPr>
            <w:tcW w:w="80" w:type="dxa"/>
            <w:vAlign w:val="bottom"/>
            <w:tcBorders>
              <w:top w:val="single" w:sz="8" w:color="auto"/>
              <w:bottom w:val="single" w:sz="8" w:color="CCEEFF"/>
            </w:tcBorders>
          </w:tcPr>
          <w:p>
            <w:pPr>
              <w:spacing w:after="0"/>
              <w:rPr>
                <w:sz w:val="20"/>
                <w:szCs w:val="20"/>
                <w:color w:val="auto"/>
              </w:rPr>
            </w:pPr>
          </w:p>
        </w:tc>
        <w:tc>
          <w:tcPr>
            <w:tcW w:w="26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2022</w:t>
            </w:r>
          </w:p>
        </w:tc>
        <w:tc>
          <w:tcPr>
            <w:tcW w:w="32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2023</w:t>
            </w:r>
          </w:p>
        </w:tc>
        <w:tc>
          <w:tcPr>
            <w:tcW w:w="32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Loan commitments</w:t>
            </w:r>
          </w:p>
        </w:tc>
        <w:tc>
          <w:tcPr>
            <w:tcW w:w="22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w w:val="99"/>
              </w:rPr>
              <w:t>Mortgage fee income</w:t>
            </w:r>
          </w:p>
        </w:tc>
        <w:tc>
          <w:tcPr>
            <w:tcW w:w="2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(151,382</w:t>
            </w:r>
          </w:p>
        </w:tc>
        <w:tc>
          <w:tcPr>
            <w:tcW w:w="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(2,247,244</w:t>
            </w:r>
          </w:p>
        </w:tc>
        <w:tc>
          <w:tcPr>
            <w:tcW w:w="32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526,570</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428,127</w:t>
            </w: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Gains on investments</w:t>
            </w: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Call and put options</w:t>
            </w: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 other assets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65,033</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49,963</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126,229</w:t>
            </w: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w w:val="89"/>
              </w:rPr>
              <w:t>44</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1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vMerge w:val="continue"/>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2" w:right="339" w:bottom="1440" w:gutter="0" w:footer="0" w:header="0"/>
        </w:sectPr>
      </w:pPr>
    </w:p>
    <w:bookmarkStart w:id="47" w:name="page48"/>
    <w:bookmarkEnd w:id="47"/>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June 30, 2023 (Unaudited)</w:t>
      </w:r>
    </w:p>
    <w:p>
      <w:pPr>
        <w:spacing w:after="0" w:line="184" w:lineRule="exact"/>
        <w:rPr>
          <w:sz w:val="20"/>
          <w:szCs w:val="20"/>
          <w:color w:val="auto"/>
        </w:rPr>
      </w:pPr>
    </w:p>
    <w:p>
      <w:pPr>
        <w:ind w:left="300" w:hanging="292"/>
        <w:spacing w:after="0"/>
        <w:tabs>
          <w:tab w:leader="none" w:pos="30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Reinsurance, Commitments and Contingencies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Reinsurance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follows the procedure of reinsuring risks in excess of a specified limit, which ranges from $25,000 to $100,000. The Company is liable for these amounts in the event such reinsurers are unable to pay their portion of the claims. The Company evaluates the financial condition of reinsurers and monitors the concentration of credit risk. The Company has also assumed insurance from other companies.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Loan Loss Settlements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Future loan losses can be extremely difficult to estimate. However, the Company believes that the Company’s reserve methodology and its current practice of property preservation allow it to estimate its potential losses on loans sold. See Note 4 to the condensed consolidated financial statements for additional information about the Company’s loan loss reserve.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Covenants for Mortgage Warehouse Lines of Credit</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through its subsidiary SecurityNational Mortgage, has a $100,000,000 line of credit with Wells Fargo Bank N.A. The agreement charges interest at the 1-Month SOFR rate plus 2.1% and expires on December 31, 2023 and will not be renewed as a result of the lender exiting the market place. SecurityNational Mortgage is required to comply with covenants for adjusted tangible net worth, unrestricted cash balance, the ratio of indebtedness to adjusted tangible net worth, and the liquidity overhead coverage ratio, and a quarterly gross profit of at least $1.00.</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through its subsidiary SecurityNational Mortgage, has a line of credit with Texas Capital Bank N.A. This agreement with the bank allows SecurityNational Mortgage to borrow up to $100,000,000 for the sole purpose of funding mortgage loans. The agreement charges interest at the 1-Month SOFR rate plus 2% and matures on November 9, 2023. The Company is required to comply with covenants for adjusted tangible net worth, unrestricted cash balance, and minimum combined pre-tax income (excluding any changes in the fair value of mortgage servicing rights) of at least $1.00 on a rolling four-quarter basis.</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through its subsidiary SecurityNational Mortgage, has a line of credit with Comerica Bank. This agreement with the bank allows SecurityNational Mortgage to borrow up to $75,000,000 for the sole purpose of funding mortgage loans. The agreement charges interest at the 1-Month SOFR rate plus 2.50% and expires on December 31, 2023 and will not be renewed as a result of the lender exiting the market place. The Company is required to comply with covenants for adjusted tangible net worth, unrestricted cash balance, and minimum combined pre-tax income (excluding any changes in the fair value of mortgage servicing rights) of at least $1.00 on a rolling twelve months.</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through its subsidiary SecurityNational Mortgage, has a line of credit with U.S Bank. This agreement with the bank allows SecurityNational Mortgage to borrow up to $25,000,000 for the sole purpose of funding mortgage loans. The agreement charges interest at 2.10% plus the greater of (i) 0%, and (ii) the one-month forward-looking term rate based on SOFR and matures on December 1, 2023. The Company is required to comply with covenants for adjusted tangible net worth, unrestricted cash balance, and minimum combined pre-tax income (excluding any changes in the fair value of mortgage servicing rights) of at least $1.00 on a rolling twelve months.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8" w:name="page49"/>
    <w:bookmarkEnd w:id="48"/>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June 30, 2023 (Unaudited)</w:t>
      </w:r>
    </w:p>
    <w:p>
      <w:pPr>
        <w:spacing w:after="0" w:line="184" w:lineRule="exact"/>
        <w:rPr>
          <w:sz w:val="20"/>
          <w:szCs w:val="20"/>
          <w:color w:val="auto"/>
        </w:rPr>
      </w:pPr>
    </w:p>
    <w:p>
      <w:pPr>
        <w:ind w:left="300" w:hanging="292"/>
        <w:spacing w:after="0"/>
        <w:tabs>
          <w:tab w:leader="none" w:pos="30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Reinsurance, Commitments and Contingencies</w:t>
      </w:r>
      <w:r>
        <w:rPr>
          <w:rFonts w:ascii="Arial" w:cs="Arial" w:eastAsia="Arial" w:hAnsi="Arial"/>
          <w:sz w:val="18"/>
          <w:szCs w:val="18"/>
          <w:color w:val="auto"/>
        </w:rPr>
        <w:t xml:space="preserve"> (Continued)</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agreements for warehouse lines include cross default provisions in that a covenant violation under one agreement constitutes a covenant violation under the other agreement. As of June 30, 2023, the Company was not in compliance with the net income covenant and has received or is in the process of receiving waivers from the warehouse banks. In the unlikely event the Company is required to repay the outstanding advances of approximately $7,100,000 on the warehouse line that has not provided a covenant waiver, the Company has sufficient cash and borrowing capacity on the warehouse lines that have provided covenant waivers to fund its origination activities. The Company has performed an internal analysis of its funding capacities of both internal and external sources and has determined that there are sufficient funds to continue its business model. The Company continues to negotiate other warehouse lines with other lenders.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Contingencies and Commitments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entered into commitments to fund construction and land development loans and has also provided financing for land acquisition and development. As of June 30, 2023, the Company’s commitments were approximately $170,804,000 for these loans, of which $124,975,445 had been funded. The Company will advance funds once the work has been completed and an independent inspection is made. The maximum loan commitment ranges between 50% and 80% of appraised value. The Company receives fees and interest for these loans and the interest rate is generally fixed 5.25% to 8.50% per annum. Maturities range between six and eighteen months.</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belongs to a captive insurance group for certain casualty insurance, worker compensation and liability programs. Insurance reserves are maintained relative to these programs. The level of exposure from catastrophic events is limited by the purchase of stop-loss and aggregate liability reinsurance coverage. When estimating the insurance liabilities and related reserves, the captive insurance management considers a number of factors, which include historical claims experience, demographic factors, severity factors and valuations provided by independent third-party actuaries. If actual claims or adverse development of loss reserves occurs and exceed these estimates, additional reserves may be required. The estimation process contains uncertainty since captive insurance management must use judgment to estimate the ultimate cost that will be incurred to settle reported claims and unreported claims for incidents incurred but not reported as of the balance sheet date.</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a defendant in various other legal actions arising from the normal conduct of business. Management believes that none of the actions, if adversely determined, will have a material effect on the Company’s financial position or results of operations. Based on management’s assessment and legal counsel’s representations concerning the likelihood of unfavorable outcomes, no amounts have been accrued for the above claims in the consolidated financial statements.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not a party to any other material legal proceedings outside the ordinary course of business or to any other legal proceedings, which, if adversely determined, would have a material adverse effect on its financial condition or results of operations.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9" w:name="page50"/>
    <w:bookmarkEnd w:id="49"/>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June 30, 2023 (Unaudited)</w:t>
      </w:r>
    </w:p>
    <w:p>
      <w:pPr>
        <w:spacing w:after="0" w:line="184" w:lineRule="exact"/>
        <w:rPr>
          <w:sz w:val="20"/>
          <w:szCs w:val="20"/>
          <w:color w:val="auto"/>
        </w:rPr>
      </w:pPr>
    </w:p>
    <w:p>
      <w:pPr>
        <w:ind w:left="280" w:hanging="272"/>
        <w:spacing w:after="0"/>
        <w:tabs>
          <w:tab w:leader="none" w:pos="28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Mortgage Servicing 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initially records these MSRs at fair value as discussed in Note 8.</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After being initially recorded at fair value, MSRs backed by mortgage loans are accounted for using the amortization method. Amortization expense is included in other expenses on the consolidated statements of earnings. MSR amortization is determined by amortizing the MSR balance in proportion to, and over the period of the estimated future net servicing income of the underlying financial assets.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periodically assesses MSRs for impairment. Impairment occurs when the current fair value of the MSR falls below the asset’s carrying value (carrying value is the amortized cost reduced by any related valuation allowance). If MSRs are impaired, the impairment is recognized in current-period earnings and the carrying value of the MSRs is adjusted through a valuation allowance.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 periodically reviews the various loan strata to determine whether the value of the MSRs in a given stratum is impaired and likely to recover. When management deems recovery of the value to be unlikely in the foreseeable future, a write-down of the cost of the MSRs for that stratum to its estimated recoverable value is charged to the valuation allowance.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The following table presents the MSR activity:</w:t>
            </w:r>
          </w:p>
        </w:tc>
        <w:tc>
          <w:tcPr>
            <w:tcW w:w="2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8"/>
        </w:trPr>
        <w:tc>
          <w:tcPr>
            <w:tcW w:w="5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60" w:type="dxa"/>
            <w:vAlign w:val="bottom"/>
            <w:gridSpan w:val="2"/>
          </w:tcPr>
          <w:p>
            <w:pPr>
              <w:jc w:val="right"/>
              <w:ind w:right="740"/>
              <w:spacing w:after="0"/>
              <w:rPr>
                <w:sz w:val="20"/>
                <w:szCs w:val="20"/>
                <w:color w:val="auto"/>
              </w:rPr>
            </w:pPr>
            <w:r>
              <w:rPr>
                <w:rFonts w:ascii="Arial" w:cs="Arial" w:eastAsia="Arial" w:hAnsi="Arial"/>
                <w:sz w:val="18"/>
                <w:szCs w:val="18"/>
                <w:color w:val="auto"/>
              </w:rPr>
              <w:t>As of June 30,</w:t>
            </w:r>
          </w:p>
        </w:tc>
        <w:tc>
          <w:tcPr>
            <w:tcW w:w="160" w:type="dxa"/>
            <w:vAlign w:val="bottom"/>
          </w:tcPr>
          <w:p>
            <w:pPr>
              <w:spacing w:after="0"/>
              <w:rPr>
                <w:sz w:val="24"/>
                <w:szCs w:val="24"/>
                <w:color w:val="auto"/>
              </w:rPr>
            </w:pPr>
          </w:p>
        </w:tc>
        <w:tc>
          <w:tcPr>
            <w:tcW w:w="184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As of December 31,</w:t>
            </w:r>
          </w:p>
        </w:tc>
      </w:tr>
      <w:tr>
        <w:trPr>
          <w:trHeight w:val="237"/>
        </w:trPr>
        <w:tc>
          <w:tcPr>
            <w:tcW w:w="58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2023</w:t>
            </w:r>
          </w:p>
        </w:tc>
        <w:tc>
          <w:tcPr>
            <w:tcW w:w="3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2022</w:t>
            </w:r>
          </w:p>
        </w:tc>
        <w:tc>
          <w:tcPr>
            <w:tcW w:w="80" w:type="dxa"/>
            <w:vAlign w:val="bottom"/>
            <w:tcBorders>
              <w:bottom w:val="single" w:sz="8" w:color="CCEEFF"/>
            </w:tcBorders>
          </w:tcPr>
          <w:p>
            <w:pPr>
              <w:spacing w:after="0"/>
              <w:rPr>
                <w:sz w:val="20"/>
                <w:szCs w:val="20"/>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Amortized cost:</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Balance before valuation allowance at beginning of year</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960" w:type="dxa"/>
            <w:vAlign w:val="bottom"/>
            <w:gridSpan w:val="2"/>
          </w:tcPr>
          <w:p>
            <w:pPr>
              <w:jc w:val="right"/>
              <w:ind w:right="300"/>
              <w:spacing w:after="0"/>
              <w:rPr>
                <w:sz w:val="20"/>
                <w:szCs w:val="20"/>
                <w:color w:val="auto"/>
              </w:rPr>
            </w:pPr>
            <w:r>
              <w:rPr>
                <w:rFonts w:ascii="Arial" w:cs="Arial" w:eastAsia="Arial" w:hAnsi="Arial"/>
                <w:sz w:val="18"/>
                <w:szCs w:val="18"/>
                <w:color w:val="auto"/>
              </w:rPr>
              <w:t>3,039,765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gridSpan w:val="2"/>
          </w:tcPr>
          <w:p>
            <w:pPr>
              <w:jc w:val="right"/>
              <w:ind w:right="80"/>
              <w:spacing w:after="0"/>
              <w:rPr>
                <w:sz w:val="20"/>
                <w:szCs w:val="20"/>
                <w:color w:val="auto"/>
              </w:rPr>
            </w:pPr>
            <w:r>
              <w:rPr>
                <w:rFonts w:ascii="Arial" w:cs="Arial" w:eastAsia="Arial" w:hAnsi="Arial"/>
                <w:sz w:val="18"/>
                <w:szCs w:val="18"/>
                <w:color w:val="auto"/>
              </w:rPr>
              <w:t>53,060,455</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MSR additions resulting from loan sales (1)</w:t>
            </w: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694,897</w:t>
            </w: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10,243,922</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Amortization (2)</w:t>
            </w:r>
          </w:p>
        </w:tc>
        <w:tc>
          <w:tcPr>
            <w:tcW w:w="280" w:type="dxa"/>
            <w:vAlign w:val="bottom"/>
          </w:tcPr>
          <w:p>
            <w:pPr>
              <w:spacing w:after="0"/>
              <w:rPr>
                <w:sz w:val="18"/>
                <w:szCs w:val="18"/>
                <w:color w:val="auto"/>
              </w:rPr>
            </w:pPr>
          </w:p>
        </w:tc>
        <w:tc>
          <w:tcPr>
            <w:tcW w:w="1960" w:type="dxa"/>
            <w:vAlign w:val="bottom"/>
            <w:gridSpan w:val="2"/>
          </w:tcPr>
          <w:p>
            <w:pPr>
              <w:jc w:val="right"/>
              <w:ind w:right="240"/>
              <w:spacing w:after="0"/>
              <w:rPr>
                <w:sz w:val="20"/>
                <w:szCs w:val="20"/>
                <w:color w:val="auto"/>
              </w:rPr>
            </w:pPr>
            <w:r>
              <w:rPr>
                <w:rFonts w:ascii="Arial" w:cs="Arial" w:eastAsia="Arial" w:hAnsi="Arial"/>
                <w:sz w:val="18"/>
                <w:szCs w:val="18"/>
                <w:color w:val="auto"/>
              </w:rPr>
              <w:t>(292,310)</w:t>
            </w:r>
          </w:p>
        </w:tc>
        <w:tc>
          <w:tcPr>
            <w:tcW w:w="160" w:type="dxa"/>
            <w:vAlign w:val="bottom"/>
          </w:tcPr>
          <w:p>
            <w:pPr>
              <w:spacing w:after="0"/>
              <w:rPr>
                <w:sz w:val="18"/>
                <w:szCs w:val="18"/>
                <w:color w:val="auto"/>
              </w:rPr>
            </w:pP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(9,078,706)</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Sale of MSRs</w:t>
            </w: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(51,185,906)</w:t>
            </w:r>
          </w:p>
        </w:tc>
      </w:tr>
      <w:tr>
        <w:trPr>
          <w:trHeight w:val="202"/>
        </w:trPr>
        <w:tc>
          <w:tcPr>
            <w:tcW w:w="5860" w:type="dxa"/>
            <w:vAlign w:val="bottom"/>
          </w:tcPr>
          <w:p>
            <w:pPr>
              <w:spacing w:after="0" w:line="201" w:lineRule="exact"/>
              <w:rPr>
                <w:sz w:val="20"/>
                <w:szCs w:val="20"/>
                <w:color w:val="auto"/>
              </w:rPr>
            </w:pPr>
            <w:r>
              <w:rPr>
                <w:rFonts w:ascii="Arial" w:cs="Arial" w:eastAsia="Arial" w:hAnsi="Arial"/>
                <w:sz w:val="18"/>
                <w:szCs w:val="18"/>
                <w:color w:val="auto"/>
              </w:rPr>
              <w:t>Application of valuation allowance to write down MSRs with other than</w:t>
            </w:r>
          </w:p>
        </w:tc>
        <w:tc>
          <w:tcPr>
            <w:tcW w:w="2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51"/>
        </w:trPr>
        <w:tc>
          <w:tcPr>
            <w:tcW w:w="5860" w:type="dxa"/>
            <w:vAlign w:val="bottom"/>
          </w:tcPr>
          <w:p>
            <w:pPr>
              <w:spacing w:after="0"/>
              <w:rPr>
                <w:sz w:val="20"/>
                <w:szCs w:val="20"/>
                <w:color w:val="auto"/>
              </w:rPr>
            </w:pPr>
            <w:r>
              <w:rPr>
                <w:rFonts w:ascii="Arial" w:cs="Arial" w:eastAsia="Arial" w:hAnsi="Arial"/>
                <w:sz w:val="18"/>
                <w:szCs w:val="18"/>
                <w:color w:val="auto"/>
              </w:rPr>
              <w:t>temporary impairment</w:t>
            </w:r>
          </w:p>
        </w:tc>
        <w:tc>
          <w:tcPr>
            <w:tcW w:w="280" w:type="dxa"/>
            <w:vAlign w:val="bottom"/>
          </w:tcPr>
          <w:p>
            <w:pPr>
              <w:spacing w:after="0"/>
              <w:rPr>
                <w:sz w:val="21"/>
                <w:szCs w:val="21"/>
                <w:color w:val="auto"/>
              </w:rPr>
            </w:pPr>
          </w:p>
        </w:tc>
        <w:tc>
          <w:tcPr>
            <w:tcW w:w="1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5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before valuation allowance at end of period</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3,442,352</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3,039,765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5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 for impairment of MSRs:</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Balance at beginning of year</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02"/>
        </w:trPr>
        <w:tc>
          <w:tcPr>
            <w:tcW w:w="5860" w:type="dxa"/>
            <w:vAlign w:val="bottom"/>
          </w:tcPr>
          <w:p>
            <w:pPr>
              <w:spacing w:after="0" w:line="201" w:lineRule="exact"/>
              <w:rPr>
                <w:sz w:val="20"/>
                <w:szCs w:val="20"/>
                <w:color w:val="auto"/>
              </w:rPr>
            </w:pPr>
            <w:r>
              <w:rPr>
                <w:rFonts w:ascii="Arial" w:cs="Arial" w:eastAsia="Arial" w:hAnsi="Arial"/>
                <w:sz w:val="18"/>
                <w:szCs w:val="18"/>
                <w:color w:val="auto"/>
              </w:rPr>
              <w:t>Application of valuation allowance to write down MSRs with other than</w:t>
            </w:r>
          </w:p>
        </w:tc>
        <w:tc>
          <w:tcPr>
            <w:tcW w:w="2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51"/>
        </w:trPr>
        <w:tc>
          <w:tcPr>
            <w:tcW w:w="5860" w:type="dxa"/>
            <w:vAlign w:val="bottom"/>
          </w:tcPr>
          <w:p>
            <w:pPr>
              <w:spacing w:after="0"/>
              <w:rPr>
                <w:sz w:val="20"/>
                <w:szCs w:val="20"/>
                <w:color w:val="auto"/>
              </w:rPr>
            </w:pPr>
            <w:r>
              <w:rPr>
                <w:rFonts w:ascii="Arial" w:cs="Arial" w:eastAsia="Arial" w:hAnsi="Arial"/>
                <w:sz w:val="18"/>
                <w:szCs w:val="18"/>
                <w:color w:val="auto"/>
              </w:rPr>
              <w:t>temporary impairment</w:t>
            </w:r>
          </w:p>
        </w:tc>
        <w:tc>
          <w:tcPr>
            <w:tcW w:w="280" w:type="dxa"/>
            <w:vAlign w:val="bottom"/>
          </w:tcPr>
          <w:p>
            <w:pPr>
              <w:spacing w:after="0"/>
              <w:rPr>
                <w:sz w:val="21"/>
                <w:szCs w:val="21"/>
                <w:color w:val="auto"/>
              </w:rPr>
            </w:pPr>
          </w:p>
        </w:tc>
        <w:tc>
          <w:tcPr>
            <w:tcW w:w="1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5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5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Mortgage servicing rights, net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3,442,352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3,039,765</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97"/>
        </w:trPr>
        <w:tc>
          <w:tcPr>
            <w:tcW w:w="5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3"/>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Estimated fair value of MSRs at end of period</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4,790,912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3,927,877</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color w:val="auto"/>
        </w:rPr>
        <w:t>(1)Included in mortgage fee income on the condensed consolidated statements of earnings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(2)Included in other expenses on the condensed consolidated statements of earnings</w:t>
      </w:r>
    </w:p>
    <w:p>
      <w:pPr>
        <w:spacing w:after="0" w:line="33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0" w:name="page51"/>
    <w:bookmarkEnd w:id="50"/>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June 30, 2023 (Unaudited)</w:t>
      </w:r>
    </w:p>
    <w:p>
      <w:pPr>
        <w:spacing w:after="0" w:line="184" w:lineRule="exact"/>
        <w:rPr>
          <w:sz w:val="20"/>
          <w:szCs w:val="20"/>
          <w:color w:val="auto"/>
        </w:rPr>
      </w:pPr>
    </w:p>
    <w:p>
      <w:pPr>
        <w:ind w:left="280" w:hanging="272"/>
        <w:spacing w:after="0"/>
        <w:tabs>
          <w:tab w:leader="none" w:pos="28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Mortgage Servicing Rights</w:t>
      </w:r>
      <w:r>
        <w:rPr>
          <w:rFonts w:ascii="Arial" w:cs="Arial" w:eastAsia="Arial" w:hAnsi="Arial"/>
          <w:sz w:val="18"/>
          <w:szCs w:val="18"/>
          <w:color w:val="auto"/>
        </w:rPr>
        <w:t xml:space="preserve"> (Continued)</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table below summarizes the Company’s estimate of future amortization of its existing MSRs carried at amortized cost. This projection was developed using the assumptions made by management in its June 30, 2023 valuation of MSRs. The assumptions underlying the following estimate will change as market conditions and portfolio composition and behavior change, causing both actual and projected amortization levels to change over time. Therefore, the following estimates will change in a manner and amount not presently determinable by management.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Arial" w:cs="Arial" w:eastAsia="Arial" w:hAnsi="Arial"/>
                <w:sz w:val="18"/>
                <w:szCs w:val="18"/>
                <w:color w:val="auto"/>
                <w:w w:val="94"/>
              </w:rPr>
              <w:t>Estimated MSR</w:t>
            </w:r>
          </w:p>
        </w:tc>
      </w:tr>
      <w:tr>
        <w:trPr>
          <w:trHeight w:val="237"/>
        </w:trPr>
        <w:tc>
          <w:tcPr>
            <w:tcW w:w="31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color w:val="auto"/>
              </w:rPr>
              <w:t>Amortization</w:t>
            </w:r>
          </w:p>
        </w:tc>
      </w:tr>
      <w:tr>
        <w:trPr>
          <w:trHeight w:val="216"/>
        </w:trPr>
        <w:tc>
          <w:tcPr>
            <w:tcW w:w="3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2023</w:t>
            </w:r>
          </w:p>
        </w:tc>
        <w:tc>
          <w:tcPr>
            <w:tcW w:w="2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363,261</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2024</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328,177</w:t>
            </w: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299,068</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2026</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266,962</w:t>
            </w: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238,917</w:t>
            </w:r>
          </w:p>
        </w:tc>
      </w:tr>
      <w:tr>
        <w:trPr>
          <w:trHeight w:val="223"/>
        </w:trPr>
        <w:tc>
          <w:tcPr>
            <w:tcW w:w="3140" w:type="dxa"/>
            <w:vAlign w:val="bottom"/>
          </w:tcPr>
          <w:p>
            <w:pPr>
              <w:spacing w:after="0"/>
              <w:rPr>
                <w:sz w:val="20"/>
                <w:szCs w:val="20"/>
                <w:color w:val="auto"/>
              </w:rPr>
            </w:pPr>
            <w:r>
              <w:rPr>
                <w:rFonts w:ascii="Arial" w:cs="Arial" w:eastAsia="Arial" w:hAnsi="Arial"/>
                <w:sz w:val="18"/>
                <w:szCs w:val="18"/>
                <w:color w:val="auto"/>
              </w:rPr>
              <w:t>Thereafter</w:t>
            </w:r>
          </w:p>
        </w:tc>
        <w:tc>
          <w:tcPr>
            <w:tcW w:w="2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1,945,967</w:t>
            </w:r>
          </w:p>
        </w:tc>
      </w:tr>
      <w:tr>
        <w:trPr>
          <w:trHeight w:val="216"/>
        </w:trPr>
        <w:tc>
          <w:tcPr>
            <w:tcW w:w="3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3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3,442,352</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1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collected the following contractual servicing fee income and late fee income as reported in other revenues on the condensed consolidated statement of earnings.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0" w:type="dxa"/>
            <w:vAlign w:val="bottom"/>
            <w:gridSpan w:val="5"/>
          </w:tcPr>
          <w:p>
            <w:pPr>
              <w:jc w:val="right"/>
              <w:ind w:right="940"/>
              <w:spacing w:after="0"/>
              <w:rPr>
                <w:sz w:val="20"/>
                <w:szCs w:val="20"/>
                <w:color w:val="auto"/>
              </w:rPr>
            </w:pPr>
            <w:r>
              <w:rPr>
                <w:rFonts w:ascii="Arial" w:cs="Arial" w:eastAsia="Arial" w:hAnsi="Arial"/>
                <w:sz w:val="18"/>
                <w:szCs w:val="18"/>
                <w:color w:val="auto"/>
              </w:rPr>
              <w:t>Three Months Ended</w:t>
            </w:r>
          </w:p>
        </w:tc>
        <w:tc>
          <w:tcPr>
            <w:tcW w:w="260" w:type="dxa"/>
            <w:vAlign w:val="bottom"/>
          </w:tcPr>
          <w:p>
            <w:pPr>
              <w:spacing w:after="0"/>
              <w:rPr>
                <w:sz w:val="18"/>
                <w:szCs w:val="18"/>
                <w:color w:val="auto"/>
              </w:rPr>
            </w:pPr>
          </w:p>
        </w:tc>
        <w:tc>
          <w:tcPr>
            <w:tcW w:w="2520" w:type="dxa"/>
            <w:vAlign w:val="bottom"/>
            <w:gridSpan w:val="5"/>
          </w:tcPr>
          <w:p>
            <w:pPr>
              <w:ind w:left="400"/>
              <w:spacing w:after="0"/>
              <w:rPr>
                <w:sz w:val="20"/>
                <w:szCs w:val="20"/>
                <w:color w:val="auto"/>
              </w:rPr>
            </w:pPr>
            <w:r>
              <w:rPr>
                <w:rFonts w:ascii="Arial" w:cs="Arial" w:eastAsia="Arial" w:hAnsi="Arial"/>
                <w:sz w:val="18"/>
                <w:szCs w:val="18"/>
                <w:color w:val="auto"/>
              </w:rPr>
              <w:t>Six Months Ended</w:t>
            </w:r>
          </w:p>
        </w:tc>
      </w:tr>
      <w:tr>
        <w:trPr>
          <w:trHeight w:val="237"/>
        </w:trPr>
        <w:tc>
          <w:tcPr>
            <w:tcW w:w="4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8"/>
                <w:szCs w:val="18"/>
                <w:color w:val="auto"/>
              </w:rPr>
              <w:t>June 30,</w:t>
            </w:r>
          </w:p>
        </w:tc>
        <w:tc>
          <w:tcPr>
            <w:tcW w:w="94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rPr>
              <w:t>June 30,</w:t>
            </w: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2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2023</w:t>
            </w:r>
          </w:p>
        </w:tc>
        <w:tc>
          <w:tcPr>
            <w:tcW w:w="3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2022</w:t>
            </w:r>
          </w:p>
        </w:tc>
        <w:tc>
          <w:tcPr>
            <w:tcW w:w="3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2023</w:t>
            </w:r>
          </w:p>
        </w:tc>
        <w:tc>
          <w:tcPr>
            <w:tcW w:w="2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2022</w:t>
            </w:r>
          </w:p>
        </w:tc>
        <w:tc>
          <w:tcPr>
            <w:tcW w:w="80" w:type="dxa"/>
            <w:vAlign w:val="bottom"/>
            <w:tcBorders>
              <w:bottom w:val="single" w:sz="8" w:color="CCEEFF"/>
            </w:tcBorders>
          </w:tcPr>
          <w:p>
            <w:pPr>
              <w:spacing w:after="0"/>
              <w:rPr>
                <w:sz w:val="19"/>
                <w:szCs w:val="19"/>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Contractual servicing fees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233,218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4,694,969</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643,618</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9,201,229</w:t>
            </w:r>
          </w:p>
        </w:tc>
        <w:tc>
          <w:tcPr>
            <w:tcW w:w="80" w:type="dxa"/>
            <w:vAlign w:val="bottom"/>
            <w:shd w:val="clear" w:color="auto" w:fill="CCEEFF"/>
          </w:tcPr>
          <w:p>
            <w:pPr>
              <w:spacing w:after="0"/>
              <w:rPr>
                <w:sz w:val="18"/>
                <w:szCs w:val="18"/>
                <w:color w:val="auto"/>
              </w:rPr>
            </w:pPr>
          </w:p>
        </w:tc>
      </w:tr>
      <w:tr>
        <w:trPr>
          <w:trHeight w:val="223"/>
        </w:trPr>
        <w:tc>
          <w:tcPr>
            <w:tcW w:w="4260" w:type="dxa"/>
            <w:vAlign w:val="bottom"/>
          </w:tcPr>
          <w:p>
            <w:pPr>
              <w:spacing w:after="0"/>
              <w:rPr>
                <w:sz w:val="20"/>
                <w:szCs w:val="20"/>
                <w:color w:val="auto"/>
              </w:rPr>
            </w:pPr>
            <w:r>
              <w:rPr>
                <w:rFonts w:ascii="Arial" w:cs="Arial" w:eastAsia="Arial" w:hAnsi="Arial"/>
                <w:sz w:val="18"/>
                <w:szCs w:val="18"/>
                <w:color w:val="auto"/>
              </w:rPr>
              <w:t>Late fees</w:t>
            </w:r>
          </w:p>
        </w:tc>
        <w:tc>
          <w:tcPr>
            <w:tcW w:w="26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14,008</w:t>
            </w:r>
          </w:p>
        </w:tc>
        <w:tc>
          <w:tcPr>
            <w:tcW w:w="280" w:type="dxa"/>
            <w:vAlign w:val="bottom"/>
          </w:tcPr>
          <w:p>
            <w:pPr>
              <w:spacing w:after="0"/>
              <w:rPr>
                <w:sz w:val="19"/>
                <w:szCs w:val="19"/>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81,597</w:t>
            </w:r>
          </w:p>
        </w:tc>
        <w:tc>
          <w:tcPr>
            <w:tcW w:w="26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63,321</w:t>
            </w:r>
          </w:p>
        </w:tc>
        <w:tc>
          <w:tcPr>
            <w:tcW w:w="30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181,635</w:t>
            </w:r>
          </w:p>
        </w:tc>
      </w:tr>
      <w:tr>
        <w:trPr>
          <w:trHeight w:val="216"/>
        </w:trPr>
        <w:tc>
          <w:tcPr>
            <w:tcW w:w="4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247,226</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4,776,566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706,939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9,382,864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80" w:type="dxa"/>
            <w:vAlign w:val="bottom"/>
            <w:gridSpan w:val="8"/>
          </w:tcPr>
          <w:p>
            <w:pPr>
              <w:spacing w:after="0"/>
              <w:rPr>
                <w:sz w:val="20"/>
                <w:szCs w:val="20"/>
                <w:color w:val="auto"/>
              </w:rPr>
            </w:pPr>
            <w:r>
              <w:rPr>
                <w:rFonts w:ascii="Arial" w:cs="Arial" w:eastAsia="Arial" w:hAnsi="Arial"/>
                <w:sz w:val="18"/>
                <w:szCs w:val="18"/>
                <w:color w:val="auto"/>
                <w:w w:val="99"/>
              </w:rPr>
              <w:t>The following is a summary of the unpaid principal balances (“UPB”) of the servicing portfolio.</w:t>
            </w: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8"/>
        </w:trPr>
        <w:tc>
          <w:tcPr>
            <w:tcW w:w="4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20" w:type="dxa"/>
            <w:vAlign w:val="bottom"/>
            <w:gridSpan w:val="4"/>
          </w:tcPr>
          <w:p>
            <w:pPr>
              <w:jc w:val="center"/>
              <w:ind w:right="460"/>
              <w:spacing w:after="0"/>
              <w:rPr>
                <w:sz w:val="20"/>
                <w:szCs w:val="20"/>
                <w:color w:val="auto"/>
              </w:rPr>
            </w:pPr>
            <w:r>
              <w:rPr>
                <w:rFonts w:ascii="Arial" w:cs="Arial" w:eastAsia="Arial" w:hAnsi="Arial"/>
                <w:sz w:val="18"/>
                <w:szCs w:val="18"/>
                <w:color w:val="auto"/>
                <w:w w:val="90"/>
              </w:rPr>
              <w:t>As of June 30,</w:t>
            </w:r>
          </w:p>
        </w:tc>
        <w:tc>
          <w:tcPr>
            <w:tcW w:w="1600" w:type="dxa"/>
            <w:vAlign w:val="bottom"/>
            <w:gridSpan w:val="3"/>
          </w:tcPr>
          <w:p>
            <w:pPr>
              <w:jc w:val="right"/>
              <w:ind w:right="120"/>
              <w:spacing w:after="0"/>
              <w:rPr>
                <w:sz w:val="20"/>
                <w:szCs w:val="20"/>
                <w:color w:val="auto"/>
              </w:rPr>
            </w:pPr>
            <w:r>
              <w:rPr>
                <w:rFonts w:ascii="Arial" w:cs="Arial" w:eastAsia="Arial" w:hAnsi="Arial"/>
                <w:sz w:val="18"/>
                <w:szCs w:val="18"/>
                <w:color w:val="auto"/>
                <w:w w:val="91"/>
              </w:rPr>
              <w:t>As of December 31,</w:t>
            </w:r>
          </w:p>
        </w:tc>
      </w:tr>
      <w:tr>
        <w:trPr>
          <w:trHeight w:val="237"/>
        </w:trPr>
        <w:tc>
          <w:tcPr>
            <w:tcW w:w="4320" w:type="dxa"/>
            <w:vAlign w:val="bottom"/>
            <w:tcBorders>
              <w:bottom w:val="single" w:sz="8" w:color="CCEEFF"/>
            </w:tcBorders>
          </w:tcPr>
          <w:p>
            <w:pPr>
              <w:spacing w:after="0"/>
              <w:rPr>
                <w:sz w:val="20"/>
                <w:szCs w:val="20"/>
                <w:color w:val="auto"/>
              </w:rPr>
            </w:pPr>
          </w:p>
        </w:tc>
        <w:tc>
          <w:tcPr>
            <w:tcW w:w="12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ind w:right="490"/>
              <w:spacing w:after="0"/>
              <w:rPr>
                <w:sz w:val="20"/>
                <w:szCs w:val="20"/>
                <w:color w:val="auto"/>
              </w:rPr>
            </w:pPr>
            <w:r>
              <w:rPr>
                <w:rFonts w:ascii="Arial" w:cs="Arial" w:eastAsia="Arial" w:hAnsi="Arial"/>
                <w:sz w:val="18"/>
                <w:szCs w:val="18"/>
                <w:color w:val="auto"/>
              </w:rPr>
              <w:t>2023</w:t>
            </w:r>
          </w:p>
        </w:tc>
        <w:tc>
          <w:tcPr>
            <w:tcW w:w="2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c>
          <w:tcPr>
            <w:tcW w:w="80" w:type="dxa"/>
            <w:vAlign w:val="bottom"/>
            <w:tcBorders>
              <w:bottom w:val="single" w:sz="8" w:color="CCEEFF"/>
            </w:tcBorders>
          </w:tcPr>
          <w:p>
            <w:pPr>
              <w:spacing w:after="0"/>
              <w:rPr>
                <w:sz w:val="20"/>
                <w:szCs w:val="20"/>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Servicing UPB</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87"/>
              </w:rPr>
              <w:t>403,651,388</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8"/>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360,023,384</w:t>
            </w:r>
          </w:p>
        </w:tc>
        <w:tc>
          <w:tcPr>
            <w:tcW w:w="80" w:type="dxa"/>
            <w:vAlign w:val="bottom"/>
            <w:shd w:val="clear" w:color="auto" w:fill="CCEEFF"/>
          </w:tcPr>
          <w:p>
            <w:pPr>
              <w:spacing w:after="0"/>
              <w:rPr>
                <w:sz w:val="18"/>
                <w:szCs w:val="18"/>
                <w:color w:val="auto"/>
              </w:rPr>
            </w:pPr>
          </w:p>
        </w:tc>
      </w:tr>
      <w:tr>
        <w:trPr>
          <w:trHeight w:val="432"/>
        </w:trPr>
        <w:tc>
          <w:tcPr>
            <w:tcW w:w="5760" w:type="dxa"/>
            <w:vAlign w:val="bottom"/>
            <w:gridSpan w:val="4"/>
          </w:tcPr>
          <w:p>
            <w:pPr>
              <w:spacing w:after="0"/>
              <w:rPr>
                <w:sz w:val="20"/>
                <w:szCs w:val="20"/>
                <w:color w:val="auto"/>
              </w:rPr>
            </w:pPr>
            <w:r>
              <w:rPr>
                <w:rFonts w:ascii="Arial" w:cs="Arial" w:eastAsia="Arial" w:hAnsi="Arial"/>
                <w:sz w:val="18"/>
                <w:szCs w:val="18"/>
                <w:color w:val="auto"/>
              </w:rPr>
              <w:t>The following key assumptions were used in determining MSR value:</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8"/>
        </w:trPr>
        <w:tc>
          <w:tcPr>
            <w:tcW w:w="4320" w:type="dxa"/>
            <w:vAlign w:val="bottom"/>
          </w:tcPr>
          <w:p>
            <w:pPr>
              <w:spacing w:after="0"/>
              <w:rPr>
                <w:sz w:val="24"/>
                <w:szCs w:val="24"/>
                <w:color w:val="auto"/>
              </w:rPr>
            </w:pPr>
          </w:p>
        </w:tc>
        <w:tc>
          <w:tcPr>
            <w:tcW w:w="1440" w:type="dxa"/>
            <w:vAlign w:val="bottom"/>
            <w:gridSpan w:val="3"/>
          </w:tcPr>
          <w:p>
            <w:pPr>
              <w:jc w:val="center"/>
              <w:ind w:right="60"/>
              <w:spacing w:after="0"/>
              <w:rPr>
                <w:sz w:val="20"/>
                <w:szCs w:val="20"/>
                <w:color w:val="auto"/>
              </w:rPr>
            </w:pPr>
            <w:r>
              <w:rPr>
                <w:rFonts w:ascii="Arial" w:cs="Arial" w:eastAsia="Arial" w:hAnsi="Arial"/>
                <w:sz w:val="18"/>
                <w:szCs w:val="18"/>
                <w:color w:val="auto"/>
                <w:w w:val="88"/>
              </w:rPr>
              <w:t>Prepayment</w:t>
            </w:r>
          </w:p>
        </w:tc>
        <w:tc>
          <w:tcPr>
            <w:tcW w:w="220" w:type="dxa"/>
            <w:vAlign w:val="bottom"/>
          </w:tcPr>
          <w:p>
            <w:pPr>
              <w:spacing w:after="0"/>
              <w:rPr>
                <w:sz w:val="24"/>
                <w:szCs w:val="24"/>
                <w:color w:val="auto"/>
              </w:rPr>
            </w:pPr>
          </w:p>
        </w:tc>
        <w:tc>
          <w:tcPr>
            <w:tcW w:w="1400" w:type="dxa"/>
            <w:vAlign w:val="bottom"/>
            <w:gridSpan w:val="3"/>
          </w:tcPr>
          <w:p>
            <w:pPr>
              <w:ind w:left="360"/>
              <w:spacing w:after="0"/>
              <w:rPr>
                <w:sz w:val="20"/>
                <w:szCs w:val="20"/>
                <w:color w:val="auto"/>
              </w:rPr>
            </w:pPr>
            <w:r>
              <w:rPr>
                <w:rFonts w:ascii="Arial" w:cs="Arial" w:eastAsia="Arial" w:hAnsi="Arial"/>
                <w:sz w:val="18"/>
                <w:szCs w:val="18"/>
                <w:color w:val="auto"/>
              </w:rPr>
              <w:t>Average</w:t>
            </w:r>
          </w:p>
        </w:tc>
        <w:tc>
          <w:tcPr>
            <w:tcW w:w="180" w:type="dxa"/>
            <w:vAlign w:val="bottom"/>
          </w:tcPr>
          <w:p>
            <w:pPr>
              <w:spacing w:after="0"/>
              <w:rPr>
                <w:sz w:val="24"/>
                <w:szCs w:val="24"/>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Discount</w:t>
            </w:r>
          </w:p>
        </w:tc>
      </w:tr>
      <w:tr>
        <w:trPr>
          <w:trHeight w:val="237"/>
        </w:trPr>
        <w:tc>
          <w:tcPr>
            <w:tcW w:w="4320" w:type="dxa"/>
            <w:vAlign w:val="bottom"/>
          </w:tcPr>
          <w:p>
            <w:pPr>
              <w:spacing w:after="0"/>
              <w:rPr>
                <w:sz w:val="20"/>
                <w:szCs w:val="20"/>
                <w:color w:val="auto"/>
              </w:rPr>
            </w:pPr>
          </w:p>
        </w:tc>
        <w:tc>
          <w:tcPr>
            <w:tcW w:w="1440" w:type="dxa"/>
            <w:vAlign w:val="bottom"/>
            <w:gridSpan w:val="3"/>
          </w:tcPr>
          <w:p>
            <w:pPr>
              <w:jc w:val="center"/>
              <w:ind w:right="60"/>
              <w:spacing w:after="0"/>
              <w:rPr>
                <w:sz w:val="20"/>
                <w:szCs w:val="20"/>
                <w:color w:val="auto"/>
              </w:rPr>
            </w:pPr>
            <w:r>
              <w:rPr>
                <w:rFonts w:ascii="Arial" w:cs="Arial" w:eastAsia="Arial" w:hAnsi="Arial"/>
                <w:sz w:val="18"/>
                <w:szCs w:val="18"/>
                <w:color w:val="auto"/>
                <w:w w:val="81"/>
              </w:rPr>
              <w:t>Speeds</w:t>
            </w:r>
          </w:p>
        </w:tc>
        <w:tc>
          <w:tcPr>
            <w:tcW w:w="220" w:type="dxa"/>
            <w:vAlign w:val="bottom"/>
          </w:tcPr>
          <w:p>
            <w:pPr>
              <w:spacing w:after="0"/>
              <w:rPr>
                <w:sz w:val="20"/>
                <w:szCs w:val="20"/>
                <w:color w:val="auto"/>
              </w:rPr>
            </w:pPr>
          </w:p>
        </w:tc>
        <w:tc>
          <w:tcPr>
            <w:tcW w:w="1400" w:type="dxa"/>
            <w:vAlign w:val="bottom"/>
            <w:gridSpan w:val="3"/>
          </w:tcPr>
          <w:p>
            <w:pPr>
              <w:ind w:left="240"/>
              <w:spacing w:after="0"/>
              <w:rPr>
                <w:sz w:val="20"/>
                <w:szCs w:val="20"/>
                <w:color w:val="auto"/>
              </w:rPr>
            </w:pPr>
            <w:r>
              <w:rPr>
                <w:rFonts w:ascii="Arial" w:cs="Arial" w:eastAsia="Arial" w:hAnsi="Arial"/>
                <w:sz w:val="18"/>
                <w:szCs w:val="18"/>
                <w:color w:val="auto"/>
              </w:rPr>
              <w:t>Life (Years)</w:t>
            </w:r>
          </w:p>
        </w:tc>
        <w:tc>
          <w:tcPr>
            <w:tcW w:w="180" w:type="dxa"/>
            <w:vAlign w:val="bottom"/>
          </w:tcPr>
          <w:p>
            <w:pPr>
              <w:spacing w:after="0"/>
              <w:rPr>
                <w:sz w:val="20"/>
                <w:szCs w:val="20"/>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Rate</w:t>
            </w:r>
          </w:p>
        </w:tc>
      </w:tr>
      <w:tr>
        <w:trPr>
          <w:trHeight w:val="216"/>
        </w:trPr>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June 30, 2023</w:t>
            </w:r>
          </w:p>
        </w:tc>
        <w:tc>
          <w:tcPr>
            <w:tcW w:w="13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December 31, 2022</w:t>
            </w: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8.12</w:t>
            </w:r>
          </w:p>
        </w:tc>
        <w:tc>
          <w:tcPr>
            <w:tcW w:w="1620" w:type="dxa"/>
            <w:vAlign w:val="bottom"/>
            <w:gridSpan w:val="4"/>
          </w:tcPr>
          <w:p>
            <w:pPr>
              <w:jc w:val="right"/>
              <w:ind w:right="60"/>
              <w:spacing w:after="0"/>
              <w:rPr>
                <w:sz w:val="20"/>
                <w:szCs w:val="20"/>
                <w:color w:val="auto"/>
              </w:rPr>
            </w:pPr>
            <w:r>
              <w:rPr>
                <w:rFonts w:ascii="Arial" w:cs="Arial" w:eastAsia="Arial" w:hAnsi="Arial"/>
                <w:sz w:val="18"/>
                <w:szCs w:val="18"/>
                <w:color w:val="auto"/>
              </w:rPr>
              <w:t>8.49</w:t>
            </w:r>
          </w:p>
        </w:tc>
        <w:tc>
          <w:tcPr>
            <w:tcW w:w="180" w:type="dxa"/>
            <w:vAlign w:val="bottom"/>
          </w:tcPr>
          <w:p>
            <w:pPr>
              <w:spacing w:after="0"/>
              <w:rPr>
                <w:sz w:val="20"/>
                <w:szCs w:val="20"/>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11.95</w:t>
            </w:r>
          </w:p>
        </w:tc>
      </w:tr>
    </w:tbl>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31, 2022, the Company sold certain of its MSRs. The MSRs related to mortgage loans previously originated by the Company in aggregate unpaid principal amount of approximately $7.02 billion. As a result of the sale, the book value of the Company’s MSRs decreased $51,185,906 and generated a gain of $34,051,938 included in mortgage fee income on the consolidated statements of earnings. Substantially all of the consideration was received by the Company with the remainder subject to certain holdbacks during transfer of the MSRs. The Company completed the physical transfer of files prior to its deadline. The holdbacks have been received in 2023.</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1" w:name="page52"/>
    <w:bookmarkEnd w:id="51"/>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June 30, 2023 (Unaudited)</w:t>
      </w:r>
    </w:p>
    <w:p>
      <w:pPr>
        <w:spacing w:after="0" w:line="184" w:lineRule="exact"/>
        <w:rPr>
          <w:sz w:val="20"/>
          <w:szCs w:val="20"/>
          <w:color w:val="auto"/>
        </w:rPr>
      </w:pPr>
    </w:p>
    <w:p>
      <w:pPr>
        <w:ind w:left="300" w:hanging="292"/>
        <w:spacing w:after="0"/>
        <w:tabs>
          <w:tab w:leader="none" w:pos="30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overall effective tax rate for the three month periods ended June 30, 2023 and 2022 was 22.0% and 24.4%, respectively, which resulted in a provision for income taxes of $1,796,627 and $1,155,397, respectively, and for the six month periods ended June 30, 2023 and 2022 was 22.0% and 25.8%, respectively, which resulted in a provision for income taxes of $2,141,343 and $2,370,195, respectively The Company’s effective tax rate differs from the U.S. federal statutory rate of 21% due to its benefit for state income taxes, along with certain permanent tax adjustments such as meals and entertainment and stock-based compensation. The decrease in the effective tax rate when compared to the prior year is primarily due to the Company’s state income tax provision.</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Interim income taxes are based on an estimated annualized effective tax rate applied to the respective quarterly periods, adjusted for discrete tax items in the period in which they occur. Although the Company believes its tax estimates are reasonable, the Company can make no assurance that the final tax outcome of these matters will not be different from that which it has reflected in its historical income tax provisions and accruals.</w:t>
      </w:r>
    </w:p>
    <w:p>
      <w:pPr>
        <w:spacing w:after="0" w:line="165" w:lineRule="exact"/>
        <w:rPr>
          <w:sz w:val="20"/>
          <w:szCs w:val="20"/>
          <w:color w:val="auto"/>
        </w:rPr>
      </w:pPr>
    </w:p>
    <w:p>
      <w:pPr>
        <w:ind w:left="300" w:hanging="292"/>
        <w:spacing w:after="0"/>
        <w:tabs>
          <w:tab w:leader="none" w:pos="30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Revenues from Contracts with Customers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Company reports revenues from contracts with customers pursuant to ASC No.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Performance Obligations and Contract Balances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cemetery and mortuary segment sells a variety of goods and services to customers in both at-need and pre-need situations. Due to the timing of the fulfillment of the obligation, revenue is deferred until that obligation is fulfilled.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Company’s three types of future obligations are as follows: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u w:val="single" w:color="auto"/>
          <w:color w:val="auto"/>
        </w:rPr>
        <w:t>Pre-need Merchandise and Service Revenue</w:t>
      </w:r>
      <w:r>
        <w:rPr>
          <w:rFonts w:ascii="Arial" w:cs="Arial" w:eastAsia="Arial" w:hAnsi="Arial"/>
          <w:sz w:val="17"/>
          <w:szCs w:val="17"/>
          <w:color w:val="auto"/>
        </w:rPr>
        <w:t>: All pre-need merchandise and service revenue is deferred, and the funds are placed in trust until the need</w:t>
      </w:r>
      <w:r>
        <w:rPr>
          <w:rFonts w:ascii="Arial" w:cs="Arial" w:eastAsia="Arial" w:hAnsi="Arial"/>
          <w:sz w:val="17"/>
          <w:szCs w:val="17"/>
          <w:i w:val="1"/>
          <w:iCs w:val="1"/>
          <w:color w:val="auto"/>
        </w:rPr>
        <w:t xml:space="preserve"> </w:t>
      </w:r>
      <w:r>
        <w:rPr>
          <w:rFonts w:ascii="Arial" w:cs="Arial" w:eastAsia="Arial" w:hAnsi="Arial"/>
          <w:sz w:val="17"/>
          <w:szCs w:val="17"/>
          <w:color w:val="auto"/>
        </w:rPr>
        <w:t>arises, the merchandise is received or the service is performed. The trust is then relieved, and the revenue and commissions are recognized.</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u w:val="single" w:color="auto"/>
          <w:color w:val="auto"/>
        </w:rPr>
        <w:t>At-need Specialty Merchandise Revenue</w:t>
      </w:r>
      <w:r>
        <w:rPr>
          <w:rFonts w:ascii="Arial" w:cs="Arial" w:eastAsia="Arial" w:hAnsi="Arial"/>
          <w:sz w:val="18"/>
          <w:szCs w:val="18"/>
          <w:color w:val="auto"/>
        </w:rPr>
        <w:t>: At-need specialty merchandise revenue consists of customizable merchandise ordered from a manufacturer such</w:t>
      </w:r>
      <w:r>
        <w:rPr>
          <w:rFonts w:ascii="Arial" w:cs="Arial" w:eastAsia="Arial" w:hAnsi="Arial"/>
          <w:sz w:val="18"/>
          <w:szCs w:val="18"/>
          <w:i w:val="1"/>
          <w:iCs w:val="1"/>
          <w:color w:val="auto"/>
        </w:rPr>
        <w:t xml:space="preserve"> </w:t>
      </w:r>
      <w:r>
        <w:rPr>
          <w:rFonts w:ascii="Arial" w:cs="Arial" w:eastAsia="Arial" w:hAnsi="Arial"/>
          <w:sz w:val="18"/>
          <w:szCs w:val="18"/>
          <w:color w:val="auto"/>
        </w:rPr>
        <w:t>as markers and bases. When specialty merchandise is ordered, it can take time to manufacture and deliver the product. Revenue is deferred until the at-need merchandise is received.</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u w:val="single" w:color="auto"/>
          <w:color w:val="auto"/>
        </w:rPr>
        <w:t>Deferred Pre-need Land Revenue</w:t>
      </w:r>
      <w:r>
        <w:rPr>
          <w:rFonts w:ascii="Arial" w:cs="Arial" w:eastAsia="Arial" w:hAnsi="Arial"/>
          <w:sz w:val="18"/>
          <w:szCs w:val="18"/>
          <w:color w:val="auto"/>
        </w:rPr>
        <w:t>: Deferred pre-need revenue and corresponding commissions are deferred until 10% of the funds are received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through regular monthly payments. Deferred pre-need land revenue is not placed in trust.</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Complete payment of the contract does not constitute fulfillment of the performance obligation. Goods or services are deferred until such time the service is performed or merchandise is received. Pre-need contracts are required to be paid in full prior to a customer using a good or service from a pre-need contract. Goods and services from pre-need contracts can be transferred when paid in full from one owner to another. In such cases, the Company will act as an agent in transferring the requested goods and services. A transfer of goods and services does not fulfill an obligation and revenue remains deferred.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2" w:name="page53"/>
    <w:bookmarkEnd w:id="52"/>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June 30, 2023 (Unaudited)</w:t>
      </w:r>
    </w:p>
    <w:p>
      <w:pPr>
        <w:spacing w:after="0" w:line="184" w:lineRule="exact"/>
        <w:rPr>
          <w:sz w:val="20"/>
          <w:szCs w:val="20"/>
          <w:color w:val="auto"/>
        </w:rPr>
      </w:pPr>
    </w:p>
    <w:p>
      <w:pPr>
        <w:ind w:left="300" w:hanging="292"/>
        <w:spacing w:after="0"/>
        <w:tabs>
          <w:tab w:leader="none" w:pos="30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Revenues from Contracts with Customers</w:t>
      </w:r>
      <w:r>
        <w:rPr>
          <w:rFonts w:ascii="Arial" w:cs="Arial" w:eastAsia="Arial" w:hAnsi="Arial"/>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opening and closing balances of the Company’s receivables, contract assets and contract liabilities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8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Contract Balances</w:t>
            </w: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4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gridSpan w:val="2"/>
          </w:tcPr>
          <w:p>
            <w:pPr>
              <w:ind w:left="40"/>
              <w:spacing w:after="0"/>
              <w:rPr>
                <w:sz w:val="20"/>
                <w:szCs w:val="20"/>
                <w:color w:val="auto"/>
              </w:rPr>
            </w:pPr>
            <w:r>
              <w:rPr>
                <w:rFonts w:ascii="Arial" w:cs="Arial" w:eastAsia="Arial" w:hAnsi="Arial"/>
                <w:sz w:val="18"/>
                <w:szCs w:val="18"/>
                <w:color w:val="auto"/>
              </w:rPr>
              <w:t>Receivables (1)</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Contract Asset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w w:val="94"/>
              </w:rPr>
              <w:t>Contract Liability</w:t>
            </w:r>
          </w:p>
        </w:tc>
        <w:tc>
          <w:tcPr>
            <w:tcW w:w="80" w:type="dxa"/>
            <w:vAlign w:val="bottom"/>
          </w:tcPr>
          <w:p>
            <w:pPr>
              <w:spacing w:after="0"/>
              <w:rPr>
                <w:sz w:val="20"/>
                <w:szCs w:val="20"/>
                <w:color w:val="auto"/>
              </w:rPr>
            </w:pPr>
          </w:p>
        </w:tc>
      </w:tr>
      <w:tr>
        <w:trPr>
          <w:trHeight w:val="216"/>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Opening (January 1, 2023)</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5,392,779</w:t>
            </w:r>
          </w:p>
        </w:tc>
        <w:tc>
          <w:tcPr>
            <w:tcW w:w="3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ind w:right="125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16,226,836</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4860" w:type="dxa"/>
            <w:vAlign w:val="bottom"/>
          </w:tcPr>
          <w:p>
            <w:pPr>
              <w:spacing w:after="0"/>
              <w:rPr>
                <w:sz w:val="20"/>
                <w:szCs w:val="20"/>
                <w:color w:val="auto"/>
              </w:rPr>
            </w:pPr>
            <w:r>
              <w:rPr>
                <w:rFonts w:ascii="Arial" w:cs="Arial" w:eastAsia="Arial" w:hAnsi="Arial"/>
                <w:sz w:val="18"/>
                <w:szCs w:val="18"/>
                <w:color w:val="auto"/>
              </w:rPr>
              <w:t>Closing (June 30, 2023)</w:t>
            </w:r>
          </w:p>
        </w:tc>
        <w:tc>
          <w:tcPr>
            <w:tcW w:w="160" w:type="dxa"/>
            <w:vAlign w:val="bottom"/>
          </w:tcPr>
          <w:p>
            <w:pPr>
              <w:spacing w:after="0"/>
              <w:rPr>
                <w:sz w:val="20"/>
                <w:szCs w:val="20"/>
                <w:color w:val="auto"/>
              </w:rPr>
            </w:pP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5,814,731</w:t>
            </w:r>
          </w:p>
        </w:tc>
        <w:tc>
          <w:tcPr>
            <w:tcW w:w="1440" w:type="dxa"/>
            <w:vAlign w:val="bottom"/>
          </w:tcPr>
          <w:p>
            <w:pPr>
              <w:spacing w:after="0"/>
              <w:rPr>
                <w:sz w:val="20"/>
                <w:szCs w:val="20"/>
                <w:color w:val="auto"/>
              </w:rPr>
            </w:pP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17,155,722</w:t>
            </w:r>
          </w:p>
        </w:tc>
      </w:tr>
      <w:tr>
        <w:trPr>
          <w:trHeight w:val="229"/>
        </w:trPr>
        <w:tc>
          <w:tcPr>
            <w:tcW w:w="4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Increase/(decrease)</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421,952</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928,886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60"/>
        </w:trPr>
        <w:tc>
          <w:tcPr>
            <w:tcW w:w="48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Contract Balances</w:t>
            </w: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37"/>
        </w:trPr>
        <w:tc>
          <w:tcPr>
            <w:tcW w:w="4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gridSpan w:val="2"/>
          </w:tcPr>
          <w:p>
            <w:pPr>
              <w:ind w:left="40"/>
              <w:spacing w:after="0"/>
              <w:rPr>
                <w:sz w:val="20"/>
                <w:szCs w:val="20"/>
                <w:color w:val="auto"/>
              </w:rPr>
            </w:pPr>
            <w:r>
              <w:rPr>
                <w:rFonts w:ascii="Arial" w:cs="Arial" w:eastAsia="Arial" w:hAnsi="Arial"/>
                <w:sz w:val="18"/>
                <w:szCs w:val="18"/>
                <w:color w:val="auto"/>
              </w:rPr>
              <w:t>Receivables (1)</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Contract Asset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w w:val="94"/>
              </w:rPr>
              <w:t>Contract Liability</w:t>
            </w:r>
          </w:p>
        </w:tc>
        <w:tc>
          <w:tcPr>
            <w:tcW w:w="80" w:type="dxa"/>
            <w:vAlign w:val="bottom"/>
          </w:tcPr>
          <w:p>
            <w:pPr>
              <w:spacing w:after="0"/>
              <w:rPr>
                <w:sz w:val="20"/>
                <w:szCs w:val="20"/>
                <w:color w:val="auto"/>
              </w:rPr>
            </w:pPr>
          </w:p>
        </w:tc>
      </w:tr>
      <w:tr>
        <w:trPr>
          <w:trHeight w:val="216"/>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Opening (January 1, 2022)</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5,298,636</w:t>
            </w:r>
          </w:p>
        </w:tc>
        <w:tc>
          <w:tcPr>
            <w:tcW w:w="3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ind w:right="125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14,508,022</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4860" w:type="dxa"/>
            <w:vAlign w:val="bottom"/>
          </w:tcPr>
          <w:p>
            <w:pPr>
              <w:spacing w:after="0"/>
              <w:rPr>
                <w:sz w:val="20"/>
                <w:szCs w:val="20"/>
                <w:color w:val="auto"/>
              </w:rPr>
            </w:pPr>
            <w:r>
              <w:rPr>
                <w:rFonts w:ascii="Arial" w:cs="Arial" w:eastAsia="Arial" w:hAnsi="Arial"/>
                <w:sz w:val="18"/>
                <w:szCs w:val="18"/>
                <w:color w:val="auto"/>
              </w:rPr>
              <w:t>Closing (December 31, 2022)</w:t>
            </w:r>
          </w:p>
        </w:tc>
        <w:tc>
          <w:tcPr>
            <w:tcW w:w="160" w:type="dxa"/>
            <w:vAlign w:val="bottom"/>
          </w:tcPr>
          <w:p>
            <w:pPr>
              <w:spacing w:after="0"/>
              <w:rPr>
                <w:sz w:val="20"/>
                <w:szCs w:val="20"/>
                <w:color w:val="auto"/>
              </w:rPr>
            </w:pP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5,392,779</w:t>
            </w:r>
          </w:p>
        </w:tc>
        <w:tc>
          <w:tcPr>
            <w:tcW w:w="1440" w:type="dxa"/>
            <w:vAlign w:val="bottom"/>
          </w:tcPr>
          <w:p>
            <w:pPr>
              <w:spacing w:after="0"/>
              <w:rPr>
                <w:sz w:val="20"/>
                <w:szCs w:val="20"/>
                <w:color w:val="auto"/>
              </w:rPr>
            </w:pP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16,226,836</w:t>
            </w:r>
          </w:p>
        </w:tc>
      </w:tr>
      <w:tr>
        <w:trPr>
          <w:trHeight w:val="229"/>
        </w:trPr>
        <w:tc>
          <w:tcPr>
            <w:tcW w:w="4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Increase/(decrease)</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94,143</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1,718,814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9" w:lineRule="exact"/>
        <w:rPr>
          <w:sz w:val="20"/>
          <w:szCs w:val="20"/>
          <w:color w:val="auto"/>
        </w:rPr>
      </w:pPr>
    </w:p>
    <w:p>
      <w:pPr>
        <w:ind w:left="60"/>
        <w:spacing w:after="0"/>
        <w:rPr>
          <w:sz w:val="20"/>
          <w:szCs w:val="20"/>
          <w:color w:val="auto"/>
        </w:rPr>
      </w:pPr>
      <w:r>
        <w:rPr>
          <w:rFonts w:ascii="Arial" w:cs="Arial" w:eastAsia="Arial" w:hAnsi="Arial"/>
          <w:sz w:val="18"/>
          <w:szCs w:val="18"/>
          <w:color w:val="auto"/>
        </w:rPr>
        <w:t>(1)Included in Receivables, net on the condensed consolidated balance sheets</w:t>
      </w:r>
    </w:p>
    <w:p>
      <w:pPr>
        <w:spacing w:after="0" w:line="333"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amount of revenue recognized and included in the opening contract liability balance for the three month periods ended June 30, 2023 and 2022 was $1,116,566 and $1,526,324, respectively, and for the six month periods ended June 30, 2023 and 2022 was $2,236,898 and $2,590,428, respectively.</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difference between the opening and closing balances of the Company’s contract assets and contract liabilities primarily results from the timing difference between the Company’s performance and the customer’s payment.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disaggregates revenue for the Company’s cemetery and mortuary contracts: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gridSpan w:val="6"/>
          </w:tcPr>
          <w:p>
            <w:pPr>
              <w:ind w:left="480"/>
              <w:spacing w:after="0"/>
              <w:rPr>
                <w:sz w:val="20"/>
                <w:szCs w:val="20"/>
                <w:color w:val="auto"/>
              </w:rPr>
            </w:pPr>
            <w:r>
              <w:rPr>
                <w:rFonts w:ascii="Arial" w:cs="Arial" w:eastAsia="Arial" w:hAnsi="Arial"/>
                <w:sz w:val="18"/>
                <w:szCs w:val="18"/>
                <w:color w:val="auto"/>
              </w:rPr>
              <w:t>Three Months Ended</w:t>
            </w:r>
          </w:p>
        </w:tc>
        <w:tc>
          <w:tcPr>
            <w:tcW w:w="280" w:type="dxa"/>
            <w:vAlign w:val="bottom"/>
          </w:tcPr>
          <w:p>
            <w:pPr>
              <w:spacing w:after="0"/>
              <w:rPr>
                <w:sz w:val="18"/>
                <w:szCs w:val="18"/>
                <w:color w:val="auto"/>
              </w:rPr>
            </w:pPr>
          </w:p>
        </w:tc>
        <w:tc>
          <w:tcPr>
            <w:tcW w:w="1860" w:type="dxa"/>
            <w:vAlign w:val="bottom"/>
            <w:gridSpan w:val="4"/>
          </w:tcPr>
          <w:p>
            <w:pPr>
              <w:jc w:val="right"/>
              <w:spacing w:after="0"/>
              <w:rPr>
                <w:sz w:val="20"/>
                <w:szCs w:val="20"/>
                <w:color w:val="auto"/>
              </w:rPr>
            </w:pPr>
            <w:r>
              <w:rPr>
                <w:rFonts w:ascii="Arial" w:cs="Arial" w:eastAsia="Arial" w:hAnsi="Arial"/>
                <w:sz w:val="18"/>
                <w:szCs w:val="18"/>
                <w:color w:val="auto"/>
              </w:rPr>
              <w:t>Six Months Ended</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1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color w:val="auto"/>
              </w:rPr>
              <w:t>June 30,</w:t>
            </w:r>
          </w:p>
        </w:tc>
        <w:tc>
          <w:tcPr>
            <w:tcW w:w="10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267"/>
              <w:spacing w:after="0"/>
              <w:rPr>
                <w:sz w:val="20"/>
                <w:szCs w:val="20"/>
                <w:color w:val="auto"/>
              </w:rPr>
            </w:pPr>
            <w:r>
              <w:rPr>
                <w:rFonts w:ascii="Arial" w:cs="Arial" w:eastAsia="Arial" w:hAnsi="Arial"/>
                <w:sz w:val="18"/>
                <w:szCs w:val="18"/>
                <w:color w:val="auto"/>
              </w:rPr>
              <w:t>June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186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24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2023</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2022</w:t>
            </w:r>
          </w:p>
        </w:tc>
        <w:tc>
          <w:tcPr>
            <w:tcW w:w="3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2023</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84"/>
              </w:rPr>
              <w:t>2022</w:t>
            </w:r>
          </w:p>
        </w:tc>
        <w:tc>
          <w:tcPr>
            <w:tcW w:w="100" w:type="dxa"/>
            <w:vAlign w:val="bottom"/>
            <w:tcBorders>
              <w:bottom w:val="single" w:sz="8" w:color="CCEEFF"/>
            </w:tcBorders>
          </w:tcPr>
          <w:p>
            <w:pPr>
              <w:spacing w:after="0"/>
              <w:rPr>
                <w:sz w:val="20"/>
                <w:szCs w:val="20"/>
                <w:color w:val="auto"/>
              </w:rPr>
            </w:pPr>
          </w:p>
        </w:tc>
      </w:tr>
      <w:tr>
        <w:trPr>
          <w:trHeight w:val="196"/>
        </w:trPr>
        <w:tc>
          <w:tcPr>
            <w:tcW w:w="47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Major goods/service lines</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At-need</w:t>
            </w:r>
          </w:p>
        </w:tc>
        <w:tc>
          <w:tcPr>
            <w:tcW w:w="2880" w:type="dxa"/>
            <w:vAlign w:val="bottom"/>
            <w:tcBorders>
              <w:top w:val="single" w:sz="8" w:color="CCEEFF"/>
            </w:tcBorders>
            <w:gridSpan w:val="2"/>
          </w:tcPr>
          <w:p>
            <w:pPr>
              <w:spacing w:after="0"/>
              <w:rPr>
                <w:sz w:val="18"/>
                <w:szCs w:val="18"/>
                <w:color w:val="auto"/>
              </w:rPr>
            </w:pPr>
          </w:p>
        </w:tc>
        <w:tc>
          <w:tcPr>
            <w:tcW w:w="280" w:type="dxa"/>
            <w:vAlign w:val="bottom"/>
            <w:tcBorders>
              <w:top w:val="single" w:sz="8" w:color="CCEEFF"/>
            </w:tcBorders>
          </w:tcPr>
          <w:p>
            <w:pPr>
              <w:jc w:val="right"/>
              <w:ind w:right="12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4,999,450</w:t>
            </w:r>
          </w:p>
        </w:tc>
        <w:tc>
          <w:tcPr>
            <w:tcW w:w="480" w:type="dxa"/>
            <w:vAlign w:val="bottom"/>
            <w:tcBorders>
              <w:top w:val="single" w:sz="8" w:color="CCEEFF"/>
            </w:tcBorders>
            <w:gridSpan w:val="2"/>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CCEEFF"/>
            </w:tcBorders>
            <w:gridSpan w:val="2"/>
          </w:tcPr>
          <w:p>
            <w:pPr>
              <w:jc w:val="right"/>
              <w:ind w:right="320"/>
              <w:spacing w:after="0"/>
              <w:rPr>
                <w:sz w:val="20"/>
                <w:szCs w:val="20"/>
                <w:color w:val="auto"/>
              </w:rPr>
            </w:pPr>
            <w:r>
              <w:rPr>
                <w:rFonts w:ascii="Arial" w:cs="Arial" w:eastAsia="Arial" w:hAnsi="Arial"/>
                <w:sz w:val="18"/>
                <w:szCs w:val="18"/>
                <w:color w:val="auto"/>
              </w:rPr>
              <w:t>5,598,109</w:t>
            </w:r>
          </w:p>
        </w:tc>
        <w:tc>
          <w:tcPr>
            <w:tcW w:w="280" w:type="dxa"/>
            <w:vAlign w:val="bottom"/>
            <w:tcBorders>
              <w:top w:val="single" w:sz="8" w:color="CCEEFF"/>
            </w:tcBorders>
          </w:tcPr>
          <w:p>
            <w:pPr>
              <w:jc w:val="right"/>
              <w:ind w:right="12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10,153,486</w:t>
            </w:r>
          </w:p>
        </w:tc>
        <w:tc>
          <w:tcPr>
            <w:tcW w:w="640" w:type="dxa"/>
            <w:vAlign w:val="bottom"/>
            <w:tcBorders>
              <w:top w:val="single" w:sz="8" w:color="CCEEFF"/>
            </w:tcBorders>
            <w:gridSpan w:val="2"/>
          </w:tcPr>
          <w:p>
            <w:pPr>
              <w:jc w:val="right"/>
              <w:ind w:right="327"/>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w w:val="93"/>
              </w:rPr>
              <w:t>11,464,987</w:t>
            </w:r>
          </w:p>
        </w:tc>
      </w:tr>
      <w:tr>
        <w:trPr>
          <w:trHeight w:val="250"/>
        </w:trPr>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Pre-need</w:t>
            </w:r>
          </w:p>
        </w:tc>
        <w:tc>
          <w:tcPr>
            <w:tcW w:w="2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2,169,264</w:t>
            </w:r>
          </w:p>
        </w:tc>
        <w:tc>
          <w:tcPr>
            <w:tcW w:w="1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1,652,394</w:t>
            </w:r>
          </w:p>
        </w:tc>
        <w:tc>
          <w:tcPr>
            <w:tcW w:w="2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3,486,657</w:t>
            </w:r>
          </w:p>
        </w:tc>
        <w:tc>
          <w:tcPr>
            <w:tcW w:w="1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2,991,237</w:t>
            </w:r>
          </w:p>
        </w:tc>
      </w:tr>
      <w:tr>
        <w:trPr>
          <w:trHeight w:val="257"/>
        </w:trPr>
        <w:tc>
          <w:tcPr>
            <w:tcW w:w="1860" w:type="dxa"/>
            <w:vAlign w:val="bottom"/>
            <w:tcBorders>
              <w:top w:val="single" w:sz="8" w:color="CCEEFF"/>
              <w:bottom w:val="single" w:sz="8" w:color="CCEEFF"/>
            </w:tcBorders>
          </w:tcPr>
          <w:p>
            <w:pPr>
              <w:spacing w:after="0"/>
              <w:rPr>
                <w:sz w:val="22"/>
                <w:szCs w:val="22"/>
                <w:color w:val="auto"/>
              </w:rPr>
            </w:pPr>
          </w:p>
        </w:tc>
        <w:tc>
          <w:tcPr>
            <w:tcW w:w="460" w:type="dxa"/>
            <w:vAlign w:val="bottom"/>
            <w:tcBorders>
              <w:top w:val="single" w:sz="8" w:color="CCEEFF"/>
              <w:bottom w:val="single" w:sz="8" w:color="CCEEFF"/>
            </w:tcBorders>
          </w:tcPr>
          <w:p>
            <w:pPr>
              <w:spacing w:after="0"/>
              <w:rPr>
                <w:sz w:val="22"/>
                <w:szCs w:val="22"/>
                <w:color w:val="auto"/>
              </w:rPr>
            </w:pPr>
          </w:p>
        </w:tc>
        <w:tc>
          <w:tcPr>
            <w:tcW w:w="2420" w:type="dxa"/>
            <w:vAlign w:val="bottom"/>
            <w:tcBorders>
              <w:top w:val="single" w:sz="8" w:color="CCEEFF"/>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7,168,714</w:t>
            </w:r>
          </w:p>
        </w:tc>
        <w:tc>
          <w:tcPr>
            <w:tcW w:w="18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CCEEFF"/>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7,250,503</w:t>
            </w:r>
          </w:p>
        </w:tc>
        <w:tc>
          <w:tcPr>
            <w:tcW w:w="320" w:type="dxa"/>
            <w:vAlign w:val="bottom"/>
            <w:tcBorders>
              <w:top w:val="single" w:sz="8" w:color="CCEEFF"/>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13,640,143</w:t>
            </w:r>
          </w:p>
        </w:tc>
        <w:tc>
          <w:tcPr>
            <w:tcW w:w="16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CCEEFF"/>
              <w:bottom w:val="single" w:sz="8" w:color="CCEEFF"/>
            </w:tcBorders>
          </w:tcPr>
          <w:p>
            <w:pPr>
              <w:spacing w:after="0"/>
              <w:rPr>
                <w:sz w:val="22"/>
                <w:szCs w:val="22"/>
                <w:color w:val="auto"/>
              </w:rPr>
            </w:pPr>
          </w:p>
        </w:tc>
        <w:tc>
          <w:tcPr>
            <w:tcW w:w="480" w:type="dxa"/>
            <w:vAlign w:val="bottom"/>
            <w:tcBorders>
              <w:top w:val="single" w:sz="8" w:color="auto"/>
              <w:bottom w:val="single" w:sz="8" w:color="auto"/>
            </w:tcBorders>
          </w:tcPr>
          <w:p>
            <w:pPr>
              <w:jc w:val="right"/>
              <w:ind w:right="3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14,456,224</w:t>
            </w:r>
          </w:p>
        </w:tc>
        <w:tc>
          <w:tcPr>
            <w:tcW w:w="100" w:type="dxa"/>
            <w:vAlign w:val="bottom"/>
            <w:tcBorders>
              <w:top w:val="single" w:sz="8" w:color="CCEEFF"/>
              <w:bottom w:val="single" w:sz="8" w:color="CCEEFF"/>
            </w:tcBorders>
          </w:tcPr>
          <w:p>
            <w:pPr>
              <w:spacing w:after="0"/>
              <w:rPr>
                <w:sz w:val="22"/>
                <w:szCs w:val="22"/>
                <w:color w:val="auto"/>
              </w:rPr>
            </w:pPr>
          </w:p>
        </w:tc>
      </w:tr>
      <w:tr>
        <w:trPr>
          <w:trHeight w:val="196"/>
        </w:trPr>
        <w:tc>
          <w:tcPr>
            <w:tcW w:w="1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75"/>
        </w:trPr>
        <w:tc>
          <w:tcPr>
            <w:tcW w:w="4740" w:type="dxa"/>
            <w:vAlign w:val="bottom"/>
            <w:gridSpan w:val="3"/>
          </w:tcPr>
          <w:p>
            <w:pPr>
              <w:spacing w:after="0" w:line="176" w:lineRule="exact"/>
              <w:rPr>
                <w:sz w:val="20"/>
                <w:szCs w:val="20"/>
                <w:color w:val="auto"/>
              </w:rPr>
            </w:pPr>
            <w:r>
              <w:rPr>
                <w:rFonts w:ascii="Arial" w:cs="Arial" w:eastAsia="Arial" w:hAnsi="Arial"/>
                <w:sz w:val="18"/>
                <w:szCs w:val="18"/>
                <w:color w:val="auto"/>
              </w:rPr>
              <w:t>Timing of Revenue Recognition</w:t>
            </w: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86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Goods transferred at a point in time</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4,528,969</w:t>
            </w:r>
          </w:p>
        </w:tc>
        <w:tc>
          <w:tcPr>
            <w:tcW w:w="4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4,594,656</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8,558,635</w:t>
            </w:r>
          </w:p>
        </w:tc>
        <w:tc>
          <w:tcPr>
            <w:tcW w:w="640" w:type="dxa"/>
            <w:vAlign w:val="bottom"/>
            <w:gridSpan w:val="2"/>
            <w:shd w:val="clear" w:color="auto" w:fill="CCEEFF"/>
          </w:tcPr>
          <w:p>
            <w:pPr>
              <w:jc w:val="right"/>
              <w:ind w:right="327"/>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8,775,201</w:t>
            </w:r>
          </w:p>
        </w:tc>
      </w:tr>
      <w:tr>
        <w:trPr>
          <w:trHeight w:val="237"/>
        </w:trPr>
        <w:tc>
          <w:tcPr>
            <w:tcW w:w="4740" w:type="dxa"/>
            <w:vAlign w:val="bottom"/>
            <w:gridSpan w:val="3"/>
          </w:tcPr>
          <w:p>
            <w:pPr>
              <w:spacing w:after="0"/>
              <w:rPr>
                <w:sz w:val="20"/>
                <w:szCs w:val="20"/>
                <w:color w:val="auto"/>
              </w:rPr>
            </w:pPr>
            <w:r>
              <w:rPr>
                <w:rFonts w:ascii="Arial" w:cs="Arial" w:eastAsia="Arial" w:hAnsi="Arial"/>
                <w:sz w:val="18"/>
                <w:szCs w:val="18"/>
                <w:color w:val="auto"/>
              </w:rPr>
              <w:t>Services transferred at a point in time</w:t>
            </w:r>
          </w:p>
        </w:tc>
        <w:tc>
          <w:tcPr>
            <w:tcW w:w="28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2,639,745</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2,655,847</w:t>
            </w:r>
          </w:p>
        </w:tc>
        <w:tc>
          <w:tcPr>
            <w:tcW w:w="28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5,081,508</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5,681,023</w:t>
            </w:r>
          </w:p>
        </w:tc>
      </w:tr>
      <w:tr>
        <w:trPr>
          <w:trHeight w:val="229"/>
        </w:trPr>
        <w:tc>
          <w:tcPr>
            <w:tcW w:w="186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24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7,168,714</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7,250,503</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13,640,143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14,456,224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0"/>
        </w:trPr>
        <w:tc>
          <w:tcPr>
            <w:tcW w:w="18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50</w:t>
            </w: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53" w:name="page54"/>
    <w:bookmarkEnd w:id="53"/>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June 30, 2023 (Unaudited)</w:t>
      </w:r>
    </w:p>
    <w:p>
      <w:pPr>
        <w:spacing w:after="0" w:line="184" w:lineRule="exact"/>
        <w:rPr>
          <w:sz w:val="20"/>
          <w:szCs w:val="20"/>
          <w:color w:val="auto"/>
        </w:rPr>
      </w:pPr>
    </w:p>
    <w:p>
      <w:pPr>
        <w:ind w:left="300" w:hanging="292"/>
        <w:spacing w:after="0"/>
        <w:tabs>
          <w:tab w:leader="none" w:pos="30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Revenues from Contracts with Customers</w:t>
      </w:r>
      <w:r>
        <w:rPr>
          <w:rFonts w:ascii="Arial" w:cs="Arial" w:eastAsia="Arial" w:hAnsi="Arial"/>
          <w:sz w:val="18"/>
          <w:szCs w:val="18"/>
          <w:color w:val="auto"/>
        </w:rPr>
        <w:t xml:space="preserve"> (Continued)</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reconciles revenues from cemetery and mortuary contracts to Note 7 – Business Segment Information for the Cemetery/Mortuary Segment for the periods presented: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5"/>
          </w:tcPr>
          <w:p>
            <w:pPr>
              <w:jc w:val="center"/>
              <w:ind w:left="110"/>
              <w:spacing w:after="0"/>
              <w:rPr>
                <w:sz w:val="20"/>
                <w:szCs w:val="20"/>
                <w:color w:val="auto"/>
              </w:rPr>
            </w:pPr>
            <w:r>
              <w:rPr>
                <w:rFonts w:ascii="Arial" w:cs="Arial" w:eastAsia="Arial" w:hAnsi="Arial"/>
                <w:sz w:val="18"/>
                <w:szCs w:val="18"/>
                <w:color w:val="auto"/>
                <w:w w:val="89"/>
              </w:rPr>
              <w:t>Three Months Ended</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4"/>
          </w:tcPr>
          <w:p>
            <w:pPr>
              <w:jc w:val="right"/>
              <w:spacing w:after="0"/>
              <w:rPr>
                <w:sz w:val="20"/>
                <w:szCs w:val="20"/>
                <w:color w:val="auto"/>
              </w:rPr>
            </w:pPr>
            <w:r>
              <w:rPr>
                <w:rFonts w:ascii="Arial" w:cs="Arial" w:eastAsia="Arial" w:hAnsi="Arial"/>
                <w:sz w:val="18"/>
                <w:szCs w:val="18"/>
                <w:color w:val="auto"/>
                <w:w w:val="87"/>
              </w:rPr>
              <w:t>Six Months Ended</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5"/>
          </w:tcPr>
          <w:p>
            <w:pPr>
              <w:jc w:val="center"/>
              <w:ind w:left="170"/>
              <w:spacing w:after="0"/>
              <w:rPr>
                <w:sz w:val="20"/>
                <w:szCs w:val="20"/>
                <w:color w:val="auto"/>
              </w:rPr>
            </w:pPr>
            <w:r>
              <w:rPr>
                <w:rFonts w:ascii="Arial" w:cs="Arial" w:eastAsia="Arial" w:hAnsi="Arial"/>
                <w:sz w:val="18"/>
                <w:szCs w:val="18"/>
                <w:color w:val="auto"/>
                <w:w w:val="86"/>
              </w:rPr>
              <w:t>June 30,</w:t>
            </w:r>
          </w:p>
        </w:tc>
        <w:tc>
          <w:tcPr>
            <w:tcW w:w="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4"/>
          </w:tcPr>
          <w:p>
            <w:pPr>
              <w:jc w:val="right"/>
              <w:ind w:right="267"/>
              <w:spacing w:after="0"/>
              <w:rPr>
                <w:sz w:val="20"/>
                <w:szCs w:val="20"/>
                <w:color w:val="auto"/>
              </w:rPr>
            </w:pPr>
            <w:r>
              <w:rPr>
                <w:rFonts w:ascii="Arial" w:cs="Arial" w:eastAsia="Arial" w:hAnsi="Arial"/>
                <w:sz w:val="18"/>
                <w:szCs w:val="18"/>
                <w:color w:val="auto"/>
              </w:rPr>
              <w:t>June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ind w:left="220"/>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20"/>
                <w:szCs w:val="20"/>
                <w:color w:val="auto"/>
              </w:rPr>
            </w:pPr>
          </w:p>
        </w:tc>
        <w:tc>
          <w:tcPr>
            <w:tcW w:w="1700" w:type="dxa"/>
            <w:vAlign w:val="bottom"/>
            <w:gridSpan w:val="6"/>
          </w:tcPr>
          <w:p>
            <w:pPr>
              <w:jc w:val="right"/>
              <w:ind w:right="441"/>
              <w:spacing w:after="0"/>
              <w:rPr>
                <w:sz w:val="20"/>
                <w:szCs w:val="20"/>
                <w:color w:val="auto"/>
              </w:rPr>
            </w:pPr>
            <w:r>
              <w:rPr>
                <w:rFonts w:ascii="Arial" w:cs="Arial" w:eastAsia="Arial" w:hAnsi="Arial"/>
                <w:sz w:val="18"/>
                <w:szCs w:val="18"/>
                <w:color w:val="auto"/>
              </w:rPr>
              <w:t>2022</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2023</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jc w:val="right"/>
              <w:ind w:right="410"/>
              <w:spacing w:after="0"/>
              <w:rPr>
                <w:sz w:val="20"/>
                <w:szCs w:val="20"/>
                <w:color w:val="auto"/>
              </w:rPr>
            </w:pPr>
            <w:r>
              <w:rPr>
                <w:rFonts w:ascii="Arial" w:cs="Arial" w:eastAsia="Arial" w:hAnsi="Arial"/>
                <w:sz w:val="18"/>
                <w:szCs w:val="18"/>
                <w:color w:val="auto"/>
                <w:w w:val="84"/>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4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mortuary and cemetery sales</w:t>
            </w:r>
          </w:p>
        </w:tc>
        <w:tc>
          <w:tcPr>
            <w:tcW w:w="28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7,168,714</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2"/>
              </w:rPr>
              <w:t>7,250,503</w:t>
            </w: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13,640,143</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14,456,224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3"/>
          </w:tcPr>
          <w:p>
            <w:pPr>
              <w:spacing w:after="0"/>
              <w:rPr>
                <w:sz w:val="20"/>
                <w:szCs w:val="20"/>
                <w:color w:val="auto"/>
              </w:rPr>
            </w:pPr>
            <w:r>
              <w:rPr>
                <w:rFonts w:ascii="Arial" w:cs="Arial" w:eastAsia="Arial" w:hAnsi="Arial"/>
                <w:sz w:val="18"/>
                <w:szCs w:val="18"/>
                <w:color w:val="auto"/>
              </w:rPr>
              <w:t>Gains (losses) on investments and other assets</w:t>
            </w:r>
          </w:p>
        </w:tc>
        <w:tc>
          <w:tcPr>
            <w:tcW w:w="280" w:type="dxa"/>
            <w:vAlign w:val="bottom"/>
          </w:tcPr>
          <w:p>
            <w:pPr>
              <w:spacing w:after="0"/>
              <w:rPr>
                <w:sz w:val="18"/>
                <w:szCs w:val="18"/>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197,579</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(720,135)</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4"/>
          </w:tcPr>
          <w:p>
            <w:pPr>
              <w:jc w:val="right"/>
              <w:ind w:right="160"/>
              <w:spacing w:after="0"/>
              <w:rPr>
                <w:sz w:val="20"/>
                <w:szCs w:val="20"/>
                <w:color w:val="auto"/>
              </w:rPr>
            </w:pPr>
            <w:r>
              <w:rPr>
                <w:rFonts w:ascii="Arial" w:cs="Arial" w:eastAsia="Arial" w:hAnsi="Arial"/>
                <w:sz w:val="18"/>
                <w:szCs w:val="18"/>
                <w:color w:val="auto"/>
              </w:rPr>
              <w:t>251,510</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(974,660)</w:t>
            </w:r>
          </w:p>
        </w:tc>
        <w:tc>
          <w:tcPr>
            <w:tcW w:w="0" w:type="dxa"/>
            <w:vAlign w:val="bottom"/>
          </w:tcPr>
          <w:p>
            <w:pPr>
              <w:spacing w:after="0"/>
              <w:rPr>
                <w:sz w:val="1"/>
                <w:szCs w:val="1"/>
                <w:color w:val="auto"/>
              </w:rPr>
            </w:pPr>
          </w:p>
        </w:tc>
      </w:tr>
      <w:tr>
        <w:trPr>
          <w:trHeight w:val="216"/>
        </w:trPr>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2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1,343,274</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739,272</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1,944,765</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1,235,731</w:t>
            </w:r>
          </w:p>
        </w:tc>
        <w:tc>
          <w:tcPr>
            <w:tcW w:w="0" w:type="dxa"/>
            <w:vAlign w:val="bottom"/>
          </w:tcPr>
          <w:p>
            <w:pPr>
              <w:spacing w:after="0"/>
              <w:rPr>
                <w:sz w:val="1"/>
                <w:szCs w:val="1"/>
                <w:color w:val="auto"/>
              </w:rPr>
            </w:pPr>
          </w:p>
        </w:tc>
      </w:tr>
      <w:tr>
        <w:trPr>
          <w:trHeight w:val="236"/>
        </w:trPr>
        <w:tc>
          <w:tcPr>
            <w:tcW w:w="4740" w:type="dxa"/>
            <w:vAlign w:val="bottom"/>
            <w:gridSpan w:val="3"/>
          </w:tcPr>
          <w:p>
            <w:pPr>
              <w:spacing w:after="0"/>
              <w:rPr>
                <w:sz w:val="20"/>
                <w:szCs w:val="20"/>
                <w:color w:val="auto"/>
              </w:rPr>
            </w:pPr>
            <w:r>
              <w:rPr>
                <w:rFonts w:ascii="Arial" w:cs="Arial" w:eastAsia="Arial" w:hAnsi="Arial"/>
                <w:sz w:val="18"/>
                <w:szCs w:val="18"/>
                <w:color w:val="auto"/>
              </w:rPr>
              <w:t>Other revenues</w:t>
            </w:r>
          </w:p>
        </w:tc>
        <w:tc>
          <w:tcPr>
            <w:tcW w:w="280" w:type="dxa"/>
            <w:vAlign w:val="bottom"/>
          </w:tcPr>
          <w:p>
            <w:pPr>
              <w:spacing w:after="0"/>
              <w:rPr>
                <w:sz w:val="20"/>
                <w:szCs w:val="20"/>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102,941</w:t>
            </w: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4"/>
          </w:tcPr>
          <w:p>
            <w:pPr>
              <w:jc w:val="right"/>
              <w:ind w:right="60"/>
              <w:spacing w:after="0"/>
              <w:rPr>
                <w:sz w:val="20"/>
                <w:szCs w:val="20"/>
                <w:color w:val="auto"/>
              </w:rPr>
            </w:pPr>
            <w:r>
              <w:rPr>
                <w:rFonts w:ascii="Arial" w:cs="Arial" w:eastAsia="Arial" w:hAnsi="Arial"/>
                <w:sz w:val="18"/>
                <w:szCs w:val="18"/>
                <w:color w:val="auto"/>
              </w:rPr>
              <w:t>21,378</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4"/>
          </w:tcPr>
          <w:p>
            <w:pPr>
              <w:jc w:val="right"/>
              <w:ind w:right="160"/>
              <w:spacing w:after="0"/>
              <w:rPr>
                <w:sz w:val="20"/>
                <w:szCs w:val="20"/>
                <w:color w:val="auto"/>
              </w:rPr>
            </w:pPr>
            <w:r>
              <w:rPr>
                <w:rFonts w:ascii="Arial" w:cs="Arial" w:eastAsia="Arial" w:hAnsi="Arial"/>
                <w:sz w:val="18"/>
                <w:szCs w:val="18"/>
                <w:color w:val="auto"/>
              </w:rPr>
              <w:t>174,486</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36,917</w:t>
            </w:r>
          </w:p>
        </w:tc>
        <w:tc>
          <w:tcPr>
            <w:tcW w:w="0" w:type="dxa"/>
            <w:vAlign w:val="bottom"/>
          </w:tcPr>
          <w:p>
            <w:pPr>
              <w:spacing w:after="0"/>
              <w:rPr>
                <w:sz w:val="1"/>
                <w:szCs w:val="1"/>
                <w:color w:val="auto"/>
              </w:rPr>
            </w:pPr>
          </w:p>
        </w:tc>
      </w:tr>
      <w:tr>
        <w:trPr>
          <w:trHeight w:val="230"/>
        </w:trPr>
        <w:tc>
          <w:tcPr>
            <w:tcW w:w="474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8,812,508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2"/>
              </w:rPr>
              <w:t>7,291,018</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16,010,904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14,754,212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gridSpan w:val="3"/>
            <w:vMerge w:val="restart"/>
          </w:tcPr>
          <w:p>
            <w:pPr>
              <w:spacing w:after="0"/>
              <w:rPr>
                <w:sz w:val="20"/>
                <w:szCs w:val="20"/>
                <w:color w:val="auto"/>
              </w:rPr>
            </w:pPr>
            <w:r>
              <w:rPr>
                <w:rFonts w:ascii="Arial" w:cs="Arial" w:eastAsia="Arial" w:hAnsi="Arial"/>
                <w:sz w:val="18"/>
                <w:szCs w:val="18"/>
                <w:color w:val="auto"/>
              </w:rPr>
              <w:t>14) Receivables</w:t>
            </w: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74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740" w:type="dxa"/>
            <w:vAlign w:val="bottom"/>
            <w:gridSpan w:val="3"/>
          </w:tcPr>
          <w:p>
            <w:pPr>
              <w:spacing w:after="0"/>
              <w:rPr>
                <w:sz w:val="20"/>
                <w:szCs w:val="20"/>
                <w:color w:val="auto"/>
              </w:rPr>
            </w:pPr>
            <w:r>
              <w:rPr>
                <w:rFonts w:ascii="Arial" w:cs="Arial" w:eastAsia="Arial" w:hAnsi="Arial"/>
                <w:sz w:val="18"/>
                <w:szCs w:val="18"/>
                <w:color w:val="auto"/>
              </w:rPr>
              <w:t>Receivables consist of the following:</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20" w:type="dxa"/>
            <w:vAlign w:val="bottom"/>
            <w:gridSpan w:val="8"/>
          </w:tcPr>
          <w:p>
            <w:pPr>
              <w:ind w:left="100"/>
              <w:spacing w:after="0"/>
              <w:rPr>
                <w:sz w:val="20"/>
                <w:szCs w:val="20"/>
                <w:color w:val="auto"/>
              </w:rPr>
            </w:pPr>
            <w:r>
              <w:rPr>
                <w:rFonts w:ascii="Arial" w:cs="Arial" w:eastAsia="Arial" w:hAnsi="Arial"/>
                <w:sz w:val="18"/>
                <w:szCs w:val="18"/>
                <w:color w:val="auto"/>
              </w:rPr>
              <w:t>As of December 31,</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gridSpan w:val="5"/>
          </w:tcPr>
          <w:p>
            <w:pPr>
              <w:ind w:left="120"/>
              <w:spacing w:after="0"/>
              <w:rPr>
                <w:sz w:val="20"/>
                <w:szCs w:val="20"/>
                <w:color w:val="auto"/>
              </w:rPr>
            </w:pPr>
            <w:r>
              <w:rPr>
                <w:rFonts w:ascii="Arial" w:cs="Arial" w:eastAsia="Arial" w:hAnsi="Arial"/>
                <w:sz w:val="18"/>
                <w:szCs w:val="18"/>
                <w:color w:val="auto"/>
              </w:rPr>
              <w:t>As of June 30, 2023</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gridSpan w:val="2"/>
          </w:tcPr>
          <w:p>
            <w:pPr>
              <w:jc w:val="right"/>
              <w:ind w:right="107"/>
              <w:spacing w:after="0"/>
              <w:rPr>
                <w:sz w:val="20"/>
                <w:szCs w:val="20"/>
                <w:color w:val="auto"/>
              </w:rPr>
            </w:pPr>
            <w:r>
              <w:rPr>
                <w:rFonts w:ascii="Arial" w:cs="Arial" w:eastAsia="Arial" w:hAnsi="Arial"/>
                <w:sz w:val="18"/>
                <w:szCs w:val="18"/>
                <w:color w:val="auto"/>
                <w:w w:val="84"/>
              </w:rPr>
              <w:t>2022</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4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Contracts with customers</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5,814,731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41"/>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5,392,779</w:t>
            </w: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3"/>
          </w:tcPr>
          <w:p>
            <w:pPr>
              <w:spacing w:after="0"/>
              <w:rPr>
                <w:sz w:val="20"/>
                <w:szCs w:val="20"/>
                <w:color w:val="auto"/>
              </w:rPr>
            </w:pPr>
            <w:r>
              <w:rPr>
                <w:rFonts w:ascii="Arial" w:cs="Arial" w:eastAsia="Arial" w:hAnsi="Arial"/>
                <w:sz w:val="18"/>
                <w:szCs w:val="18"/>
                <w:color w:val="auto"/>
              </w:rPr>
              <w:t>Receivables from sales agents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3"/>
          </w:tcPr>
          <w:p>
            <w:pPr>
              <w:jc w:val="center"/>
              <w:ind w:right="20"/>
              <w:spacing w:after="0"/>
              <w:rPr>
                <w:sz w:val="20"/>
                <w:szCs w:val="20"/>
                <w:color w:val="auto"/>
              </w:rPr>
            </w:pPr>
            <w:r>
              <w:rPr>
                <w:rFonts w:ascii="Arial" w:cs="Arial" w:eastAsia="Arial" w:hAnsi="Arial"/>
                <w:sz w:val="18"/>
                <w:szCs w:val="18"/>
                <w:color w:val="auto"/>
                <w:w w:val="89"/>
              </w:rPr>
              <w:t>2,139,563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4"/>
          </w:tcPr>
          <w:p>
            <w:pPr>
              <w:jc w:val="right"/>
              <w:ind w:right="80"/>
              <w:spacing w:after="0"/>
              <w:rPr>
                <w:sz w:val="20"/>
                <w:szCs w:val="20"/>
                <w:color w:val="auto"/>
              </w:rPr>
            </w:pPr>
            <w:r>
              <w:rPr>
                <w:rFonts w:ascii="Arial" w:cs="Arial" w:eastAsia="Arial" w:hAnsi="Arial"/>
                <w:sz w:val="18"/>
                <w:szCs w:val="18"/>
                <w:color w:val="auto"/>
              </w:rPr>
              <w:t>2,209,185</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4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89"/>
              </w:rPr>
              <w:t>5,214,235</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23,200,919</w:t>
            </w: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740" w:type="dxa"/>
            <w:vAlign w:val="bottom"/>
            <w:tcBorders>
              <w:top w:val="single" w:sz="8" w:color="CCEEFF"/>
            </w:tcBorders>
            <w:gridSpan w:val="3"/>
          </w:tcPr>
          <w:p>
            <w:pPr>
              <w:spacing w:after="0" w:line="203" w:lineRule="exact"/>
              <w:rPr>
                <w:sz w:val="20"/>
                <w:szCs w:val="20"/>
                <w:color w:val="auto"/>
              </w:rPr>
            </w:pPr>
            <w:r>
              <w:rPr>
                <w:rFonts w:ascii="Arial" w:cs="Arial" w:eastAsia="Arial" w:hAnsi="Arial"/>
                <w:sz w:val="18"/>
                <w:szCs w:val="18"/>
                <w:color w:val="auto"/>
              </w:rPr>
              <w:t>Total receivables</w:t>
            </w:r>
          </w:p>
        </w:tc>
        <w:tc>
          <w:tcPr>
            <w:tcW w:w="28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w w:val="88"/>
              </w:rPr>
              <w:t>13,168,529</w:t>
            </w: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3"/>
          </w:tcPr>
          <w:p>
            <w:pPr>
              <w:jc w:val="right"/>
              <w:spacing w:after="0" w:line="203" w:lineRule="exact"/>
              <w:rPr>
                <w:sz w:val="20"/>
                <w:szCs w:val="20"/>
                <w:color w:val="auto"/>
              </w:rPr>
            </w:pPr>
            <w:r>
              <w:rPr>
                <w:rFonts w:ascii="Arial" w:cs="Arial" w:eastAsia="Arial" w:hAnsi="Arial"/>
                <w:sz w:val="18"/>
                <w:szCs w:val="18"/>
                <w:color w:val="auto"/>
              </w:rPr>
              <w:t>30,802,883</w:t>
            </w:r>
          </w:p>
        </w:tc>
        <w:tc>
          <w:tcPr>
            <w:tcW w:w="80" w:type="dxa"/>
            <w:vAlign w:val="bottom"/>
            <w:tcBorders>
              <w:top w:val="single" w:sz="8" w:color="CCEEFF"/>
            </w:tcBorders>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2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4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1"/>
              </w:rPr>
              <w:t>(1,492,934)</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(2,229,791)</w:t>
            </w: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740" w:type="dxa"/>
            <w:vAlign w:val="bottom"/>
            <w:tcBorders>
              <w:top w:val="single" w:sz="8" w:color="CCEEFF"/>
            </w:tcBorders>
            <w:gridSpan w:val="3"/>
          </w:tcPr>
          <w:p>
            <w:pPr>
              <w:spacing w:after="0"/>
              <w:rPr>
                <w:sz w:val="20"/>
                <w:szCs w:val="20"/>
                <w:color w:val="auto"/>
              </w:rPr>
            </w:pPr>
            <w:r>
              <w:rPr>
                <w:rFonts w:ascii="Arial" w:cs="Arial" w:eastAsia="Arial" w:hAnsi="Arial"/>
                <w:sz w:val="18"/>
                <w:szCs w:val="18"/>
                <w:color w:val="auto"/>
              </w:rPr>
              <w:t>Net receivables</w:t>
            </w: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8"/>
              </w:rPr>
              <w:t>11,675,595</w:t>
            </w: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gridSpan w:val="2"/>
          </w:tcPr>
          <w:p>
            <w:pPr>
              <w:spacing w:after="0"/>
              <w:rPr>
                <w:sz w:val="18"/>
                <w:szCs w:val="18"/>
                <w:color w:val="auto"/>
              </w:rPr>
            </w:pPr>
          </w:p>
        </w:tc>
        <w:tc>
          <w:tcPr>
            <w:tcW w:w="600" w:type="dxa"/>
            <w:vAlign w:val="bottom"/>
            <w:tcBorders>
              <w:top w:val="single" w:sz="8" w:color="auto"/>
            </w:tcBorders>
          </w:tcPr>
          <w:p>
            <w:pPr>
              <w:jc w:val="right"/>
              <w:ind w:right="441"/>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28,573,092</w:t>
            </w:r>
          </w:p>
        </w:tc>
        <w:tc>
          <w:tcPr>
            <w:tcW w:w="80" w:type="dxa"/>
            <w:vAlign w:val="bottom"/>
            <w:tcBorders>
              <w:top w:val="single" w:sz="8" w:color="CCEEFF"/>
            </w:tcBorders>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records an allowance for credit losses for its receivables in accordance with GAAP. See Note 2 regarding the adoption of ASU 2016-13.</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80" w:type="dxa"/>
            <w:vAlign w:val="bottom"/>
          </w:tcPr>
          <w:p>
            <w:pPr>
              <w:spacing w:after="0"/>
              <w:rPr>
                <w:sz w:val="20"/>
                <w:szCs w:val="20"/>
                <w:color w:val="auto"/>
              </w:rPr>
            </w:pPr>
            <w:r>
              <w:rPr>
                <w:rFonts w:ascii="Arial" w:cs="Arial" w:eastAsia="Arial" w:hAnsi="Arial"/>
                <w:sz w:val="18"/>
                <w:szCs w:val="18"/>
                <w:color w:val="auto"/>
              </w:rPr>
              <w:t>The following table presents a roll forward of the allowance for credit losses:</w:t>
            </w: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453"/>
        </w:trPr>
        <w:tc>
          <w:tcPr>
            <w:tcW w:w="6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Allowance</w:t>
            </w:r>
          </w:p>
        </w:tc>
      </w:tr>
      <w:tr>
        <w:trPr>
          <w:trHeight w:val="216"/>
        </w:trPr>
        <w:tc>
          <w:tcPr>
            <w:tcW w:w="6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 - January 1, 2023</w:t>
            </w:r>
          </w:p>
        </w:tc>
        <w:tc>
          <w:tcPr>
            <w:tcW w:w="8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2,229,791</w:t>
            </w:r>
          </w:p>
        </w:tc>
        <w:tc>
          <w:tcPr>
            <w:tcW w:w="260" w:type="dxa"/>
            <w:vAlign w:val="bottom"/>
            <w:tcBorders>
              <w:top w:val="single" w:sz="8" w:color="CCEEFF"/>
            </w:tcBorders>
            <w:shd w:val="clear" w:color="auto" w:fill="CCEEFF"/>
          </w:tcPr>
          <w:p>
            <w:pPr>
              <w:spacing w:after="0"/>
              <w:rPr>
                <w:sz w:val="18"/>
                <w:szCs w:val="18"/>
                <w:color w:val="auto"/>
              </w:rPr>
            </w:pPr>
          </w:p>
        </w:tc>
      </w:tr>
      <w:tr>
        <w:trPr>
          <w:trHeight w:val="202"/>
        </w:trPr>
        <w:tc>
          <w:tcPr>
            <w:tcW w:w="6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w:t>
            </w:r>
          </w:p>
        </w:tc>
      </w:tr>
      <w:tr>
        <w:trPr>
          <w:trHeight w:val="230"/>
        </w:trPr>
        <w:tc>
          <w:tcPr>
            <w:tcW w:w="6380" w:type="dxa"/>
            <w:vAlign w:val="bottom"/>
          </w:tcPr>
          <w:p>
            <w:pPr>
              <w:ind w:left="180"/>
              <w:spacing w:after="0"/>
              <w:rPr>
                <w:sz w:val="20"/>
                <w:szCs w:val="20"/>
                <w:color w:val="auto"/>
              </w:rPr>
            </w:pPr>
            <w:r>
              <w:rPr>
                <w:rFonts w:ascii="Arial" w:cs="Arial" w:eastAsia="Arial" w:hAnsi="Arial"/>
                <w:sz w:val="18"/>
                <w:szCs w:val="18"/>
                <w:color w:val="auto"/>
              </w:rPr>
              <w:t>Change in provision for credit losses</w:t>
            </w: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(651,308(1)</w:t>
            </w:r>
          </w:p>
        </w:tc>
      </w:tr>
      <w:tr>
        <w:trPr>
          <w:trHeight w:val="249"/>
        </w:trPr>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Charge-offs</w:t>
            </w:r>
          </w:p>
        </w:tc>
        <w:tc>
          <w:tcPr>
            <w:tcW w:w="8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(85,549)</w:t>
            </w:r>
          </w:p>
        </w:tc>
      </w:tr>
      <w:tr>
        <w:trPr>
          <w:trHeight w:val="257"/>
        </w:trPr>
        <w:tc>
          <w:tcPr>
            <w:tcW w:w="638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Ending balance - June 30, 2023</w:t>
            </w:r>
          </w:p>
        </w:tc>
        <w:tc>
          <w:tcPr>
            <w:tcW w:w="820" w:type="dxa"/>
            <w:vAlign w:val="bottom"/>
            <w:tcBorders>
              <w:top w:val="single" w:sz="8" w:color="CCEEFF"/>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1,492,934</w:t>
            </w:r>
          </w:p>
        </w:tc>
        <w:tc>
          <w:tcPr>
            <w:tcW w:w="260" w:type="dxa"/>
            <w:vAlign w:val="bottom"/>
            <w:tcBorders>
              <w:top w:val="single" w:sz="8" w:color="CCEEFF"/>
              <w:bottom w:val="single" w:sz="8" w:color="CCEEFF"/>
            </w:tcBorders>
          </w:tcPr>
          <w:p>
            <w:pPr>
              <w:spacing w:after="0"/>
              <w:rPr>
                <w:sz w:val="22"/>
                <w:szCs w:val="22"/>
                <w:color w:val="auto"/>
              </w:rPr>
            </w:pPr>
          </w:p>
        </w:tc>
      </w:tr>
      <w:tr>
        <w:trPr>
          <w:trHeight w:val="197"/>
        </w:trPr>
        <w:tc>
          <w:tcPr>
            <w:tcW w:w="6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Beginning balance - January 1, 2022</w:t>
            </w: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1,800,725</w:t>
            </w:r>
          </w:p>
        </w:tc>
      </w:tr>
      <w:tr>
        <w:trPr>
          <w:trHeight w:val="216"/>
        </w:trPr>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provision for credit losses</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799,888(1)</w:t>
            </w:r>
          </w:p>
        </w:tc>
      </w:tr>
      <w:tr>
        <w:trPr>
          <w:trHeight w:val="237"/>
        </w:trPr>
        <w:tc>
          <w:tcPr>
            <w:tcW w:w="6380" w:type="dxa"/>
            <w:vAlign w:val="bottom"/>
          </w:tcPr>
          <w:p>
            <w:pPr>
              <w:ind w:left="180"/>
              <w:spacing w:after="0"/>
              <w:rPr>
                <w:sz w:val="20"/>
                <w:szCs w:val="20"/>
                <w:color w:val="auto"/>
              </w:rPr>
            </w:pPr>
            <w:r>
              <w:rPr>
                <w:rFonts w:ascii="Arial" w:cs="Arial" w:eastAsia="Arial" w:hAnsi="Arial"/>
                <w:sz w:val="18"/>
                <w:szCs w:val="18"/>
                <w:color w:val="auto"/>
              </w:rPr>
              <w:t>Charge-offs</w:t>
            </w: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(370,822)</w:t>
            </w:r>
          </w:p>
        </w:tc>
      </w:tr>
      <w:tr>
        <w:trPr>
          <w:trHeight w:val="230"/>
        </w:trPr>
        <w:tc>
          <w:tcPr>
            <w:tcW w:w="6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 - December 31, 2022</w:t>
            </w:r>
          </w:p>
        </w:tc>
        <w:tc>
          <w:tcPr>
            <w:tcW w:w="8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2,229,791</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9" w:lineRule="exact"/>
        <w:rPr>
          <w:sz w:val="20"/>
          <w:szCs w:val="20"/>
          <w:color w:val="auto"/>
        </w:rPr>
      </w:pPr>
    </w:p>
    <w:p>
      <w:pPr>
        <w:ind w:left="5540" w:right="5060" w:hanging="5472"/>
        <w:spacing w:after="0" w:line="535" w:lineRule="auto"/>
        <w:tabs>
          <w:tab w:leader="none" w:pos="365" w:val="left"/>
        </w:tabs>
        <w:numPr>
          <w:ilvl w:val="0"/>
          <w:numId w:val="57"/>
        </w:numPr>
        <w:rPr>
          <w:rFonts w:ascii="Arial" w:cs="Arial" w:eastAsia="Arial" w:hAnsi="Arial"/>
          <w:sz w:val="15"/>
          <w:szCs w:val="15"/>
          <w:color w:val="auto"/>
        </w:rPr>
      </w:pPr>
      <w:r>
        <w:rPr>
          <w:rFonts w:ascii="Arial" w:cs="Arial" w:eastAsia="Arial" w:hAnsi="Arial"/>
          <w:sz w:val="15"/>
          <w:szCs w:val="15"/>
          <w:color w:val="auto"/>
        </w:rPr>
        <w:t>Included in other expenses on the condensed consolidated statements of earnings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245110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4" w:name="page55"/>
    <w:bookmarkEnd w:id="54"/>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June 30, 2023 (Unaudited)</w:t>
      </w:r>
    </w:p>
    <w:p>
      <w:pPr>
        <w:spacing w:after="0" w:line="184" w:lineRule="exact"/>
        <w:rPr>
          <w:sz w:val="20"/>
          <w:szCs w:val="20"/>
          <w:color w:val="auto"/>
        </w:rPr>
      </w:pPr>
    </w:p>
    <w:p>
      <w:pPr>
        <w:ind w:left="300" w:hanging="292"/>
        <w:spacing w:after="0"/>
        <w:tabs>
          <w:tab w:leader="none" w:pos="30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Cemetery Perpetual Care Trust Investments and Obligation and Restricted Assets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Cemetery Perpetual Care Trust Investments and Obligation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State law requires the Company to pay into endowment care trusts a portion of the proceeds from the sale of certain cemetery property interment rights for cemeteries that have established an endowment care trust. These endowment care trusts are defined as variable interest entities pursuant to GAAP. Also, management has determined that the Company is the primary beneficiary of these trusts, as it absorbs both a majority of the losses and returns associated with the trusts. The Company has consolidated cemetery endowment care trust investments with a corresponding amount recorded as Cemetery Perpetual Care Obligation in the accompanying consolidated balance sheets</w:t>
      </w:r>
      <w:r>
        <w:rPr>
          <w:rFonts w:ascii="Arial" w:cs="Arial" w:eastAsia="Arial" w:hAnsi="Arial"/>
          <w:sz w:val="18"/>
          <w:szCs w:val="18"/>
          <w:i w:val="1"/>
          <w:iCs w:val="1"/>
          <w:color w:val="auto"/>
        </w:rPr>
        <w: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gridSpan w:val="14"/>
          </w:tcPr>
          <w:p>
            <w:pPr>
              <w:spacing w:after="0"/>
              <w:rPr>
                <w:sz w:val="20"/>
                <w:szCs w:val="20"/>
                <w:color w:val="auto"/>
              </w:rPr>
            </w:pPr>
            <w:r>
              <w:rPr>
                <w:rFonts w:ascii="Arial" w:cs="Arial" w:eastAsia="Arial" w:hAnsi="Arial"/>
                <w:sz w:val="18"/>
                <w:szCs w:val="18"/>
                <w:color w:val="auto"/>
                <w:w w:val="96"/>
              </w:rPr>
              <w:t>The components of the cemetery perpetual care investments and obligation as of June 30, 2023, are as follows:</w:t>
            </w: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Gross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370"/>
              <w:spacing w:after="0"/>
              <w:rPr>
                <w:sz w:val="20"/>
                <w:szCs w:val="20"/>
                <w:color w:val="auto"/>
              </w:rPr>
            </w:pPr>
            <w:r>
              <w:rPr>
                <w:rFonts w:ascii="Arial" w:cs="Arial" w:eastAsia="Arial" w:hAnsi="Arial"/>
                <w:sz w:val="18"/>
                <w:szCs w:val="18"/>
                <w:color w:val="auto"/>
                <w:w w:val="87"/>
              </w:rPr>
              <w:t>Gross</w:t>
            </w: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Amortized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Unrealized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370"/>
              <w:spacing w:after="0"/>
              <w:rPr>
                <w:sz w:val="20"/>
                <w:szCs w:val="20"/>
                <w:color w:val="auto"/>
              </w:rPr>
            </w:pPr>
            <w:r>
              <w:rPr>
                <w:rFonts w:ascii="Arial" w:cs="Arial" w:eastAsia="Arial" w:hAnsi="Arial"/>
                <w:sz w:val="18"/>
                <w:szCs w:val="18"/>
                <w:color w:val="auto"/>
                <w:w w:val="90"/>
              </w:rPr>
              <w:t>Unrealized</w:t>
            </w:r>
          </w:p>
        </w:tc>
        <w:tc>
          <w:tcPr>
            <w:tcW w:w="1420" w:type="dxa"/>
            <w:vAlign w:val="bottom"/>
            <w:gridSpan w:val="3"/>
          </w:tcPr>
          <w:p>
            <w:pPr>
              <w:jc w:val="right"/>
              <w:ind w:right="360"/>
              <w:spacing w:after="0"/>
              <w:rPr>
                <w:sz w:val="20"/>
                <w:szCs w:val="20"/>
                <w:color w:val="auto"/>
              </w:rPr>
            </w:pPr>
            <w:r>
              <w:rPr>
                <w:rFonts w:ascii="Arial" w:cs="Arial" w:eastAsia="Arial" w:hAnsi="Arial"/>
                <w:sz w:val="18"/>
                <w:szCs w:val="18"/>
                <w:color w:val="auto"/>
                <w:w w:val="96"/>
              </w:rPr>
              <w:t>Allowance for</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Estimated Fair</w:t>
            </w:r>
          </w:p>
        </w:tc>
        <w:tc>
          <w:tcPr>
            <w:tcW w:w="0" w:type="dxa"/>
            <w:vAlign w:val="bottom"/>
          </w:tcPr>
          <w:p>
            <w:pPr>
              <w:spacing w:after="0"/>
              <w:rPr>
                <w:sz w:val="1"/>
                <w:szCs w:val="1"/>
                <w:color w:val="auto"/>
              </w:rPr>
            </w:pPr>
          </w:p>
        </w:tc>
      </w:tr>
      <w:tr>
        <w:trPr>
          <w:trHeight w:val="237"/>
        </w:trPr>
        <w:tc>
          <w:tcPr>
            <w:tcW w:w="10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Cost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Gains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center"/>
              <w:ind w:right="370"/>
              <w:spacing w:after="0"/>
              <w:rPr>
                <w:sz w:val="20"/>
                <w:szCs w:val="20"/>
                <w:color w:val="auto"/>
              </w:rPr>
            </w:pPr>
            <w:r>
              <w:rPr>
                <w:rFonts w:ascii="Arial" w:cs="Arial" w:eastAsia="Arial" w:hAnsi="Arial"/>
                <w:sz w:val="18"/>
                <w:szCs w:val="18"/>
                <w:color w:val="auto"/>
                <w:w w:val="87"/>
              </w:rPr>
              <w:t>Losses</w:t>
            </w:r>
          </w:p>
        </w:tc>
        <w:tc>
          <w:tcPr>
            <w:tcW w:w="1040" w:type="dxa"/>
            <w:vAlign w:val="bottom"/>
          </w:tcPr>
          <w:p>
            <w:pPr>
              <w:jc w:val="right"/>
              <w:spacing w:after="0"/>
              <w:rPr>
                <w:sz w:val="20"/>
                <w:szCs w:val="20"/>
                <w:color w:val="auto"/>
              </w:rPr>
            </w:pPr>
            <w:r>
              <w:rPr>
                <w:rFonts w:ascii="Arial" w:cs="Arial" w:eastAsia="Arial" w:hAnsi="Arial"/>
                <w:sz w:val="18"/>
                <w:szCs w:val="18"/>
                <w:color w:val="auto"/>
                <w:w w:val="92"/>
              </w:rPr>
              <w:t>Credit Losses</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175"/>
        </w:trPr>
        <w:tc>
          <w:tcPr>
            <w:tcW w:w="404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June 30, 2023:</w:t>
            </w: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60" w:type="dxa"/>
            <w:vAlign w:val="bottom"/>
            <w:tcBorders>
              <w:top w:val="single" w:sz="8" w:color="auto"/>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040" w:type="dxa"/>
            <w:vAlign w:val="bottom"/>
            <w:gridSpan w:val="2"/>
          </w:tcPr>
          <w:p>
            <w:pPr>
              <w:spacing w:after="0" w:line="201" w:lineRule="exact"/>
              <w:rPr>
                <w:sz w:val="20"/>
                <w:szCs w:val="20"/>
                <w:color w:val="auto"/>
              </w:rPr>
            </w:pPr>
            <w:r>
              <w:rPr>
                <w:rFonts w:ascii="Arial" w:cs="Arial" w:eastAsia="Arial" w:hAnsi="Arial"/>
                <w:sz w:val="18"/>
                <w:szCs w:val="18"/>
                <w:color w:val="auto"/>
              </w:rPr>
              <w:t>Fixed maturity securities, available for sale, at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40" w:type="dxa"/>
            <w:vAlign w:val="bottom"/>
            <w:gridSpan w:val="2"/>
          </w:tcPr>
          <w:p>
            <w:pPr>
              <w:spacing w:after="0"/>
              <w:rPr>
                <w:sz w:val="20"/>
                <w:szCs w:val="20"/>
                <w:color w:val="auto"/>
              </w:rPr>
            </w:pPr>
            <w:r>
              <w:rPr>
                <w:rFonts w:ascii="Arial" w:cs="Arial" w:eastAsia="Arial" w:hAnsi="Arial"/>
                <w:sz w:val="18"/>
                <w:szCs w:val="18"/>
                <w:color w:val="auto"/>
              </w:rPr>
              <w:t>estimated fair value:</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04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U.S. Treasury securities and obligations of U.S.</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Government agencies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258,053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(2,402)</w:t>
            </w:r>
          </w:p>
        </w:tc>
        <w:tc>
          <w:tcPr>
            <w:tcW w:w="1040" w:type="dxa"/>
            <w:vAlign w:val="bottom"/>
            <w:shd w:val="clear" w:color="auto" w:fill="CCEEFF"/>
          </w:tcPr>
          <w:p>
            <w:pPr>
              <w:jc w:val="right"/>
              <w:ind w:right="878"/>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256,309</w:t>
            </w:r>
          </w:p>
        </w:tc>
        <w:tc>
          <w:tcPr>
            <w:tcW w:w="0" w:type="dxa"/>
            <w:vAlign w:val="bottom"/>
          </w:tcPr>
          <w:p>
            <w:pPr>
              <w:spacing w:after="0"/>
              <w:rPr>
                <w:sz w:val="1"/>
                <w:szCs w:val="1"/>
                <w:color w:val="auto"/>
              </w:rPr>
            </w:pPr>
          </w:p>
        </w:tc>
      </w:tr>
      <w:tr>
        <w:trPr>
          <w:trHeight w:val="216"/>
        </w:trPr>
        <w:tc>
          <w:tcPr>
            <w:tcW w:w="4040" w:type="dxa"/>
            <w:vAlign w:val="bottom"/>
            <w:gridSpan w:val="2"/>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95,348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70"/>
              <w:spacing w:after="0"/>
              <w:rPr>
                <w:sz w:val="20"/>
                <w:szCs w:val="20"/>
                <w:color w:val="auto"/>
              </w:rPr>
            </w:pPr>
            <w:r>
              <w:rPr>
                <w:rFonts w:ascii="Arial" w:cs="Arial" w:eastAsia="Arial" w:hAnsi="Arial"/>
                <w:sz w:val="18"/>
                <w:szCs w:val="18"/>
                <w:color w:val="auto"/>
              </w:rPr>
              <w:t>(1,182)</w:t>
            </w:r>
          </w:p>
        </w:tc>
        <w:tc>
          <w:tcPr>
            <w:tcW w:w="1040" w:type="dxa"/>
            <w:vAlign w:val="bottom"/>
          </w:tcPr>
          <w:p>
            <w:pPr>
              <w:spacing w:after="0"/>
              <w:rPr>
                <w:sz w:val="18"/>
                <w:szCs w:val="18"/>
                <w:color w:val="auto"/>
              </w:rPr>
            </w:pPr>
          </w:p>
        </w:tc>
        <w:tc>
          <w:tcPr>
            <w:tcW w:w="380" w:type="dxa"/>
            <w:vAlign w:val="bottom"/>
            <w:gridSpan w:val="2"/>
          </w:tcPr>
          <w:p>
            <w:pPr>
              <w:jc w:val="right"/>
              <w:ind w:right="32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94,166</w:t>
            </w:r>
          </w:p>
        </w:tc>
        <w:tc>
          <w:tcPr>
            <w:tcW w:w="0" w:type="dxa"/>
            <w:vAlign w:val="bottom"/>
          </w:tcPr>
          <w:p>
            <w:pPr>
              <w:spacing w:after="0"/>
              <w:rPr>
                <w:sz w:val="1"/>
                <w:szCs w:val="1"/>
                <w:color w:val="auto"/>
              </w:rPr>
            </w:pPr>
          </w:p>
        </w:tc>
      </w:tr>
      <w:tr>
        <w:trPr>
          <w:trHeight w:val="249"/>
        </w:trPr>
        <w:tc>
          <w:tcPr>
            <w:tcW w:w="4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Corporate securities including public utilities</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76,509</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(6,359)</w:t>
            </w:r>
          </w:p>
        </w:tc>
        <w:tc>
          <w:tcPr>
            <w:tcW w:w="104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70,150</w:t>
            </w:r>
          </w:p>
        </w:tc>
        <w:tc>
          <w:tcPr>
            <w:tcW w:w="0" w:type="dxa"/>
            <w:vAlign w:val="bottom"/>
          </w:tcPr>
          <w:p>
            <w:pPr>
              <w:spacing w:after="0"/>
              <w:rPr>
                <w:sz w:val="1"/>
                <w:szCs w:val="1"/>
                <w:color w:val="auto"/>
              </w:rPr>
            </w:pPr>
          </w:p>
        </w:tc>
      </w:tr>
      <w:tr>
        <w:trPr>
          <w:trHeight w:val="257"/>
        </w:trPr>
        <w:tc>
          <w:tcPr>
            <w:tcW w:w="4040" w:type="dxa"/>
            <w:vAlign w:val="bottom"/>
            <w:tcBorders>
              <w:top w:val="single" w:sz="8" w:color="CCEEFF"/>
              <w:bottom w:val="single" w:sz="8" w:color="CCEEFF"/>
            </w:tcBorders>
            <w:gridSpan w:val="2"/>
          </w:tcPr>
          <w:p>
            <w:pPr>
              <w:ind w:left="360"/>
              <w:spacing w:after="0"/>
              <w:rPr>
                <w:sz w:val="20"/>
                <w:szCs w:val="20"/>
                <w:color w:val="auto"/>
              </w:rPr>
            </w:pPr>
            <w:r>
              <w:rPr>
                <w:rFonts w:ascii="Arial" w:cs="Arial" w:eastAsia="Arial" w:hAnsi="Arial"/>
                <w:sz w:val="18"/>
                <w:szCs w:val="18"/>
                <w:color w:val="auto"/>
                <w:w w:val="98"/>
              </w:rPr>
              <w:t>Total fixed maturity securities available for sale</w:t>
            </w:r>
          </w:p>
        </w:tc>
        <w:tc>
          <w:tcPr>
            <w:tcW w:w="14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429,910</w:t>
            </w:r>
          </w:p>
        </w:tc>
        <w:tc>
          <w:tcPr>
            <w:tcW w:w="140" w:type="dxa"/>
            <w:vAlign w:val="bottom"/>
            <w:tcBorders>
              <w:top w:val="single" w:sz="8" w:color="CCEEFF"/>
              <w:bottom w:val="single" w:sz="8" w:color="CCEEFF"/>
            </w:tcBorders>
          </w:tcPr>
          <w:p>
            <w:pPr>
              <w:spacing w:after="0"/>
              <w:rPr>
                <w:sz w:val="22"/>
                <w:szCs w:val="22"/>
                <w:color w:val="auto"/>
              </w:rPr>
            </w:pPr>
          </w:p>
        </w:tc>
        <w:tc>
          <w:tcPr>
            <w:tcW w:w="20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658</w:t>
            </w:r>
          </w:p>
        </w:tc>
        <w:tc>
          <w:tcPr>
            <w:tcW w:w="18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(9,943</w:t>
            </w:r>
          </w:p>
        </w:tc>
        <w:tc>
          <w:tcPr>
            <w:tcW w:w="340" w:type="dxa"/>
            <w:vAlign w:val="bottom"/>
            <w:tcBorders>
              <w:top w:val="single" w:sz="8" w:color="CCEEFF"/>
              <w:bottom w:val="single" w:sz="8" w:color="CCEEFF"/>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878"/>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CCEEFF"/>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420,625</w:t>
            </w:r>
          </w:p>
        </w:tc>
        <w:tc>
          <w:tcPr>
            <w:tcW w:w="10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060" w:type="dxa"/>
            <w:vAlign w:val="bottom"/>
            <w:shd w:val="clear" w:color="auto" w:fill="CCEEFF"/>
          </w:tcPr>
          <w:p>
            <w:pPr>
              <w:spacing w:after="0"/>
              <w:rPr>
                <w:sz w:val="17"/>
                <w:szCs w:val="17"/>
                <w:color w:val="auto"/>
              </w:rPr>
            </w:pPr>
          </w:p>
        </w:tc>
        <w:tc>
          <w:tcPr>
            <w:tcW w:w="2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Equity securities at estimated fair value: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40" w:type="dxa"/>
            <w:vAlign w:val="bottom"/>
            <w:gridSpan w:val="2"/>
          </w:tcPr>
          <w:p>
            <w:pPr>
              <w:spacing w:after="0"/>
              <w:rPr>
                <w:sz w:val="20"/>
                <w:szCs w:val="20"/>
                <w:color w:val="auto"/>
              </w:rPr>
            </w:pPr>
            <w:r>
              <w:rPr>
                <w:rFonts w:ascii="Arial" w:cs="Arial" w:eastAsia="Arial" w:hAnsi="Arial"/>
                <w:sz w:val="18"/>
                <w:szCs w:val="18"/>
                <w:color w:val="auto"/>
              </w:rPr>
              <w:t>Industrial, miscellaneous and all other</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3,379,217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705,343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70"/>
              <w:spacing w:after="0"/>
              <w:rPr>
                <w:sz w:val="20"/>
                <w:szCs w:val="20"/>
                <w:color w:val="auto"/>
              </w:rPr>
            </w:pPr>
            <w:r>
              <w:rPr>
                <w:rFonts w:ascii="Arial" w:cs="Arial" w:eastAsia="Arial" w:hAnsi="Arial"/>
                <w:sz w:val="18"/>
                <w:szCs w:val="18"/>
                <w:color w:val="auto"/>
              </w:rPr>
              <w:t>(189,253)</w:t>
            </w: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3,895,307</w:t>
            </w:r>
          </w:p>
        </w:tc>
        <w:tc>
          <w:tcPr>
            <w:tcW w:w="0" w:type="dxa"/>
            <w:vAlign w:val="bottom"/>
          </w:tcPr>
          <w:p>
            <w:pPr>
              <w:spacing w:after="0"/>
              <w:rPr>
                <w:sz w:val="1"/>
                <w:szCs w:val="1"/>
                <w:color w:val="auto"/>
              </w:rPr>
            </w:pPr>
          </w:p>
        </w:tc>
      </w:tr>
      <w:tr>
        <w:trPr>
          <w:trHeight w:val="229"/>
        </w:trPr>
        <w:tc>
          <w:tcPr>
            <w:tcW w:w="404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equity securities at estimated fair value</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3,379,217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705,343</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(189,253</w:t>
            </w:r>
          </w:p>
        </w:tc>
        <w:tc>
          <w:tcPr>
            <w:tcW w:w="340" w:type="dxa"/>
            <w:vAlign w:val="bottom"/>
            <w:tcBorders>
              <w:top w:val="single" w:sz="8" w:color="CCEEFF"/>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3,895,307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06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Mortgage loans held for investment at amortized cost: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Residential construction</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2,272,969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Allowance for credit losses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(1,453)</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040" w:type="dxa"/>
            <w:vAlign w:val="bottom"/>
            <w:tcBorders>
              <w:top w:val="single" w:sz="8" w:color="CCEEFF"/>
              <w:bottom w:val="single" w:sz="8" w:color="CCEEFF"/>
            </w:tcBorders>
            <w:gridSpan w:val="2"/>
          </w:tcPr>
          <w:p>
            <w:pPr>
              <w:spacing w:after="0"/>
              <w:rPr>
                <w:sz w:val="20"/>
                <w:szCs w:val="20"/>
                <w:color w:val="auto"/>
              </w:rPr>
            </w:pPr>
            <w:r>
              <w:rPr>
                <w:rFonts w:ascii="Arial" w:cs="Arial" w:eastAsia="Arial" w:hAnsi="Arial"/>
                <w:sz w:val="18"/>
                <w:szCs w:val="18"/>
                <w:color w:val="auto"/>
              </w:rPr>
              <w:t>Total mortgage loans held for investment</w:t>
            </w:r>
          </w:p>
        </w:tc>
        <w:tc>
          <w:tcPr>
            <w:tcW w:w="14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2,271,516</w:t>
            </w:r>
          </w:p>
        </w:tc>
        <w:tc>
          <w:tcPr>
            <w:tcW w:w="140" w:type="dxa"/>
            <w:vAlign w:val="bottom"/>
            <w:tcBorders>
              <w:top w:val="single" w:sz="8" w:color="CCEEFF"/>
              <w:bottom w:val="single" w:sz="8" w:color="CCEEFF"/>
            </w:tcBorders>
          </w:tcPr>
          <w:p>
            <w:pPr>
              <w:spacing w:after="0"/>
              <w:rPr>
                <w:sz w:val="22"/>
                <w:szCs w:val="22"/>
                <w:color w:val="auto"/>
              </w:rPr>
            </w:pPr>
          </w:p>
        </w:tc>
        <w:tc>
          <w:tcPr>
            <w:tcW w:w="20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1000" w:type="dxa"/>
            <w:vAlign w:val="bottom"/>
            <w:tcBorders>
              <w:top w:val="single" w:sz="8" w:color="CCEEFF"/>
              <w:bottom w:val="single" w:sz="8" w:color="CCEEFF"/>
            </w:tcBorders>
          </w:tcPr>
          <w:p>
            <w:pPr>
              <w:spacing w:after="0"/>
              <w:rPr>
                <w:sz w:val="22"/>
                <w:szCs w:val="22"/>
                <w:color w:val="auto"/>
              </w:rPr>
            </w:pPr>
          </w:p>
        </w:tc>
        <w:tc>
          <w:tcPr>
            <w:tcW w:w="18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980" w:type="dxa"/>
            <w:vAlign w:val="bottom"/>
            <w:tcBorders>
              <w:top w:val="single" w:sz="8" w:color="CCEEFF"/>
              <w:bottom w:val="single" w:sz="8" w:color="CCEEFF"/>
            </w:tcBorders>
          </w:tcPr>
          <w:p>
            <w:pPr>
              <w:spacing w:after="0"/>
              <w:rPr>
                <w:sz w:val="22"/>
                <w:szCs w:val="22"/>
                <w:color w:val="auto"/>
              </w:rPr>
            </w:pPr>
          </w:p>
        </w:tc>
        <w:tc>
          <w:tcPr>
            <w:tcW w:w="340" w:type="dxa"/>
            <w:vAlign w:val="bottom"/>
            <w:tcBorders>
              <w:top w:val="single" w:sz="8" w:color="CCEEFF"/>
              <w:bottom w:val="single" w:sz="8" w:color="CCEEFF"/>
            </w:tcBorders>
          </w:tcPr>
          <w:p>
            <w:pPr>
              <w:spacing w:after="0"/>
              <w:rPr>
                <w:sz w:val="22"/>
                <w:szCs w:val="22"/>
                <w:color w:val="auto"/>
              </w:rPr>
            </w:pPr>
          </w:p>
        </w:tc>
        <w:tc>
          <w:tcPr>
            <w:tcW w:w="1040" w:type="dxa"/>
            <w:vAlign w:val="bottom"/>
            <w:tcBorders>
              <w:top w:val="single" w:sz="8" w:color="CCEEFF"/>
              <w:bottom w:val="single" w:sz="8" w:color="CCEEFF"/>
            </w:tcBorders>
          </w:tcPr>
          <w:p>
            <w:pPr>
              <w:spacing w:after="0"/>
              <w:rPr>
                <w:sz w:val="22"/>
                <w:szCs w:val="22"/>
                <w:color w:val="auto"/>
              </w:rPr>
            </w:pPr>
          </w:p>
        </w:tc>
        <w:tc>
          <w:tcPr>
            <w:tcW w:w="60" w:type="dxa"/>
            <w:vAlign w:val="bottom"/>
            <w:tcBorders>
              <w:top w:val="single" w:sz="8" w:color="CCEEFF"/>
              <w:bottom w:val="single" w:sz="8" w:color="CCEEFF"/>
            </w:tcBorders>
          </w:tcPr>
          <w:p>
            <w:pPr>
              <w:spacing w:after="0"/>
              <w:rPr>
                <w:sz w:val="22"/>
                <w:szCs w:val="22"/>
                <w:color w:val="auto"/>
              </w:rPr>
            </w:pPr>
          </w:p>
        </w:tc>
        <w:tc>
          <w:tcPr>
            <w:tcW w:w="320" w:type="dxa"/>
            <w:vAlign w:val="bottom"/>
            <w:tcBorders>
              <w:top w:val="single" w:sz="8" w:color="CCEEFF"/>
              <w:bottom w:val="single" w:sz="8" w:color="CCEEFF"/>
            </w:tcBorders>
          </w:tcPr>
          <w:p>
            <w:pPr>
              <w:spacing w:after="0"/>
              <w:rPr>
                <w:sz w:val="22"/>
                <w:szCs w:val="22"/>
                <w:color w:val="auto"/>
              </w:rPr>
            </w:pPr>
          </w:p>
        </w:tc>
        <w:tc>
          <w:tcPr>
            <w:tcW w:w="220" w:type="dxa"/>
            <w:vAlign w:val="bottom"/>
            <w:tcBorders>
              <w:top w:val="single" w:sz="8" w:color="CCEEFF"/>
              <w:bottom w:val="single" w:sz="8" w:color="CCEEFF"/>
            </w:tcBorders>
          </w:tcPr>
          <w:p>
            <w:pPr>
              <w:spacing w:after="0"/>
              <w:rPr>
                <w:sz w:val="22"/>
                <w:szCs w:val="22"/>
                <w:color w:val="auto"/>
              </w:rPr>
            </w:pPr>
          </w:p>
        </w:tc>
        <w:tc>
          <w:tcPr>
            <w:tcW w:w="90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060" w:type="dxa"/>
            <w:vAlign w:val="bottom"/>
            <w:shd w:val="clear" w:color="auto" w:fill="CCEEFF"/>
          </w:tcPr>
          <w:p>
            <w:pPr>
              <w:spacing w:after="0"/>
              <w:rPr>
                <w:sz w:val="17"/>
                <w:szCs w:val="17"/>
                <w:color w:val="auto"/>
              </w:rPr>
            </w:pPr>
          </w:p>
        </w:tc>
        <w:tc>
          <w:tcPr>
            <w:tcW w:w="2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4040" w:type="dxa"/>
            <w:vAlign w:val="bottom"/>
            <w:gridSpan w:val="2"/>
          </w:tcPr>
          <w:p>
            <w:pPr>
              <w:spacing w:after="0"/>
              <w:rPr>
                <w:sz w:val="20"/>
                <w:szCs w:val="20"/>
                <w:color w:val="auto"/>
              </w:rPr>
            </w:pPr>
            <w:r>
              <w:rPr>
                <w:rFonts w:ascii="Arial" w:cs="Arial" w:eastAsia="Arial" w:hAnsi="Arial"/>
                <w:sz w:val="18"/>
                <w:szCs w:val="18"/>
                <w:color w:val="auto"/>
              </w:rPr>
              <w:t>Real estate held for investment: Residential</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1,172</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tcBorders>
              <w:top w:val="single" w:sz="8" w:color="CCEEFF"/>
            </w:tcBorders>
            <w:shd w:val="clear" w:color="auto" w:fill="CCEEFF"/>
          </w:tcPr>
          <w:p>
            <w:pPr>
              <w:spacing w:after="0"/>
              <w:rPr>
                <w:sz w:val="17"/>
                <w:szCs w:val="17"/>
                <w:color w:val="auto"/>
              </w:rPr>
            </w:pPr>
          </w:p>
        </w:tc>
        <w:tc>
          <w:tcPr>
            <w:tcW w:w="29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404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1,077,601</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060" w:type="dxa"/>
            <w:vAlign w:val="bottom"/>
            <w:tcBorders>
              <w:top w:val="single" w:sz="8" w:color="CCEEFF"/>
            </w:tcBorders>
            <w:shd w:val="clear" w:color="auto" w:fill="CCEEFF"/>
          </w:tcPr>
          <w:p>
            <w:pPr>
              <w:spacing w:after="0"/>
              <w:rPr>
                <w:sz w:val="17"/>
                <w:szCs w:val="17"/>
                <w:color w:val="auto"/>
              </w:rPr>
            </w:pPr>
          </w:p>
        </w:tc>
        <w:tc>
          <w:tcPr>
            <w:tcW w:w="29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4040" w:type="dxa"/>
            <w:vAlign w:val="bottom"/>
            <w:gridSpan w:val="2"/>
          </w:tcPr>
          <w:p>
            <w:pPr>
              <w:spacing w:after="0"/>
              <w:rPr>
                <w:sz w:val="20"/>
                <w:szCs w:val="20"/>
                <w:color w:val="auto"/>
              </w:rPr>
            </w:pPr>
            <w:r>
              <w:rPr>
                <w:rFonts w:ascii="Arial" w:cs="Arial" w:eastAsia="Arial" w:hAnsi="Arial"/>
                <w:sz w:val="18"/>
                <w:szCs w:val="18"/>
                <w:color w:val="auto"/>
              </w:rPr>
              <w:t>Total cemetery perpetual care trust investments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7,666,221</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060" w:type="dxa"/>
            <w:vAlign w:val="bottom"/>
            <w:tcBorders>
              <w:top w:val="single" w:sz="8" w:color="CCEEFF"/>
            </w:tcBorders>
            <w:shd w:val="clear" w:color="auto" w:fill="CCEEFF"/>
          </w:tcPr>
          <w:p>
            <w:pPr>
              <w:spacing w:after="0"/>
              <w:rPr>
                <w:sz w:val="17"/>
                <w:szCs w:val="17"/>
                <w:color w:val="auto"/>
              </w:rPr>
            </w:pPr>
          </w:p>
        </w:tc>
        <w:tc>
          <w:tcPr>
            <w:tcW w:w="29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4040" w:type="dxa"/>
            <w:vAlign w:val="bottom"/>
            <w:gridSpan w:val="2"/>
          </w:tcPr>
          <w:p>
            <w:pPr>
              <w:spacing w:after="0"/>
              <w:rPr>
                <w:sz w:val="20"/>
                <w:szCs w:val="20"/>
                <w:color w:val="auto"/>
              </w:rPr>
            </w:pPr>
            <w:r>
              <w:rPr>
                <w:rFonts w:ascii="Arial" w:cs="Arial" w:eastAsia="Arial" w:hAnsi="Arial"/>
                <w:sz w:val="18"/>
                <w:szCs w:val="18"/>
                <w:color w:val="auto"/>
              </w:rPr>
              <w:t>Cemetery perpetual care obligation</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(5,207,198)</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tcBorders>
              <w:top w:val="single" w:sz="8" w:color="CCEEFF"/>
            </w:tcBorders>
            <w:shd w:val="clear" w:color="auto" w:fill="CCEEFF"/>
          </w:tcPr>
          <w:p>
            <w:pPr>
              <w:spacing w:after="0"/>
              <w:rPr>
                <w:sz w:val="17"/>
                <w:szCs w:val="17"/>
                <w:color w:val="auto"/>
              </w:rPr>
            </w:pPr>
          </w:p>
        </w:tc>
        <w:tc>
          <w:tcPr>
            <w:tcW w:w="29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040" w:type="dxa"/>
            <w:vAlign w:val="bottom"/>
            <w:gridSpan w:val="2"/>
          </w:tcPr>
          <w:p>
            <w:pPr>
              <w:spacing w:after="0"/>
              <w:rPr>
                <w:sz w:val="20"/>
                <w:szCs w:val="20"/>
                <w:color w:val="auto"/>
              </w:rPr>
            </w:pPr>
            <w:r>
              <w:rPr>
                <w:rFonts w:ascii="Arial" w:cs="Arial" w:eastAsia="Arial" w:hAnsi="Arial"/>
                <w:sz w:val="18"/>
                <w:szCs w:val="18"/>
                <w:color w:val="auto"/>
              </w:rPr>
              <w:t>Trust investments in excess of trust obligations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2,459,023</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vMerge w:val="restart"/>
          </w:tcPr>
          <w:p>
            <w:pPr>
              <w:jc w:val="right"/>
              <w:spacing w:after="0"/>
              <w:rPr>
                <w:sz w:val="20"/>
                <w:szCs w:val="20"/>
                <w:color w:val="auto"/>
              </w:rPr>
            </w:pPr>
            <w:r>
              <w:rPr>
                <w:rFonts w:ascii="Arial" w:cs="Arial" w:eastAsia="Arial" w:hAnsi="Arial"/>
                <w:sz w:val="18"/>
                <w:szCs w:val="18"/>
                <w:color w:val="auto"/>
              </w:rPr>
              <w:t>52</w:t>
            </w: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10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gridSpan w:val="2"/>
            <w:vMerge w:val="continue"/>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2" w:right="339" w:bottom="1440" w:gutter="0" w:footer="0" w:header="0"/>
        </w:sectPr>
      </w:pPr>
    </w:p>
    <w:bookmarkStart w:id="55" w:name="page56"/>
    <w:bookmarkEnd w:id="55"/>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June 30, 2023 (Unaudited)</w:t>
      </w:r>
    </w:p>
    <w:p>
      <w:pPr>
        <w:spacing w:after="0" w:line="184" w:lineRule="exact"/>
        <w:rPr>
          <w:sz w:val="20"/>
          <w:szCs w:val="20"/>
          <w:color w:val="auto"/>
        </w:rPr>
      </w:pPr>
    </w:p>
    <w:p>
      <w:pPr>
        <w:ind w:left="300" w:hanging="292"/>
        <w:spacing w:after="0"/>
        <w:tabs>
          <w:tab w:leader="none" w:pos="30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Cemetery Perpetual Care Trust Investments and Obligations and Restricted Assets</w:t>
      </w:r>
      <w:r>
        <w:rPr>
          <w:rFonts w:ascii="Arial" w:cs="Arial" w:eastAsia="Arial" w:hAnsi="Arial"/>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cemetery perpetual care investments and obligation as of December 31, 2022,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3"/>
          </w:tcPr>
          <w:p>
            <w:pPr>
              <w:jc w:val="center"/>
              <w:ind w:right="320"/>
              <w:spacing w:after="0"/>
              <w:rPr>
                <w:sz w:val="20"/>
                <w:szCs w:val="20"/>
                <w:color w:val="auto"/>
              </w:rPr>
            </w:pPr>
            <w:r>
              <w:rPr>
                <w:rFonts w:ascii="Arial" w:cs="Arial" w:eastAsia="Arial" w:hAnsi="Arial"/>
                <w:sz w:val="18"/>
                <w:szCs w:val="18"/>
                <w:color w:val="auto"/>
                <w:w w:val="90"/>
              </w:rPr>
              <w:t>Gross Unrealized</w:t>
            </w:r>
          </w:p>
        </w:tc>
        <w:tc>
          <w:tcPr>
            <w:tcW w:w="1520" w:type="dxa"/>
            <w:vAlign w:val="bottom"/>
            <w:gridSpan w:val="3"/>
          </w:tcPr>
          <w:p>
            <w:pPr>
              <w:jc w:val="right"/>
              <w:ind w:right="141"/>
              <w:spacing w:after="0"/>
              <w:rPr>
                <w:sz w:val="20"/>
                <w:szCs w:val="20"/>
                <w:color w:val="auto"/>
              </w:rPr>
            </w:pPr>
            <w:r>
              <w:rPr>
                <w:rFonts w:ascii="Arial" w:cs="Arial" w:eastAsia="Arial" w:hAnsi="Arial"/>
                <w:sz w:val="18"/>
                <w:szCs w:val="18"/>
                <w:color w:val="auto"/>
                <w:w w:val="92"/>
              </w:rPr>
              <w:t>Gross Unrealized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Estimated Fair</w:t>
            </w:r>
          </w:p>
        </w:tc>
        <w:tc>
          <w:tcPr>
            <w:tcW w:w="0" w:type="dxa"/>
            <w:vAlign w:val="bottom"/>
          </w:tcPr>
          <w:p>
            <w:pPr>
              <w:spacing w:after="0"/>
              <w:rPr>
                <w:sz w:val="1"/>
                <w:szCs w:val="1"/>
                <w:color w:val="auto"/>
              </w:rPr>
            </w:pPr>
          </w:p>
        </w:tc>
      </w:tr>
      <w:tr>
        <w:trPr>
          <w:trHeight w:val="237"/>
        </w:trPr>
        <w:tc>
          <w:tcPr>
            <w:tcW w:w="1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w w:val="90"/>
              </w:rPr>
              <w:t>Amortized Cost</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2"/>
          </w:tcPr>
          <w:p>
            <w:pPr>
              <w:jc w:val="center"/>
              <w:ind w:right="600"/>
              <w:spacing w:after="0"/>
              <w:rPr>
                <w:sz w:val="20"/>
                <w:szCs w:val="20"/>
                <w:color w:val="auto"/>
              </w:rPr>
            </w:pPr>
            <w:r>
              <w:rPr>
                <w:rFonts w:ascii="Arial" w:cs="Arial" w:eastAsia="Arial" w:hAnsi="Arial"/>
                <w:sz w:val="18"/>
                <w:szCs w:val="18"/>
                <w:color w:val="auto"/>
                <w:w w:val="89"/>
              </w:rPr>
              <w:t>Gains</w:t>
            </w:r>
          </w:p>
        </w:tc>
        <w:tc>
          <w:tcPr>
            <w:tcW w:w="260" w:type="dxa"/>
            <w:vAlign w:val="bottom"/>
          </w:tcPr>
          <w:p>
            <w:pPr>
              <w:spacing w:after="0"/>
              <w:rPr>
                <w:sz w:val="20"/>
                <w:szCs w:val="20"/>
                <w:color w:val="auto"/>
              </w:rPr>
            </w:pPr>
          </w:p>
        </w:tc>
        <w:tc>
          <w:tcPr>
            <w:tcW w:w="1260" w:type="dxa"/>
            <w:vAlign w:val="bottom"/>
            <w:gridSpan w:val="2"/>
          </w:tcPr>
          <w:p>
            <w:pPr>
              <w:jc w:val="right"/>
              <w:ind w:right="541"/>
              <w:spacing w:after="0"/>
              <w:rPr>
                <w:sz w:val="20"/>
                <w:szCs w:val="20"/>
                <w:color w:val="auto"/>
              </w:rPr>
            </w:pPr>
            <w:r>
              <w:rPr>
                <w:rFonts w:ascii="Arial" w:cs="Arial" w:eastAsia="Arial" w:hAnsi="Arial"/>
                <w:sz w:val="18"/>
                <w:szCs w:val="18"/>
                <w:color w:val="auto"/>
              </w:rPr>
              <w:t>Losses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196"/>
        </w:trPr>
        <w:tc>
          <w:tcPr>
            <w:tcW w:w="1480" w:type="dxa"/>
            <w:vAlign w:val="bottom"/>
            <w:tcBorders>
              <w:top w:val="single" w:sz="8" w:color="CCEEFF"/>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9"/>
              </w:rPr>
              <w:t>December 31, 2022:</w:t>
            </w:r>
          </w:p>
        </w:tc>
        <w:tc>
          <w:tcPr>
            <w:tcW w:w="326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1260" w:type="dxa"/>
            <w:vAlign w:val="bottom"/>
            <w:tcBorders>
              <w:top w:val="single" w:sz="8" w:color="auto"/>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CCEEFF"/>
            </w:tcBorders>
            <w:shd w:val="clear" w:color="auto" w:fill="CCEEFF"/>
          </w:tcPr>
          <w:p>
            <w:pPr>
              <w:spacing w:after="0"/>
              <w:rPr>
                <w:sz w:val="17"/>
                <w:szCs w:val="17"/>
                <w:color w:val="auto"/>
              </w:rPr>
            </w:pP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740" w:type="dxa"/>
            <w:vAlign w:val="bottom"/>
            <w:gridSpan w:val="3"/>
          </w:tcPr>
          <w:p>
            <w:pPr>
              <w:spacing w:after="0" w:line="201" w:lineRule="exact"/>
              <w:rPr>
                <w:sz w:val="20"/>
                <w:szCs w:val="20"/>
                <w:color w:val="auto"/>
              </w:rPr>
            </w:pPr>
            <w:r>
              <w:rPr>
                <w:rFonts w:ascii="Arial" w:cs="Arial" w:eastAsia="Arial" w:hAnsi="Arial"/>
                <w:sz w:val="18"/>
                <w:szCs w:val="18"/>
                <w:color w:val="auto"/>
                <w:w w:val="98"/>
              </w:rPr>
              <w:t>Fixed maturity securities, available for sale, at estimated fair</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40" w:type="dxa"/>
            <w:vAlign w:val="bottom"/>
            <w:gridSpan w:val="3"/>
          </w:tcPr>
          <w:p>
            <w:pPr>
              <w:spacing w:after="0"/>
              <w:rPr>
                <w:sz w:val="20"/>
                <w:szCs w:val="20"/>
                <w:color w:val="auto"/>
              </w:rPr>
            </w:pPr>
            <w:r>
              <w:rPr>
                <w:rFonts w:ascii="Arial" w:cs="Arial" w:eastAsia="Arial" w:hAnsi="Arial"/>
                <w:sz w:val="18"/>
                <w:szCs w:val="18"/>
                <w:color w:val="auto"/>
              </w:rPr>
              <w:t>value:</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740" w:type="dxa"/>
            <w:vAlign w:val="bottom"/>
            <w:gridSpan w:val="3"/>
            <w:shd w:val="clear" w:color="auto" w:fill="CCEEFF"/>
          </w:tcPr>
          <w:p>
            <w:pPr>
              <w:ind w:left="180"/>
              <w:spacing w:after="0" w:line="201" w:lineRule="exact"/>
              <w:rPr>
                <w:sz w:val="20"/>
                <w:szCs w:val="20"/>
                <w:color w:val="auto"/>
              </w:rPr>
            </w:pPr>
            <w:r>
              <w:rPr>
                <w:rFonts w:ascii="Arial" w:cs="Arial" w:eastAsia="Arial" w:hAnsi="Arial"/>
                <w:sz w:val="18"/>
                <w:szCs w:val="18"/>
                <w:color w:val="auto"/>
              </w:rPr>
              <w:t>U.S. Treasury securities and obligations of U.S.</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Government agencies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89,004</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89,008</w:t>
            </w:r>
          </w:p>
        </w:tc>
        <w:tc>
          <w:tcPr>
            <w:tcW w:w="0" w:type="dxa"/>
            <w:vAlign w:val="bottom"/>
          </w:tcPr>
          <w:p>
            <w:pPr>
              <w:spacing w:after="0"/>
              <w:rPr>
                <w:sz w:val="1"/>
                <w:szCs w:val="1"/>
                <w:color w:val="auto"/>
              </w:rPr>
            </w:pPr>
          </w:p>
        </w:tc>
      </w:tr>
      <w:tr>
        <w:trPr>
          <w:trHeight w:val="237"/>
        </w:trPr>
        <w:tc>
          <w:tcPr>
            <w:tcW w:w="4740" w:type="dxa"/>
            <w:vAlign w:val="bottom"/>
            <w:gridSpan w:val="3"/>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10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174,201</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60" w:type="dxa"/>
            <w:vAlign w:val="bottom"/>
            <w:gridSpan w:val="2"/>
          </w:tcPr>
          <w:p>
            <w:pPr>
              <w:jc w:val="right"/>
              <w:ind w:right="41"/>
              <w:spacing w:after="0"/>
              <w:rPr>
                <w:sz w:val="20"/>
                <w:szCs w:val="20"/>
                <w:color w:val="auto"/>
              </w:rPr>
            </w:pPr>
            <w:r>
              <w:rPr>
                <w:rFonts w:ascii="Arial" w:cs="Arial" w:eastAsia="Arial" w:hAnsi="Arial"/>
                <w:sz w:val="18"/>
                <w:szCs w:val="18"/>
                <w:color w:val="auto"/>
              </w:rPr>
              <w:t>(8,478)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165,723</w:t>
            </w:r>
          </w:p>
        </w:tc>
        <w:tc>
          <w:tcPr>
            <w:tcW w:w="0" w:type="dxa"/>
            <w:vAlign w:val="bottom"/>
          </w:tcPr>
          <w:p>
            <w:pPr>
              <w:spacing w:after="0"/>
              <w:rPr>
                <w:sz w:val="1"/>
                <w:szCs w:val="1"/>
                <w:color w:val="auto"/>
              </w:rPr>
            </w:pPr>
          </w:p>
        </w:tc>
      </w:tr>
      <w:tr>
        <w:trPr>
          <w:trHeight w:val="229"/>
        </w:trPr>
        <w:tc>
          <w:tcPr>
            <w:tcW w:w="4740" w:type="dxa"/>
            <w:vAlign w:val="bottom"/>
            <w:tcBorders>
              <w:top w:val="single" w:sz="8" w:color="CCEEFF"/>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Total fixed maturity securities available for sale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263,205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(8,516</w:t>
            </w:r>
          </w:p>
        </w:tc>
        <w:tc>
          <w:tcPr>
            <w:tcW w:w="18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254,731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 securities at estimated fair value:</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3"/>
          </w:tcPr>
          <w:p>
            <w:pPr>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Industrial, miscellaneous and all other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3,195,942</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584,383</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(175,163)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3,605,162</w:t>
            </w:r>
          </w:p>
        </w:tc>
        <w:tc>
          <w:tcPr>
            <w:tcW w:w="0" w:type="dxa"/>
            <w:vAlign w:val="bottom"/>
          </w:tcPr>
          <w:p>
            <w:pPr>
              <w:spacing w:after="0"/>
              <w:rPr>
                <w:sz w:val="1"/>
                <w:szCs w:val="1"/>
                <w:color w:val="auto"/>
              </w:rPr>
            </w:pPr>
          </w:p>
        </w:tc>
      </w:tr>
      <w:tr>
        <w:trPr>
          <w:trHeight w:val="257"/>
        </w:trPr>
        <w:tc>
          <w:tcPr>
            <w:tcW w:w="4740" w:type="dxa"/>
            <w:vAlign w:val="bottom"/>
            <w:tcBorders>
              <w:top w:val="single" w:sz="8" w:color="CCEEFF"/>
              <w:bottom w:val="single" w:sz="8" w:color="CCEEFF"/>
            </w:tcBorders>
            <w:gridSpan w:val="3"/>
          </w:tcPr>
          <w:p>
            <w:pPr>
              <w:ind w:left="180"/>
              <w:spacing w:after="0"/>
              <w:rPr>
                <w:sz w:val="20"/>
                <w:szCs w:val="20"/>
                <w:color w:val="auto"/>
              </w:rPr>
            </w:pPr>
            <w:r>
              <w:rPr>
                <w:rFonts w:ascii="Arial" w:cs="Arial" w:eastAsia="Arial" w:hAnsi="Arial"/>
                <w:sz w:val="18"/>
                <w:szCs w:val="18"/>
                <w:color w:val="auto"/>
              </w:rPr>
              <w:t>Total equity securities at estimated fair value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3,195,942</w:t>
            </w:r>
          </w:p>
        </w:tc>
        <w:tc>
          <w:tcPr>
            <w:tcW w:w="20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584,383</w:t>
            </w:r>
          </w:p>
        </w:tc>
        <w:tc>
          <w:tcPr>
            <w:tcW w:w="320" w:type="dxa"/>
            <w:vAlign w:val="bottom"/>
            <w:tcBorders>
              <w:top w:val="single" w:sz="8" w:color="CCEEFF"/>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(175,163</w:t>
            </w:r>
          </w:p>
        </w:tc>
        <w:tc>
          <w:tcPr>
            <w:tcW w:w="180" w:type="dxa"/>
            <w:vAlign w:val="bottom"/>
            <w:tcBorders>
              <w:top w:val="single" w:sz="8" w:color="CCEEFF"/>
              <w:bottom w:val="single" w:sz="8" w:color="CCEEFF"/>
            </w:tcBorders>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3,605,162</w:t>
            </w:r>
          </w:p>
        </w:tc>
        <w:tc>
          <w:tcPr>
            <w:tcW w:w="10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gridSpan w:val="3"/>
          </w:tcPr>
          <w:p>
            <w:pPr>
              <w:spacing w:after="0"/>
              <w:rPr>
                <w:sz w:val="20"/>
                <w:szCs w:val="20"/>
                <w:color w:val="auto"/>
              </w:rPr>
            </w:pPr>
            <w:r>
              <w:rPr>
                <w:rFonts w:ascii="Arial" w:cs="Arial" w:eastAsia="Arial" w:hAnsi="Arial"/>
                <w:sz w:val="18"/>
                <w:szCs w:val="18"/>
                <w:color w:val="auto"/>
              </w:rPr>
              <w:t>Mortgage loans held for investment at amortized cost:</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47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Residential construction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1,506,517</w:t>
            </w:r>
          </w:p>
        </w:tc>
        <w:tc>
          <w:tcPr>
            <w:tcW w:w="1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Real estate held for investment: Residential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(16,178)</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1,925,978</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cemetery perpetual care trust investments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7,276,210</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Cemetery perpetual care obligation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(5,099,542)</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Trust investments in excess of trust obligations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2,176,668</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Fixed Maturity Securities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74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table below summarizes unrealized losses on fixed maturities securities that were carried at estimated fair value at June 30, 2023 and at December 31, 2022. The unrealized losses were primarily related to interest rate fluctuations and inflation. The tables set forth unrealized losses by duration with the fair value of the related fixed maturity securities:</w:t>
      </w:r>
    </w:p>
    <w:tbl>
      <w:tblPr>
        <w:tblLayout w:type="fixed"/>
        <w:tblInd w:w="0" w:type="dxa"/>
        <w:tblCellMar>
          <w:top w:w="0" w:type="dxa"/>
          <w:left w:w="0" w:type="dxa"/>
          <w:bottom w:w="0" w:type="dxa"/>
          <w:right w:w="0" w:type="dxa"/>
        </w:tblCellMar>
      </w:tblPr>
      <w:tr>
        <w:trPr>
          <w:trHeight w:val="204"/>
        </w:trPr>
        <w:tc>
          <w:tcPr>
            <w:tcW w:w="1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160" w:type="dxa"/>
            <w:vAlign w:val="bottom"/>
            <w:gridSpan w:val="3"/>
          </w:tcPr>
          <w:p>
            <w:pPr>
              <w:spacing w:after="0" w:line="204" w:lineRule="exact"/>
              <w:rPr>
                <w:sz w:val="20"/>
                <w:szCs w:val="20"/>
                <w:color w:val="auto"/>
              </w:rPr>
            </w:pPr>
            <w:r>
              <w:rPr>
                <w:rFonts w:ascii="Arial" w:cs="Arial" w:eastAsia="Arial" w:hAnsi="Arial"/>
                <w:sz w:val="18"/>
                <w:szCs w:val="18"/>
                <w:color w:val="auto"/>
              </w:rPr>
              <w:t>Unrealized</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3"/>
          </w:tcPr>
          <w:p>
            <w:pPr>
              <w:spacing w:after="0" w:line="204" w:lineRule="exact"/>
              <w:rPr>
                <w:sz w:val="20"/>
                <w:szCs w:val="20"/>
                <w:color w:val="auto"/>
              </w:rPr>
            </w:pPr>
            <w:r>
              <w:rPr>
                <w:rFonts w:ascii="Arial" w:cs="Arial" w:eastAsia="Arial" w:hAnsi="Arial"/>
                <w:sz w:val="18"/>
                <w:szCs w:val="18"/>
                <w:color w:val="auto"/>
              </w:rPr>
              <w:t>Unrealized</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auto"/>
              </w:rPr>
              <w:t>Losses for</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ind w:left="20"/>
              <w:spacing w:after="0"/>
              <w:rPr>
                <w:sz w:val="20"/>
                <w:szCs w:val="20"/>
                <w:color w:val="auto"/>
              </w:rPr>
            </w:pPr>
            <w:r>
              <w:rPr>
                <w:rFonts w:ascii="Arial" w:cs="Arial" w:eastAsia="Arial" w:hAnsi="Arial"/>
                <w:sz w:val="18"/>
                <w:szCs w:val="18"/>
                <w:color w:val="auto"/>
              </w:rPr>
              <w:t>Losses for</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160" w:type="dxa"/>
            <w:vAlign w:val="bottom"/>
            <w:gridSpan w:val="3"/>
          </w:tcPr>
          <w:p>
            <w:pPr>
              <w:jc w:val="center"/>
              <w:ind w:right="360"/>
              <w:spacing w:after="0"/>
              <w:rPr>
                <w:sz w:val="20"/>
                <w:szCs w:val="20"/>
                <w:color w:val="auto"/>
              </w:rPr>
            </w:pPr>
            <w:r>
              <w:rPr>
                <w:rFonts w:ascii="Arial" w:cs="Arial" w:eastAsia="Arial" w:hAnsi="Arial"/>
                <w:sz w:val="18"/>
                <w:szCs w:val="18"/>
                <w:color w:val="auto"/>
                <w:w w:val="87"/>
              </w:rPr>
              <w:t>Less than</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ind w:left="20"/>
              <w:spacing w:after="0"/>
              <w:rPr>
                <w:sz w:val="20"/>
                <w:szCs w:val="20"/>
                <w:color w:val="auto"/>
              </w:rPr>
            </w:pPr>
            <w:r>
              <w:rPr>
                <w:rFonts w:ascii="Arial" w:cs="Arial" w:eastAsia="Arial" w:hAnsi="Arial"/>
                <w:sz w:val="18"/>
                <w:szCs w:val="18"/>
                <w:color w:val="auto"/>
              </w:rPr>
              <w:t>More than</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460"/>
              <w:spacing w:after="0"/>
              <w:rPr>
                <w:sz w:val="20"/>
                <w:szCs w:val="20"/>
                <w:color w:val="auto"/>
              </w:rPr>
            </w:pPr>
            <w:r>
              <w:rPr>
                <w:rFonts w:ascii="Arial" w:cs="Arial" w:eastAsia="Arial" w:hAnsi="Arial"/>
                <w:sz w:val="18"/>
                <w:szCs w:val="18"/>
                <w:color w:val="auto"/>
                <w:w w:val="91"/>
              </w:rPr>
              <w:t>Twelve</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40"/>
              <w:spacing w:after="0"/>
              <w:rPr>
                <w:sz w:val="20"/>
                <w:szCs w:val="20"/>
                <w:color w:val="auto"/>
              </w:rPr>
            </w:pPr>
            <w:r>
              <w:rPr>
                <w:rFonts w:ascii="Arial" w:cs="Arial" w:eastAsia="Arial" w:hAnsi="Arial"/>
                <w:sz w:val="18"/>
                <w:szCs w:val="18"/>
                <w:color w:val="auto"/>
              </w:rPr>
              <w:t>Twelve</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4"/>
          </w:tcPr>
          <w:p>
            <w:pPr>
              <w:ind w:left="160"/>
              <w:spacing w:after="0"/>
              <w:rPr>
                <w:sz w:val="20"/>
                <w:szCs w:val="20"/>
                <w:color w:val="auto"/>
              </w:rPr>
            </w:pPr>
            <w:r>
              <w:rPr>
                <w:rFonts w:ascii="Arial" w:cs="Arial" w:eastAsia="Arial" w:hAnsi="Arial"/>
                <w:sz w:val="18"/>
                <w:szCs w:val="18"/>
                <w:color w:val="auto"/>
              </w:rPr>
              <w:t>Unrealized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1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center"/>
              <w:ind w:right="460"/>
              <w:spacing w:after="0"/>
              <w:rPr>
                <w:sz w:val="20"/>
                <w:szCs w:val="20"/>
                <w:color w:val="auto"/>
              </w:rPr>
            </w:pPr>
            <w:r>
              <w:rPr>
                <w:rFonts w:ascii="Arial" w:cs="Arial" w:eastAsia="Arial" w:hAnsi="Arial"/>
                <w:sz w:val="18"/>
                <w:szCs w:val="18"/>
                <w:color w:val="auto"/>
                <w:w w:val="94"/>
              </w:rPr>
              <w:t>Months</w:t>
            </w:r>
          </w:p>
        </w:tc>
        <w:tc>
          <w:tcPr>
            <w:tcW w:w="960" w:type="dxa"/>
            <w:vAlign w:val="bottom"/>
            <w:gridSpan w:val="3"/>
          </w:tcPr>
          <w:p>
            <w:pPr>
              <w:ind w:left="20"/>
              <w:spacing w:after="0"/>
              <w:rPr>
                <w:sz w:val="20"/>
                <w:szCs w:val="20"/>
                <w:color w:val="auto"/>
              </w:rPr>
            </w:pPr>
            <w:r>
              <w:rPr>
                <w:rFonts w:ascii="Arial" w:cs="Arial" w:eastAsia="Arial" w:hAnsi="Arial"/>
                <w:sz w:val="18"/>
                <w:szCs w:val="18"/>
                <w:color w:val="auto"/>
              </w:rPr>
              <w:t>Fair Value</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color w:val="auto"/>
              </w:rPr>
              <w:t>Months</w:t>
            </w:r>
          </w:p>
        </w:tc>
        <w:tc>
          <w:tcPr>
            <w:tcW w:w="940" w:type="dxa"/>
            <w:vAlign w:val="bottom"/>
            <w:gridSpan w:val="3"/>
          </w:tcPr>
          <w:p>
            <w:pPr>
              <w:ind w:left="20"/>
              <w:spacing w:after="0"/>
              <w:rPr>
                <w:sz w:val="20"/>
                <w:szCs w:val="20"/>
                <w:color w:val="auto"/>
              </w:rPr>
            </w:pPr>
            <w:r>
              <w:rPr>
                <w:rFonts w:ascii="Arial" w:cs="Arial" w:eastAsia="Arial" w:hAnsi="Arial"/>
                <w:sz w:val="18"/>
                <w:szCs w:val="18"/>
                <w:color w:val="auto"/>
              </w:rPr>
              <w:t>Fair Value</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ind w:left="80"/>
              <w:spacing w:after="0"/>
              <w:rPr>
                <w:sz w:val="20"/>
                <w:szCs w:val="20"/>
                <w:color w:val="auto"/>
              </w:rPr>
            </w:pPr>
            <w:r>
              <w:rPr>
                <w:rFonts w:ascii="Arial" w:cs="Arial" w:eastAsia="Arial" w:hAnsi="Arial"/>
                <w:sz w:val="18"/>
                <w:szCs w:val="18"/>
                <w:color w:val="auto"/>
              </w:rPr>
              <w:t>Loss</w:t>
            </w:r>
          </w:p>
        </w:tc>
        <w:tc>
          <w:tcPr>
            <w:tcW w:w="160" w:type="dxa"/>
            <w:vAlign w:val="bottom"/>
          </w:tcPr>
          <w:p>
            <w:pPr>
              <w:spacing w:after="0"/>
              <w:rPr>
                <w:sz w:val="20"/>
                <w:szCs w:val="20"/>
                <w:color w:val="auto"/>
              </w:rPr>
            </w:pPr>
          </w:p>
        </w:tc>
        <w:tc>
          <w:tcPr>
            <w:tcW w:w="880" w:type="dxa"/>
            <w:vAlign w:val="bottom"/>
            <w:gridSpan w:val="3"/>
          </w:tcPr>
          <w:p>
            <w:pPr>
              <w:ind w:left="20"/>
              <w:spacing w:after="0"/>
              <w:rPr>
                <w:sz w:val="20"/>
                <w:szCs w:val="20"/>
                <w:color w:val="auto"/>
              </w:rPr>
            </w:pPr>
            <w:r>
              <w:rPr>
                <w:rFonts w:ascii="Arial" w:cs="Arial" w:eastAsia="Arial" w:hAnsi="Arial"/>
                <w:sz w:val="18"/>
                <w:szCs w:val="18"/>
                <w:color w:val="auto"/>
              </w:rPr>
              <w:t>Fair Value</w:t>
            </w:r>
          </w:p>
        </w:tc>
      </w:tr>
      <w:tr>
        <w:trPr>
          <w:trHeight w:val="196"/>
        </w:trPr>
        <w:tc>
          <w:tcPr>
            <w:tcW w:w="1240" w:type="dxa"/>
            <w:vAlign w:val="bottom"/>
            <w:tcBorders>
              <w:top w:val="single" w:sz="8" w:color="CCEEFF"/>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9"/>
              </w:rPr>
              <w:t>At June 30, 2023</w:t>
            </w:r>
          </w:p>
        </w:tc>
        <w:tc>
          <w:tcPr>
            <w:tcW w:w="350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CCEEFF"/>
            </w:tcBorders>
            <w:shd w:val="clear" w:color="auto" w:fill="CCEEFF"/>
          </w:tcPr>
          <w:p>
            <w:pPr>
              <w:spacing w:after="0"/>
              <w:rPr>
                <w:sz w:val="17"/>
                <w:szCs w:val="17"/>
                <w:color w:val="auto"/>
              </w:rPr>
            </w:pPr>
          </w:p>
        </w:tc>
        <w:tc>
          <w:tcPr>
            <w:tcW w:w="3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CCEEFF"/>
            </w:tcBorders>
            <w:shd w:val="clear" w:color="auto" w:fill="CCEEFF"/>
          </w:tcPr>
          <w:p>
            <w:pPr>
              <w:spacing w:after="0"/>
              <w:rPr>
                <w:sz w:val="17"/>
                <w:szCs w:val="17"/>
                <w:color w:val="auto"/>
              </w:rPr>
            </w:pP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2"/>
        </w:trPr>
        <w:tc>
          <w:tcPr>
            <w:tcW w:w="4740" w:type="dxa"/>
            <w:vAlign w:val="bottom"/>
            <w:gridSpan w:val="3"/>
          </w:tcPr>
          <w:p>
            <w:pPr>
              <w:spacing w:after="0" w:line="201" w:lineRule="exact"/>
              <w:rPr>
                <w:sz w:val="20"/>
                <w:szCs w:val="20"/>
                <w:color w:val="auto"/>
              </w:rPr>
            </w:pPr>
            <w:r>
              <w:rPr>
                <w:rFonts w:ascii="Arial" w:cs="Arial" w:eastAsia="Arial" w:hAnsi="Arial"/>
                <w:sz w:val="18"/>
                <w:szCs w:val="18"/>
                <w:color w:val="auto"/>
                <w:w w:val="97"/>
              </w:rPr>
              <w:t>U.S. Treasury securities and obligations of U.S. Government</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740" w:type="dxa"/>
            <w:vAlign w:val="bottom"/>
            <w:gridSpan w:val="3"/>
          </w:tcPr>
          <w:p>
            <w:pPr>
              <w:spacing w:after="0"/>
              <w:rPr>
                <w:sz w:val="20"/>
                <w:szCs w:val="20"/>
                <w:color w:val="auto"/>
              </w:rPr>
            </w:pPr>
            <w:r>
              <w:rPr>
                <w:rFonts w:ascii="Arial" w:cs="Arial" w:eastAsia="Arial" w:hAnsi="Arial"/>
                <w:sz w:val="18"/>
                <w:szCs w:val="18"/>
                <w:color w:val="auto"/>
              </w:rPr>
              <w:t>agencies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2,402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176,593</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2,402</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176,593</w:t>
            </w:r>
          </w:p>
        </w:tc>
      </w:tr>
      <w:tr>
        <w:trPr>
          <w:trHeight w:val="216"/>
        </w:trPr>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1,182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94,166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94,166</w:t>
            </w:r>
          </w:p>
        </w:tc>
      </w:tr>
      <w:tr>
        <w:trPr>
          <w:trHeight w:val="236"/>
        </w:trPr>
        <w:tc>
          <w:tcPr>
            <w:tcW w:w="4740" w:type="dxa"/>
            <w:vAlign w:val="bottom"/>
            <w:gridSpan w:val="3"/>
          </w:tcPr>
          <w:p>
            <w:pPr>
              <w:spacing w:after="0"/>
              <w:rPr>
                <w:sz w:val="20"/>
                <w:szCs w:val="20"/>
                <w:color w:val="auto"/>
              </w:rPr>
            </w:pPr>
            <w:r>
              <w:rPr>
                <w:rFonts w:ascii="Arial" w:cs="Arial" w:eastAsia="Arial" w:hAnsi="Arial"/>
                <w:sz w:val="18"/>
                <w:szCs w:val="18"/>
                <w:color w:val="auto"/>
              </w:rPr>
              <w:t>Corporate securities including public utilities</w:t>
            </w:r>
          </w:p>
        </w:tc>
        <w:tc>
          <w:tcPr>
            <w:tcW w:w="100" w:type="dxa"/>
            <w:vAlign w:val="bottom"/>
          </w:tcPr>
          <w:p>
            <w:pPr>
              <w:spacing w:after="0"/>
              <w:rPr>
                <w:sz w:val="20"/>
                <w:szCs w:val="20"/>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6,359</w:t>
            </w:r>
          </w:p>
        </w:tc>
        <w:tc>
          <w:tcPr>
            <w:tcW w:w="14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70,150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6,359</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70,150</w:t>
            </w:r>
          </w:p>
        </w:tc>
      </w:tr>
      <w:tr>
        <w:trPr>
          <w:trHeight w:val="230"/>
        </w:trPr>
        <w:tc>
          <w:tcPr>
            <w:tcW w:w="474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unrealized losses</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2,402</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176,593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7,541</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164,316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340,909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75"/>
        </w:trPr>
        <w:tc>
          <w:tcPr>
            <w:tcW w:w="47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At December 31, 2022</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
        </w:trPr>
        <w:tc>
          <w:tcPr>
            <w:tcW w:w="124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3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02"/>
        </w:trPr>
        <w:tc>
          <w:tcPr>
            <w:tcW w:w="4740" w:type="dxa"/>
            <w:vAlign w:val="bottom"/>
            <w:gridSpan w:val="3"/>
          </w:tcPr>
          <w:p>
            <w:pPr>
              <w:spacing w:after="0" w:line="201" w:lineRule="exact"/>
              <w:rPr>
                <w:sz w:val="20"/>
                <w:szCs w:val="20"/>
                <w:color w:val="auto"/>
              </w:rPr>
            </w:pPr>
            <w:r>
              <w:rPr>
                <w:rFonts w:ascii="Arial" w:cs="Arial" w:eastAsia="Arial" w:hAnsi="Arial"/>
                <w:sz w:val="18"/>
                <w:szCs w:val="18"/>
                <w:color w:val="auto"/>
                <w:w w:val="97"/>
              </w:rPr>
              <w:t>U.S. Treasury securities and obligations of U.S. Government</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740" w:type="dxa"/>
            <w:vAlign w:val="bottom"/>
            <w:gridSpan w:val="3"/>
          </w:tcPr>
          <w:p>
            <w:pPr>
              <w:spacing w:after="0"/>
              <w:rPr>
                <w:sz w:val="20"/>
                <w:szCs w:val="20"/>
                <w:color w:val="auto"/>
              </w:rPr>
            </w:pPr>
            <w:r>
              <w:rPr>
                <w:rFonts w:ascii="Arial" w:cs="Arial" w:eastAsia="Arial" w:hAnsi="Arial"/>
                <w:sz w:val="18"/>
                <w:szCs w:val="18"/>
                <w:color w:val="auto"/>
              </w:rPr>
              <w:t>agencies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59,392</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59,392</w:t>
            </w:r>
          </w:p>
        </w:tc>
      </w:tr>
      <w:tr>
        <w:trPr>
          <w:trHeight w:val="249"/>
        </w:trPr>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1,845</w:t>
            </w:r>
          </w:p>
        </w:tc>
        <w:tc>
          <w:tcPr>
            <w:tcW w:w="14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94,612</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6,633</w:t>
            </w:r>
          </w:p>
        </w:tc>
        <w:tc>
          <w:tcPr>
            <w:tcW w:w="14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71,112</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8,478</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165,724</w:t>
            </w:r>
          </w:p>
        </w:tc>
      </w:tr>
      <w:tr>
        <w:trPr>
          <w:trHeight w:val="216"/>
        </w:trPr>
        <w:tc>
          <w:tcPr>
            <w:tcW w:w="4740" w:type="dxa"/>
            <w:vAlign w:val="bottom"/>
            <w:tcBorders>
              <w:top w:val="single" w:sz="8" w:color="CCEEFF"/>
            </w:tcBorders>
            <w:gridSpan w:val="3"/>
          </w:tcPr>
          <w:p>
            <w:pPr>
              <w:spacing w:after="0"/>
              <w:rPr>
                <w:sz w:val="20"/>
                <w:szCs w:val="20"/>
                <w:color w:val="auto"/>
              </w:rPr>
            </w:pPr>
            <w:r>
              <w:rPr>
                <w:rFonts w:ascii="Arial" w:cs="Arial" w:eastAsia="Arial" w:hAnsi="Arial"/>
                <w:sz w:val="18"/>
                <w:szCs w:val="18"/>
                <w:color w:val="auto"/>
              </w:rPr>
              <w:t>Total unrealized losses</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1,883</w:t>
            </w:r>
          </w:p>
        </w:tc>
        <w:tc>
          <w:tcPr>
            <w:tcW w:w="36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154,004</w:t>
            </w: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6,633</w:t>
            </w: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71,112</w:t>
            </w: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8,516</w:t>
            </w: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225,116</w:t>
            </w:r>
          </w:p>
        </w:tc>
        <w:tc>
          <w:tcPr>
            <w:tcW w:w="100" w:type="dxa"/>
            <w:vAlign w:val="bottom"/>
            <w:tcBorders>
              <w:top w:val="single" w:sz="8" w:color="CCEEFF"/>
            </w:tcBorders>
          </w:tcPr>
          <w:p>
            <w:pPr>
              <w:spacing w:after="0"/>
              <w:rPr>
                <w:sz w:val="18"/>
                <w:szCs w:val="18"/>
                <w:color w:val="auto"/>
              </w:rPr>
            </w:pPr>
          </w:p>
        </w:tc>
      </w:tr>
      <w:tr>
        <w:trPr>
          <w:trHeight w:val="20"/>
        </w:trPr>
        <w:tc>
          <w:tcPr>
            <w:tcW w:w="1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0"/>
        </w:trPr>
        <w:tc>
          <w:tcPr>
            <w:tcW w:w="1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53</w:t>
            </w: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56" w:name="page57"/>
    <w:bookmarkEnd w:id="56"/>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June 30, 2023 (Unaudited)</w:t>
      </w:r>
    </w:p>
    <w:p>
      <w:pPr>
        <w:spacing w:after="0" w:line="184" w:lineRule="exact"/>
        <w:rPr>
          <w:sz w:val="20"/>
          <w:szCs w:val="20"/>
          <w:color w:val="auto"/>
        </w:rPr>
      </w:pPr>
    </w:p>
    <w:p>
      <w:pPr>
        <w:ind w:left="300" w:hanging="292"/>
        <w:spacing w:after="0"/>
        <w:tabs>
          <w:tab w:leader="none" w:pos="30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Cemetery Perpetual Care Trust Investments and Obligations and Restricted Assets</w:t>
      </w:r>
      <w:r>
        <w:rPr>
          <w:rFonts w:ascii="Arial" w:cs="Arial" w:eastAsia="Arial" w:hAnsi="Arial"/>
          <w:sz w:val="18"/>
          <w:szCs w:val="18"/>
          <w:color w:val="auto"/>
        </w:rPr>
        <w:t xml:space="preserve"> (Continued)</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Relevant holdings were comprised of 5 securities with fair value of 97.2% of amortized cost at June 30, 2023. Relevant holdings were comprised of 5 securities with fair value of 96.4% of amortized cost at December 31, 2022. No credit losses have been recognized for the three and six month periods ended June 30, 2023 and 2022, since the increase in unrealized losses is primarily a result of the recent increases in interest and inflation rates.</w:t>
      </w:r>
    </w:p>
    <w:p>
      <w:pPr>
        <w:spacing w:after="0" w:line="1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table below presents the amortized cost and estimated fair value of fixed maturity securities available for sale at June 30, 2023, by contractual maturity. Expected maturities may differ from contractual maturities because certain borrowers may have the right to call or prepay obligations with or without call or prepayment penalties.</w:t>
      </w:r>
    </w:p>
    <w:p>
      <w:pPr>
        <w:sectPr>
          <w:pgSz w:w="11900" w:h="16838" w:orient="portrait"/>
          <w:cols w:equalWidth="0" w:num="1">
            <w:col w:w="11240"/>
          </w:cols>
          <w:pgMar w:left="320" w:top="692"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Due in 1 year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Due in 2-5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Due in 5-10 years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Due in more than 10 years</w:t>
      </w:r>
    </w:p>
    <w:p>
      <w:pPr>
        <w:spacing w:after="0" w:line="4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Amortized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Estimated Fair</w:t>
            </w:r>
          </w:p>
        </w:tc>
      </w:tr>
      <w:tr>
        <w:trPr>
          <w:trHeight w:val="237"/>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8"/>
                <w:szCs w:val="18"/>
                <w:color w:val="auto"/>
                <w:w w:val="86"/>
              </w:rPr>
              <w:t>Cost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Value</w:t>
            </w:r>
          </w:p>
        </w:tc>
      </w:tr>
      <w:tr>
        <w:trPr>
          <w:trHeight w:val="202"/>
        </w:trPr>
        <w:tc>
          <w:tcPr>
            <w:tcW w:w="20" w:type="dxa"/>
            <w:vAlign w:val="bottom"/>
          </w:tcPr>
          <w:p>
            <w:pPr>
              <w:spacing w:after="0"/>
              <w:rPr>
                <w:sz w:val="17"/>
                <w:szCs w:val="17"/>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79,058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79,716</w:t>
            </w: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255,504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246,743</w:t>
            </w:r>
          </w:p>
        </w:tc>
      </w:tr>
      <w:tr>
        <w:trPr>
          <w:trHeight w:val="229"/>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41,086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40,513</w:t>
            </w:r>
          </w:p>
        </w:tc>
      </w:tr>
      <w:tr>
        <w:trPr>
          <w:trHeight w:val="237"/>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54,262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53,653</w:t>
            </w:r>
          </w:p>
        </w:tc>
      </w:tr>
      <w:tr>
        <w:trPr>
          <w:trHeight w:val="229"/>
        </w:trPr>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429,910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420,625</w:t>
            </w:r>
          </w:p>
        </w:tc>
      </w:tr>
      <w:tr>
        <w:trPr>
          <w:trHeight w:val="20"/>
        </w:trPr>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-3093085</wp:posOffset>
            </wp:positionH>
            <wp:positionV relativeFrom="paragraph">
              <wp:posOffset>-753745</wp:posOffset>
            </wp:positionV>
            <wp:extent cx="4989195" cy="146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989195" cy="146050"/>
                    </a:xfrm>
                    <a:prstGeom prst="rect">
                      <a:avLst/>
                    </a:prstGeom>
                    <a:noFill/>
                  </pic:spPr>
                </pic:pic>
              </a:graphicData>
            </a:graphic>
          </wp:anchor>
        </w:drawing>
        <w:drawing>
          <wp:anchor simplePos="0" relativeHeight="251657728" behindDoc="1" locked="0" layoutInCell="0" allowOverlap="1">
            <wp:simplePos x="0" y="0"/>
            <wp:positionH relativeFrom="column">
              <wp:posOffset>-3093085</wp:posOffset>
            </wp:positionH>
            <wp:positionV relativeFrom="paragraph">
              <wp:posOffset>-471170</wp:posOffset>
            </wp:positionV>
            <wp:extent cx="4989195"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989195" cy="137160"/>
                    </a:xfrm>
                    <a:prstGeom prst="rect">
                      <a:avLst/>
                    </a:prstGeom>
                    <a:noFill/>
                  </pic:spPr>
                </pic:pic>
              </a:graphicData>
            </a:graphic>
          </wp:anchor>
        </w:drawing>
        <w:drawing>
          <wp:anchor simplePos="0" relativeHeight="251657728" behindDoc="1" locked="0" layoutInCell="0" allowOverlap="1">
            <wp:simplePos x="0" y="0"/>
            <wp:positionH relativeFrom="column">
              <wp:posOffset>-3093085</wp:posOffset>
            </wp:positionH>
            <wp:positionV relativeFrom="paragraph">
              <wp:posOffset>-179705</wp:posOffset>
            </wp:positionV>
            <wp:extent cx="4989195" cy="1631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989195" cy="163195"/>
                    </a:xfrm>
                    <a:prstGeom prst="rect">
                      <a:avLst/>
                    </a:prstGeom>
                    <a:noFill/>
                  </pic:spPr>
                </pic:pic>
              </a:graphicData>
            </a:graphic>
          </wp:anchor>
        </w:drawing>
      </w:r>
    </w:p>
    <w:p>
      <w:pPr>
        <w:spacing w:after="0" w:line="604" w:lineRule="exact"/>
        <w:rPr>
          <w:sz w:val="20"/>
          <w:szCs w:val="20"/>
          <w:color w:val="auto"/>
        </w:rPr>
      </w:pPr>
    </w:p>
    <w:p>
      <w:pPr>
        <w:sectPr>
          <w:pgSz w:w="11900" w:h="16838" w:orient="portrait"/>
          <w:cols w:equalWidth="0" w:num="2">
            <w:col w:w="4160" w:space="720"/>
            <w:col w:w="6360"/>
          </w:cols>
          <w:pgMar w:left="320" w:top="692" w:right="339" w:bottom="1440" w:gutter="0" w:footer="0" w:header="0"/>
          <w:type w:val="continuous"/>
        </w:sectPr>
      </w:pPr>
    </w:p>
    <w:p>
      <w:pPr>
        <w:spacing w:after="0" w:line="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also established certain restricted assets to provide for future merchandise and service obligations incurred in connection with its pre-need sales for its cemetery and mortuary segment.</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Restricted cash also represents escrows held for borrowers and investors under servicing and appraisal agreements relating to mortgage loans, funds held by warehouse banks in accordance with loan purchase agreements and funds held in escrow for certain real estate construction development projects. Additionally, the Company elected to maintain its medical benefit fund without change from the prior year and has included this amount as a component of restricted cash. These restricted cash items are for the Company’s life insurance and mortgage segments.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57" w:name="page58"/>
    <w:bookmarkEnd w:id="57"/>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June 30, 2023 (Unaudited)</w:t>
      </w:r>
    </w:p>
    <w:p>
      <w:pPr>
        <w:spacing w:after="0" w:line="184" w:lineRule="exact"/>
        <w:rPr>
          <w:sz w:val="20"/>
          <w:szCs w:val="20"/>
          <w:color w:val="auto"/>
        </w:rPr>
      </w:pPr>
    </w:p>
    <w:p>
      <w:pPr>
        <w:ind w:left="300" w:hanging="292"/>
        <w:spacing w:after="0"/>
        <w:tabs>
          <w:tab w:leader="none" w:pos="30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Cemetery Perpetual Care Trust Investments and Obligations and Restricted Assets</w:t>
      </w:r>
      <w:r>
        <w:rPr>
          <w:rFonts w:ascii="Arial" w:cs="Arial" w:eastAsia="Arial" w:hAnsi="Arial"/>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Restricted assets as of June 30, 2023, are summarized as follows: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Gross</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370"/>
              <w:spacing w:after="0"/>
              <w:rPr>
                <w:sz w:val="20"/>
                <w:szCs w:val="20"/>
                <w:color w:val="auto"/>
              </w:rPr>
            </w:pPr>
            <w:r>
              <w:rPr>
                <w:rFonts w:ascii="Arial" w:cs="Arial" w:eastAsia="Arial" w:hAnsi="Arial"/>
                <w:sz w:val="18"/>
                <w:szCs w:val="18"/>
                <w:color w:val="auto"/>
                <w:w w:val="87"/>
              </w:rPr>
              <w:t>Gross</w:t>
            </w: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0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ind w:right="380"/>
              <w:spacing w:after="0"/>
              <w:rPr>
                <w:sz w:val="20"/>
                <w:szCs w:val="20"/>
                <w:color w:val="auto"/>
              </w:rPr>
            </w:pPr>
            <w:r>
              <w:rPr>
                <w:rFonts w:ascii="Arial" w:cs="Arial" w:eastAsia="Arial" w:hAnsi="Arial"/>
                <w:sz w:val="18"/>
                <w:szCs w:val="18"/>
                <w:color w:val="auto"/>
                <w:w w:val="98"/>
              </w:rPr>
              <w:t>Amortized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Unrealized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370"/>
              <w:spacing w:after="0"/>
              <w:rPr>
                <w:sz w:val="20"/>
                <w:szCs w:val="20"/>
                <w:color w:val="auto"/>
              </w:rPr>
            </w:pPr>
            <w:r>
              <w:rPr>
                <w:rFonts w:ascii="Arial" w:cs="Arial" w:eastAsia="Arial" w:hAnsi="Arial"/>
                <w:sz w:val="18"/>
                <w:szCs w:val="18"/>
                <w:color w:val="auto"/>
                <w:w w:val="90"/>
              </w:rPr>
              <w:t>Unrealized</w:t>
            </w:r>
          </w:p>
        </w:tc>
        <w:tc>
          <w:tcPr>
            <w:tcW w:w="1420" w:type="dxa"/>
            <w:vAlign w:val="bottom"/>
            <w:gridSpan w:val="3"/>
          </w:tcPr>
          <w:p>
            <w:pPr>
              <w:jc w:val="right"/>
              <w:ind w:right="360"/>
              <w:spacing w:after="0"/>
              <w:rPr>
                <w:sz w:val="20"/>
                <w:szCs w:val="20"/>
                <w:color w:val="auto"/>
              </w:rPr>
            </w:pPr>
            <w:r>
              <w:rPr>
                <w:rFonts w:ascii="Arial" w:cs="Arial" w:eastAsia="Arial" w:hAnsi="Arial"/>
                <w:sz w:val="18"/>
                <w:szCs w:val="18"/>
                <w:color w:val="auto"/>
                <w:w w:val="96"/>
              </w:rPr>
              <w:t>Allowance for</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Estimated Fair</w:t>
            </w:r>
          </w:p>
        </w:tc>
      </w:tr>
      <w:tr>
        <w:trPr>
          <w:trHeight w:val="237"/>
        </w:trPr>
        <w:tc>
          <w:tcPr>
            <w:tcW w:w="10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3"/>
          </w:tcPr>
          <w:p>
            <w:pPr>
              <w:jc w:val="right"/>
              <w:ind w:right="600"/>
              <w:spacing w:after="0"/>
              <w:rPr>
                <w:sz w:val="20"/>
                <w:szCs w:val="20"/>
                <w:color w:val="auto"/>
              </w:rPr>
            </w:pPr>
            <w:r>
              <w:rPr>
                <w:rFonts w:ascii="Arial" w:cs="Arial" w:eastAsia="Arial" w:hAnsi="Arial"/>
                <w:sz w:val="18"/>
                <w:szCs w:val="18"/>
                <w:color w:val="auto"/>
              </w:rPr>
              <w:t>Cost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Gains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center"/>
              <w:ind w:right="370"/>
              <w:spacing w:after="0"/>
              <w:rPr>
                <w:sz w:val="20"/>
                <w:szCs w:val="20"/>
                <w:color w:val="auto"/>
              </w:rPr>
            </w:pPr>
            <w:r>
              <w:rPr>
                <w:rFonts w:ascii="Arial" w:cs="Arial" w:eastAsia="Arial" w:hAnsi="Arial"/>
                <w:sz w:val="18"/>
                <w:szCs w:val="18"/>
                <w:color w:val="auto"/>
                <w:w w:val="87"/>
              </w:rPr>
              <w:t>Losses</w:t>
            </w:r>
          </w:p>
        </w:tc>
        <w:tc>
          <w:tcPr>
            <w:tcW w:w="1040" w:type="dxa"/>
            <w:vAlign w:val="bottom"/>
          </w:tcPr>
          <w:p>
            <w:pPr>
              <w:jc w:val="right"/>
              <w:spacing w:after="0"/>
              <w:rPr>
                <w:sz w:val="20"/>
                <w:szCs w:val="20"/>
                <w:color w:val="auto"/>
              </w:rPr>
            </w:pPr>
            <w:r>
              <w:rPr>
                <w:rFonts w:ascii="Arial" w:cs="Arial" w:eastAsia="Arial" w:hAnsi="Arial"/>
                <w:sz w:val="18"/>
                <w:szCs w:val="18"/>
                <w:color w:val="auto"/>
                <w:w w:val="92"/>
              </w:rPr>
              <w:t>Credit Losses</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Value</w:t>
            </w:r>
          </w:p>
        </w:tc>
      </w:tr>
      <w:tr>
        <w:trPr>
          <w:trHeight w:val="176"/>
        </w:trPr>
        <w:tc>
          <w:tcPr>
            <w:tcW w:w="418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June 30, 2023:</w:t>
            </w: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0"/>
        </w:trPr>
        <w:tc>
          <w:tcPr>
            <w:tcW w:w="1060" w:type="dxa"/>
            <w:vAlign w:val="bottom"/>
            <w:tcBorders>
              <w:top w:val="single" w:sz="8" w:color="auto"/>
            </w:tcBorders>
            <w:shd w:val="clear" w:color="auto" w:fill="CCEEFF"/>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02"/>
        </w:trPr>
        <w:tc>
          <w:tcPr>
            <w:tcW w:w="4180" w:type="dxa"/>
            <w:vAlign w:val="bottom"/>
            <w:gridSpan w:val="2"/>
          </w:tcPr>
          <w:p>
            <w:pPr>
              <w:spacing w:after="0" w:line="201" w:lineRule="exact"/>
              <w:rPr>
                <w:sz w:val="20"/>
                <w:szCs w:val="20"/>
                <w:color w:val="auto"/>
              </w:rPr>
            </w:pPr>
            <w:r>
              <w:rPr>
                <w:rFonts w:ascii="Arial" w:cs="Arial" w:eastAsia="Arial" w:hAnsi="Arial"/>
                <w:sz w:val="18"/>
                <w:szCs w:val="18"/>
                <w:color w:val="auto"/>
              </w:rPr>
              <w:t>Fixed maturity securities, available for sale, at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180" w:type="dxa"/>
            <w:vAlign w:val="bottom"/>
            <w:gridSpan w:val="2"/>
          </w:tcPr>
          <w:p>
            <w:pPr>
              <w:spacing w:after="0"/>
              <w:rPr>
                <w:sz w:val="20"/>
                <w:szCs w:val="20"/>
                <w:color w:val="auto"/>
              </w:rPr>
            </w:pPr>
            <w:r>
              <w:rPr>
                <w:rFonts w:ascii="Arial" w:cs="Arial" w:eastAsia="Arial" w:hAnsi="Arial"/>
                <w:sz w:val="18"/>
                <w:szCs w:val="18"/>
                <w:color w:val="auto"/>
              </w:rPr>
              <w:t>estimated fair value:</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418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U.S. Treasury securities and obligations of U.S.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Government agencies</w:t>
            </w: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389,640</w:t>
            </w:r>
          </w:p>
        </w:tc>
        <w:tc>
          <w:tcPr>
            <w:tcW w:w="18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(4,212)</w:t>
            </w:r>
          </w:p>
        </w:tc>
        <w:tc>
          <w:tcPr>
            <w:tcW w:w="1040" w:type="dxa"/>
            <w:vAlign w:val="bottom"/>
            <w:shd w:val="clear" w:color="auto" w:fill="CCEEFF"/>
          </w:tcPr>
          <w:p>
            <w:pPr>
              <w:jc w:val="right"/>
              <w:ind w:right="878"/>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385,428</w:t>
            </w:r>
          </w:p>
        </w:tc>
      </w:tr>
      <w:tr>
        <w:trPr>
          <w:trHeight w:val="216"/>
        </w:trPr>
        <w:tc>
          <w:tcPr>
            <w:tcW w:w="4180" w:type="dxa"/>
            <w:vAlign w:val="bottom"/>
            <w:gridSpan w:val="2"/>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654,307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291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70"/>
              <w:spacing w:after="0"/>
              <w:rPr>
                <w:sz w:val="20"/>
                <w:szCs w:val="20"/>
                <w:color w:val="auto"/>
              </w:rPr>
            </w:pPr>
            <w:r>
              <w:rPr>
                <w:rFonts w:ascii="Arial" w:cs="Arial" w:eastAsia="Arial" w:hAnsi="Arial"/>
                <w:sz w:val="18"/>
                <w:szCs w:val="18"/>
                <w:color w:val="auto"/>
              </w:rPr>
              <w:t>(9,570)</w:t>
            </w:r>
          </w:p>
        </w:tc>
        <w:tc>
          <w:tcPr>
            <w:tcW w:w="1040" w:type="dxa"/>
            <w:vAlign w:val="bottom"/>
          </w:tcPr>
          <w:p>
            <w:pPr>
              <w:spacing w:after="0"/>
              <w:rPr>
                <w:sz w:val="18"/>
                <w:szCs w:val="18"/>
                <w:color w:val="auto"/>
              </w:rPr>
            </w:pPr>
          </w:p>
        </w:tc>
        <w:tc>
          <w:tcPr>
            <w:tcW w:w="380" w:type="dxa"/>
            <w:vAlign w:val="bottom"/>
            <w:gridSpan w:val="2"/>
          </w:tcPr>
          <w:p>
            <w:pPr>
              <w:jc w:val="right"/>
              <w:ind w:right="32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645,028</w:t>
            </w:r>
          </w:p>
        </w:tc>
      </w:tr>
      <w:tr>
        <w:trPr>
          <w:trHeight w:val="250"/>
        </w:trPr>
        <w:tc>
          <w:tcPr>
            <w:tcW w:w="4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Corporate securities including public utilities</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526,586</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(6,112)</w:t>
            </w:r>
          </w:p>
        </w:tc>
        <w:tc>
          <w:tcPr>
            <w:tcW w:w="104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520,512</w:t>
            </w:r>
          </w:p>
        </w:tc>
      </w:tr>
      <w:tr>
        <w:trPr>
          <w:trHeight w:val="257"/>
        </w:trPr>
        <w:tc>
          <w:tcPr>
            <w:tcW w:w="4180" w:type="dxa"/>
            <w:vAlign w:val="bottom"/>
            <w:tcBorders>
              <w:top w:val="single" w:sz="8" w:color="CCEEFF"/>
              <w:bottom w:val="single" w:sz="8" w:color="CCEEFF"/>
            </w:tcBorders>
            <w:gridSpan w:val="2"/>
          </w:tcPr>
          <w:p>
            <w:pPr>
              <w:ind w:left="360"/>
              <w:spacing w:after="0"/>
              <w:rPr>
                <w:sz w:val="20"/>
                <w:szCs w:val="20"/>
                <w:color w:val="auto"/>
              </w:rPr>
            </w:pPr>
            <w:r>
              <w:rPr>
                <w:rFonts w:ascii="Arial" w:cs="Arial" w:eastAsia="Arial" w:hAnsi="Arial"/>
                <w:sz w:val="18"/>
                <w:szCs w:val="18"/>
                <w:color w:val="auto"/>
              </w:rPr>
              <w:t>Total fixed maturity securities available for sale</w:t>
            </w:r>
          </w:p>
        </w:tc>
        <w:tc>
          <w:tcPr>
            <w:tcW w:w="2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1,570,533</w:t>
            </w:r>
          </w:p>
        </w:tc>
        <w:tc>
          <w:tcPr>
            <w:tcW w:w="20" w:type="dxa"/>
            <w:vAlign w:val="bottom"/>
            <w:tcBorders>
              <w:top w:val="single" w:sz="8" w:color="CCEEFF"/>
              <w:bottom w:val="single" w:sz="8" w:color="CCEEFF"/>
            </w:tcBorders>
          </w:tcPr>
          <w:p>
            <w:pPr>
              <w:spacing w:after="0"/>
              <w:rPr>
                <w:sz w:val="22"/>
                <w:szCs w:val="22"/>
                <w:color w:val="auto"/>
              </w:rPr>
            </w:pPr>
          </w:p>
        </w:tc>
        <w:tc>
          <w:tcPr>
            <w:tcW w:w="18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18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(19,894</w:t>
            </w:r>
          </w:p>
        </w:tc>
        <w:tc>
          <w:tcPr>
            <w:tcW w:w="340" w:type="dxa"/>
            <w:vAlign w:val="bottom"/>
            <w:tcBorders>
              <w:top w:val="single" w:sz="8" w:color="CCEEFF"/>
              <w:bottom w:val="single" w:sz="8" w:color="CCEEFF"/>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878"/>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CCEEFF"/>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1,550,968</w:t>
            </w:r>
          </w:p>
        </w:tc>
        <w:tc>
          <w:tcPr>
            <w:tcW w:w="100" w:type="dxa"/>
            <w:vAlign w:val="bottom"/>
            <w:tcBorders>
              <w:top w:val="single" w:sz="8" w:color="CCEEFF"/>
              <w:bottom w:val="single" w:sz="8" w:color="CCEEFF"/>
            </w:tcBorders>
          </w:tcPr>
          <w:p>
            <w:pPr>
              <w:spacing w:after="0"/>
              <w:rPr>
                <w:sz w:val="22"/>
                <w:szCs w:val="22"/>
                <w:color w:val="auto"/>
              </w:rPr>
            </w:pPr>
          </w:p>
        </w:tc>
      </w:tr>
      <w:tr>
        <w:trPr>
          <w:trHeight w:val="196"/>
        </w:trPr>
        <w:tc>
          <w:tcPr>
            <w:tcW w:w="1060" w:type="dxa"/>
            <w:vAlign w:val="bottom"/>
            <w:shd w:val="clear" w:color="auto" w:fill="CCEEFF"/>
          </w:tcPr>
          <w:p>
            <w:pPr>
              <w:spacing w:after="0"/>
              <w:rPr>
                <w:sz w:val="17"/>
                <w:szCs w:val="17"/>
                <w:color w:val="auto"/>
              </w:rPr>
            </w:pPr>
          </w:p>
        </w:tc>
        <w:tc>
          <w:tcPr>
            <w:tcW w:w="3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Equity securities at estimated fair value: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4180" w:type="dxa"/>
            <w:vAlign w:val="bottom"/>
            <w:gridSpan w:val="2"/>
          </w:tcPr>
          <w:p>
            <w:pPr>
              <w:spacing w:after="0"/>
              <w:rPr>
                <w:sz w:val="20"/>
                <w:szCs w:val="20"/>
                <w:color w:val="auto"/>
              </w:rPr>
            </w:pPr>
            <w:r>
              <w:rPr>
                <w:rFonts w:ascii="Arial" w:cs="Arial" w:eastAsia="Arial" w:hAnsi="Arial"/>
                <w:sz w:val="18"/>
                <w:szCs w:val="18"/>
                <w:color w:val="auto"/>
              </w:rPr>
              <w:t>Industrial, miscellaneous and all other</w:t>
            </w:r>
          </w:p>
        </w:tc>
        <w:tc>
          <w:tcPr>
            <w:tcW w:w="140" w:type="dxa"/>
            <w:vAlign w:val="bottom"/>
            <w:gridSpan w:val="2"/>
          </w:tcPr>
          <w:p>
            <w:pPr>
              <w:jc w:val="right"/>
              <w:ind w:right="9"/>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5,688,802</w:t>
            </w:r>
          </w:p>
        </w:tc>
        <w:tc>
          <w:tcPr>
            <w:tcW w:w="18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858,975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70"/>
              <w:spacing w:after="0"/>
              <w:rPr>
                <w:sz w:val="20"/>
                <w:szCs w:val="20"/>
                <w:color w:val="auto"/>
              </w:rPr>
            </w:pPr>
            <w:r>
              <w:rPr>
                <w:rFonts w:ascii="Arial" w:cs="Arial" w:eastAsia="Arial" w:hAnsi="Arial"/>
                <w:sz w:val="18"/>
                <w:szCs w:val="18"/>
                <w:color w:val="auto"/>
              </w:rPr>
              <w:t>(318,583)</w:t>
            </w: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6,229,194</w:t>
            </w:r>
          </w:p>
        </w:tc>
      </w:tr>
      <w:tr>
        <w:trPr>
          <w:trHeight w:val="230"/>
        </w:trPr>
        <w:tc>
          <w:tcPr>
            <w:tcW w:w="41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equity securities at estimated fair value</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5,688,802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858,975</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(318,583</w:t>
            </w:r>
          </w:p>
        </w:tc>
        <w:tc>
          <w:tcPr>
            <w:tcW w:w="340" w:type="dxa"/>
            <w:vAlign w:val="bottom"/>
            <w:tcBorders>
              <w:top w:val="single" w:sz="8" w:color="CCEEFF"/>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6,229,194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0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06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Mortgage loans held for investment at amortized cost: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Residential construction</w:t>
            </w:r>
          </w:p>
        </w:tc>
        <w:tc>
          <w:tcPr>
            <w:tcW w:w="140" w:type="dxa"/>
            <w:vAlign w:val="bottom"/>
            <w:gridSpan w:val="2"/>
          </w:tcPr>
          <w:p>
            <w:pPr>
              <w:jc w:val="right"/>
              <w:ind w:right="9"/>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1,379,943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Allowance for credit losses</w:t>
            </w: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(2,760)</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56"/>
        </w:trPr>
        <w:tc>
          <w:tcPr>
            <w:tcW w:w="4180" w:type="dxa"/>
            <w:vAlign w:val="bottom"/>
            <w:tcBorders>
              <w:top w:val="single" w:sz="8" w:color="CCEEFF"/>
              <w:bottom w:val="single" w:sz="8" w:color="CCEEFF"/>
            </w:tcBorders>
            <w:gridSpan w:val="2"/>
          </w:tcPr>
          <w:p>
            <w:pPr>
              <w:spacing w:after="0"/>
              <w:rPr>
                <w:sz w:val="20"/>
                <w:szCs w:val="20"/>
                <w:color w:val="auto"/>
              </w:rPr>
            </w:pPr>
            <w:r>
              <w:rPr>
                <w:rFonts w:ascii="Arial" w:cs="Arial" w:eastAsia="Arial" w:hAnsi="Arial"/>
                <w:sz w:val="18"/>
                <w:szCs w:val="18"/>
                <w:color w:val="auto"/>
              </w:rPr>
              <w:t>Total mortgage loans held for investment</w:t>
            </w:r>
          </w:p>
        </w:tc>
        <w:tc>
          <w:tcPr>
            <w:tcW w:w="2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1,377,183</w:t>
            </w:r>
          </w:p>
        </w:tc>
        <w:tc>
          <w:tcPr>
            <w:tcW w:w="20" w:type="dxa"/>
            <w:vAlign w:val="bottom"/>
            <w:tcBorders>
              <w:top w:val="single" w:sz="8" w:color="CCEEFF"/>
              <w:bottom w:val="single" w:sz="8" w:color="CCEEFF"/>
            </w:tcBorders>
          </w:tcPr>
          <w:p>
            <w:pPr>
              <w:spacing w:after="0"/>
              <w:rPr>
                <w:sz w:val="22"/>
                <w:szCs w:val="22"/>
                <w:color w:val="auto"/>
              </w:rPr>
            </w:pPr>
          </w:p>
        </w:tc>
        <w:tc>
          <w:tcPr>
            <w:tcW w:w="18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1000" w:type="dxa"/>
            <w:vAlign w:val="bottom"/>
            <w:tcBorders>
              <w:top w:val="single" w:sz="8" w:color="CCEEFF"/>
              <w:bottom w:val="single" w:sz="8" w:color="CCEEFF"/>
            </w:tcBorders>
          </w:tcPr>
          <w:p>
            <w:pPr>
              <w:spacing w:after="0"/>
              <w:rPr>
                <w:sz w:val="22"/>
                <w:szCs w:val="22"/>
                <w:color w:val="auto"/>
              </w:rPr>
            </w:pPr>
          </w:p>
        </w:tc>
        <w:tc>
          <w:tcPr>
            <w:tcW w:w="18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980" w:type="dxa"/>
            <w:vAlign w:val="bottom"/>
            <w:tcBorders>
              <w:top w:val="single" w:sz="8" w:color="CCEEFF"/>
              <w:bottom w:val="single" w:sz="8" w:color="CCEEFF"/>
            </w:tcBorders>
          </w:tcPr>
          <w:p>
            <w:pPr>
              <w:spacing w:after="0"/>
              <w:rPr>
                <w:sz w:val="22"/>
                <w:szCs w:val="22"/>
                <w:color w:val="auto"/>
              </w:rPr>
            </w:pPr>
          </w:p>
        </w:tc>
        <w:tc>
          <w:tcPr>
            <w:tcW w:w="340" w:type="dxa"/>
            <w:vAlign w:val="bottom"/>
            <w:tcBorders>
              <w:top w:val="single" w:sz="8" w:color="CCEEFF"/>
              <w:bottom w:val="single" w:sz="8" w:color="CCEEFF"/>
            </w:tcBorders>
          </w:tcPr>
          <w:p>
            <w:pPr>
              <w:spacing w:after="0"/>
              <w:rPr>
                <w:sz w:val="22"/>
                <w:szCs w:val="22"/>
                <w:color w:val="auto"/>
              </w:rPr>
            </w:pPr>
          </w:p>
        </w:tc>
        <w:tc>
          <w:tcPr>
            <w:tcW w:w="1040" w:type="dxa"/>
            <w:vAlign w:val="bottom"/>
            <w:tcBorders>
              <w:top w:val="single" w:sz="8" w:color="CCEEFF"/>
              <w:bottom w:val="single" w:sz="8" w:color="CCEEFF"/>
            </w:tcBorders>
          </w:tcPr>
          <w:p>
            <w:pPr>
              <w:spacing w:after="0"/>
              <w:rPr>
                <w:sz w:val="22"/>
                <w:szCs w:val="22"/>
                <w:color w:val="auto"/>
              </w:rPr>
            </w:pPr>
          </w:p>
        </w:tc>
        <w:tc>
          <w:tcPr>
            <w:tcW w:w="60" w:type="dxa"/>
            <w:vAlign w:val="bottom"/>
            <w:tcBorders>
              <w:top w:val="single" w:sz="8" w:color="CCEEFF"/>
              <w:bottom w:val="single" w:sz="8" w:color="CCEEFF"/>
            </w:tcBorders>
          </w:tcPr>
          <w:p>
            <w:pPr>
              <w:spacing w:after="0"/>
              <w:rPr>
                <w:sz w:val="22"/>
                <w:szCs w:val="22"/>
                <w:color w:val="auto"/>
              </w:rPr>
            </w:pPr>
          </w:p>
        </w:tc>
        <w:tc>
          <w:tcPr>
            <w:tcW w:w="320" w:type="dxa"/>
            <w:vAlign w:val="bottom"/>
            <w:tcBorders>
              <w:top w:val="single" w:sz="8" w:color="CCEEFF"/>
              <w:bottom w:val="single" w:sz="8" w:color="CCEEFF"/>
            </w:tcBorders>
          </w:tcPr>
          <w:p>
            <w:pPr>
              <w:spacing w:after="0"/>
              <w:rPr>
                <w:sz w:val="22"/>
                <w:szCs w:val="22"/>
                <w:color w:val="auto"/>
              </w:rPr>
            </w:pPr>
          </w:p>
        </w:tc>
        <w:tc>
          <w:tcPr>
            <w:tcW w:w="220" w:type="dxa"/>
            <w:vAlign w:val="bottom"/>
            <w:tcBorders>
              <w:top w:val="single" w:sz="8" w:color="CCEEFF"/>
              <w:bottom w:val="single" w:sz="8" w:color="CCEEFF"/>
            </w:tcBorders>
          </w:tcPr>
          <w:p>
            <w:pPr>
              <w:spacing w:after="0"/>
              <w:rPr>
                <w:sz w:val="22"/>
                <w:szCs w:val="22"/>
                <w:color w:val="auto"/>
              </w:rPr>
            </w:pPr>
          </w:p>
        </w:tc>
        <w:tc>
          <w:tcPr>
            <w:tcW w:w="90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CCEEFF"/>
              <w:bottom w:val="single" w:sz="8" w:color="CCEEFF"/>
            </w:tcBorders>
          </w:tcPr>
          <w:p>
            <w:pPr>
              <w:spacing w:after="0"/>
              <w:rPr>
                <w:sz w:val="22"/>
                <w:szCs w:val="22"/>
                <w:color w:val="auto"/>
              </w:rPr>
            </w:pPr>
          </w:p>
        </w:tc>
      </w:tr>
      <w:tr>
        <w:trPr>
          <w:trHeight w:val="197"/>
        </w:trPr>
        <w:tc>
          <w:tcPr>
            <w:tcW w:w="1060" w:type="dxa"/>
            <w:vAlign w:val="bottom"/>
            <w:shd w:val="clear" w:color="auto" w:fill="CCEEFF"/>
          </w:tcPr>
          <w:p>
            <w:pPr>
              <w:spacing w:after="0"/>
              <w:rPr>
                <w:sz w:val="17"/>
                <w:szCs w:val="17"/>
                <w:color w:val="auto"/>
              </w:rPr>
            </w:pPr>
          </w:p>
        </w:tc>
        <w:tc>
          <w:tcPr>
            <w:tcW w:w="3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83"/>
        </w:trPr>
        <w:tc>
          <w:tcPr>
            <w:tcW w:w="4180" w:type="dxa"/>
            <w:vAlign w:val="bottom"/>
            <w:gridSpan w:val="2"/>
          </w:tcPr>
          <w:p>
            <w:pPr>
              <w:spacing w:after="0"/>
              <w:rPr>
                <w:sz w:val="20"/>
                <w:szCs w:val="20"/>
                <w:color w:val="auto"/>
              </w:rPr>
            </w:pPr>
            <w:r>
              <w:rPr>
                <w:rFonts w:ascii="Arial" w:cs="Arial" w:eastAsia="Arial" w:hAnsi="Arial"/>
                <w:sz w:val="18"/>
                <w:szCs w:val="18"/>
                <w:color w:val="auto"/>
              </w:rPr>
              <w:t>Cash and cash equivalents (1)</w:t>
            </w:r>
          </w:p>
        </w:tc>
        <w:tc>
          <w:tcPr>
            <w:tcW w:w="140" w:type="dxa"/>
            <w:vAlign w:val="bottom"/>
            <w:gridSpan w:val="2"/>
          </w:tcPr>
          <w:p>
            <w:pPr>
              <w:jc w:val="right"/>
              <w:ind w:right="9"/>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10,276,918</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060" w:type="dxa"/>
            <w:vAlign w:val="bottom"/>
            <w:tcBorders>
              <w:top w:val="single" w:sz="8" w:color="CCEEFF"/>
            </w:tcBorders>
            <w:shd w:val="clear" w:color="auto" w:fill="CCEEFF"/>
          </w:tcPr>
          <w:p>
            <w:pPr>
              <w:spacing w:after="0"/>
              <w:rPr>
                <w:sz w:val="17"/>
                <w:szCs w:val="17"/>
                <w:color w:val="auto"/>
              </w:rPr>
            </w:pPr>
          </w:p>
        </w:tc>
        <w:tc>
          <w:tcPr>
            <w:tcW w:w="3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43"/>
        </w:trPr>
        <w:tc>
          <w:tcPr>
            <w:tcW w:w="4180" w:type="dxa"/>
            <w:vAlign w:val="bottom"/>
            <w:gridSpan w:val="2"/>
          </w:tcPr>
          <w:p>
            <w:pPr>
              <w:spacing w:after="0"/>
              <w:rPr>
                <w:sz w:val="20"/>
                <w:szCs w:val="20"/>
                <w:color w:val="auto"/>
              </w:rPr>
            </w:pPr>
            <w:r>
              <w:rPr>
                <w:rFonts w:ascii="Arial" w:cs="Arial" w:eastAsia="Arial" w:hAnsi="Arial"/>
                <w:sz w:val="18"/>
                <w:szCs w:val="18"/>
                <w:color w:val="auto"/>
              </w:rPr>
              <w:t>Total restricted assets</w:t>
            </w:r>
          </w:p>
        </w:tc>
        <w:tc>
          <w:tcPr>
            <w:tcW w:w="14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19,434,263</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10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9" w:lineRule="exact"/>
        <w:rPr>
          <w:sz w:val="20"/>
          <w:szCs w:val="20"/>
          <w:color w:val="auto"/>
        </w:rPr>
      </w:pPr>
    </w:p>
    <w:p>
      <w:pPr>
        <w:ind w:left="60"/>
        <w:spacing w:after="0"/>
        <w:rPr>
          <w:sz w:val="20"/>
          <w:szCs w:val="20"/>
          <w:color w:val="auto"/>
        </w:rPr>
      </w:pPr>
      <w:r>
        <w:rPr>
          <w:rFonts w:ascii="Arial" w:cs="Arial" w:eastAsia="Arial" w:hAnsi="Arial"/>
          <w:sz w:val="18"/>
          <w:szCs w:val="18"/>
          <w:color w:val="auto"/>
        </w:rPr>
        <w:t>(1) Including cash and cash equivalents of $8,006,323 or the life insurance and mortgage segments.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Restricted assets as of December 31, 2022, are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3"/>
          </w:tcPr>
          <w:p>
            <w:pPr>
              <w:jc w:val="center"/>
              <w:ind w:right="320"/>
              <w:spacing w:after="0"/>
              <w:rPr>
                <w:sz w:val="20"/>
                <w:szCs w:val="20"/>
                <w:color w:val="auto"/>
              </w:rPr>
            </w:pPr>
            <w:r>
              <w:rPr>
                <w:rFonts w:ascii="Arial" w:cs="Arial" w:eastAsia="Arial" w:hAnsi="Arial"/>
                <w:sz w:val="18"/>
                <w:szCs w:val="18"/>
                <w:color w:val="auto"/>
                <w:w w:val="90"/>
              </w:rPr>
              <w:t>Gross Unrealized</w:t>
            </w:r>
          </w:p>
        </w:tc>
        <w:tc>
          <w:tcPr>
            <w:tcW w:w="1520" w:type="dxa"/>
            <w:vAlign w:val="bottom"/>
            <w:gridSpan w:val="3"/>
          </w:tcPr>
          <w:p>
            <w:pPr>
              <w:jc w:val="right"/>
              <w:ind w:right="141"/>
              <w:spacing w:after="0"/>
              <w:rPr>
                <w:sz w:val="20"/>
                <w:szCs w:val="20"/>
                <w:color w:val="auto"/>
              </w:rPr>
            </w:pPr>
            <w:r>
              <w:rPr>
                <w:rFonts w:ascii="Arial" w:cs="Arial" w:eastAsia="Arial" w:hAnsi="Arial"/>
                <w:sz w:val="18"/>
                <w:szCs w:val="18"/>
                <w:color w:val="auto"/>
                <w:w w:val="92"/>
              </w:rPr>
              <w:t>Gross Unrealized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Estimated Fair</w:t>
            </w:r>
          </w:p>
        </w:tc>
      </w:tr>
      <w:tr>
        <w:trPr>
          <w:trHeight w:val="237"/>
        </w:trPr>
        <w:tc>
          <w:tcPr>
            <w:tcW w:w="148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auto"/>
              </w:rPr>
              <w:t>Amortized Cost</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2"/>
          </w:tcPr>
          <w:p>
            <w:pPr>
              <w:jc w:val="center"/>
              <w:ind w:right="600"/>
              <w:spacing w:after="0"/>
              <w:rPr>
                <w:sz w:val="20"/>
                <w:szCs w:val="20"/>
                <w:color w:val="auto"/>
              </w:rPr>
            </w:pPr>
            <w:r>
              <w:rPr>
                <w:rFonts w:ascii="Arial" w:cs="Arial" w:eastAsia="Arial" w:hAnsi="Arial"/>
                <w:sz w:val="18"/>
                <w:szCs w:val="18"/>
                <w:color w:val="auto"/>
                <w:w w:val="89"/>
              </w:rPr>
              <w:t>Gains</w:t>
            </w:r>
          </w:p>
        </w:tc>
        <w:tc>
          <w:tcPr>
            <w:tcW w:w="260" w:type="dxa"/>
            <w:vAlign w:val="bottom"/>
          </w:tcPr>
          <w:p>
            <w:pPr>
              <w:spacing w:after="0"/>
              <w:rPr>
                <w:sz w:val="20"/>
                <w:szCs w:val="20"/>
                <w:color w:val="auto"/>
              </w:rPr>
            </w:pPr>
          </w:p>
        </w:tc>
        <w:tc>
          <w:tcPr>
            <w:tcW w:w="1260" w:type="dxa"/>
            <w:vAlign w:val="bottom"/>
            <w:gridSpan w:val="2"/>
          </w:tcPr>
          <w:p>
            <w:pPr>
              <w:jc w:val="right"/>
              <w:ind w:right="541"/>
              <w:spacing w:after="0"/>
              <w:rPr>
                <w:sz w:val="20"/>
                <w:szCs w:val="20"/>
                <w:color w:val="auto"/>
              </w:rPr>
            </w:pPr>
            <w:r>
              <w:rPr>
                <w:rFonts w:ascii="Arial" w:cs="Arial" w:eastAsia="Arial" w:hAnsi="Arial"/>
                <w:sz w:val="18"/>
                <w:szCs w:val="18"/>
                <w:color w:val="auto"/>
              </w:rPr>
              <w:t>Losses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Value</w:t>
            </w:r>
          </w:p>
        </w:tc>
      </w:tr>
      <w:tr>
        <w:trPr>
          <w:trHeight w:val="196"/>
        </w:trPr>
        <w:tc>
          <w:tcPr>
            <w:tcW w:w="1480" w:type="dxa"/>
            <w:vAlign w:val="bottom"/>
            <w:tcBorders>
              <w:top w:val="single" w:sz="8" w:color="CCEEFF"/>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9"/>
              </w:rPr>
              <w:t>December 31, 2022:</w:t>
            </w:r>
          </w:p>
        </w:tc>
        <w:tc>
          <w:tcPr>
            <w:tcW w:w="32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1260" w:type="dxa"/>
            <w:vAlign w:val="bottom"/>
            <w:tcBorders>
              <w:top w:val="single" w:sz="8" w:color="auto"/>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CCEEFF"/>
            </w:tcBorders>
            <w:shd w:val="clear" w:color="auto" w:fill="CCEEFF"/>
          </w:tcPr>
          <w:p>
            <w:pPr>
              <w:spacing w:after="0"/>
              <w:rPr>
                <w:sz w:val="17"/>
                <w:szCs w:val="17"/>
                <w:color w:val="auto"/>
              </w:rPr>
            </w:pP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2"/>
        </w:trPr>
        <w:tc>
          <w:tcPr>
            <w:tcW w:w="4740" w:type="dxa"/>
            <w:vAlign w:val="bottom"/>
            <w:gridSpan w:val="2"/>
          </w:tcPr>
          <w:p>
            <w:pPr>
              <w:spacing w:after="0" w:line="201" w:lineRule="exact"/>
              <w:rPr>
                <w:sz w:val="20"/>
                <w:szCs w:val="20"/>
                <w:color w:val="auto"/>
              </w:rPr>
            </w:pPr>
            <w:r>
              <w:rPr>
                <w:rFonts w:ascii="Arial" w:cs="Arial" w:eastAsia="Arial" w:hAnsi="Arial"/>
                <w:sz w:val="18"/>
                <w:szCs w:val="18"/>
                <w:color w:val="auto"/>
                <w:w w:val="98"/>
              </w:rPr>
              <w:t>Fixed maturity securities, available for sale, at estimated fair</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value:</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1,033,047</w:t>
            </w:r>
          </w:p>
        </w:tc>
        <w:tc>
          <w:tcPr>
            <w:tcW w:w="4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866</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(15,360)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1,018,553</w:t>
            </w:r>
          </w:p>
        </w:tc>
      </w:tr>
      <w:tr>
        <w:trPr>
          <w:trHeight w:val="236"/>
        </w:trPr>
        <w:tc>
          <w:tcPr>
            <w:tcW w:w="4740" w:type="dxa"/>
            <w:vAlign w:val="bottom"/>
            <w:gridSpan w:val="2"/>
          </w:tcPr>
          <w:p>
            <w:pPr>
              <w:ind w:left="180"/>
              <w:spacing w:after="0"/>
              <w:rPr>
                <w:sz w:val="20"/>
                <w:szCs w:val="20"/>
                <w:color w:val="auto"/>
              </w:rPr>
            </w:pPr>
            <w:r>
              <w:rPr>
                <w:rFonts w:ascii="Arial" w:cs="Arial" w:eastAsia="Arial" w:hAnsi="Arial"/>
                <w:sz w:val="18"/>
                <w:szCs w:val="18"/>
                <w:color w:val="auto"/>
              </w:rPr>
              <w:t>Corporate securities including public utilities</w:t>
            </w:r>
          </w:p>
        </w:tc>
        <w:tc>
          <w:tcPr>
            <w:tcW w:w="10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201,771</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60" w:type="dxa"/>
            <w:vAlign w:val="bottom"/>
            <w:gridSpan w:val="2"/>
          </w:tcPr>
          <w:p>
            <w:pPr>
              <w:jc w:val="right"/>
              <w:ind w:right="41"/>
              <w:spacing w:after="0"/>
              <w:rPr>
                <w:sz w:val="20"/>
                <w:szCs w:val="20"/>
                <w:color w:val="auto"/>
              </w:rPr>
            </w:pPr>
            <w:r>
              <w:rPr>
                <w:rFonts w:ascii="Arial" w:cs="Arial" w:eastAsia="Arial" w:hAnsi="Arial"/>
                <w:sz w:val="18"/>
                <w:szCs w:val="18"/>
                <w:color w:val="auto"/>
              </w:rPr>
              <w:t>(3,016)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198,755</w:t>
            </w:r>
          </w:p>
        </w:tc>
      </w:tr>
      <w:tr>
        <w:trPr>
          <w:trHeight w:val="230"/>
        </w:trPr>
        <w:tc>
          <w:tcPr>
            <w:tcW w:w="4740" w:type="dxa"/>
            <w:vAlign w:val="bottom"/>
            <w:tcBorders>
              <w:top w:val="single" w:sz="8" w:color="CCEEFF"/>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fixed maturity securities available for sale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1,234,818</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(18,376</w:t>
            </w:r>
          </w:p>
        </w:tc>
        <w:tc>
          <w:tcPr>
            <w:tcW w:w="18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1,217,308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4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4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securities at estimated fair value:</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Industrial, miscellaneous and all other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4,955,360</w:t>
            </w:r>
          </w:p>
        </w:tc>
        <w:tc>
          <w:tcPr>
            <w:tcW w:w="4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703,049</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(310,165)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5,348,244</w:t>
            </w:r>
          </w:p>
        </w:tc>
      </w:tr>
      <w:tr>
        <w:trPr>
          <w:trHeight w:val="256"/>
        </w:trPr>
        <w:tc>
          <w:tcPr>
            <w:tcW w:w="4740" w:type="dxa"/>
            <w:vAlign w:val="bottom"/>
            <w:tcBorders>
              <w:top w:val="single" w:sz="8" w:color="CCEEFF"/>
              <w:bottom w:val="single" w:sz="8" w:color="CCEEFF"/>
            </w:tcBorders>
            <w:gridSpan w:val="2"/>
          </w:tcPr>
          <w:p>
            <w:pPr>
              <w:ind w:left="180"/>
              <w:spacing w:after="0"/>
              <w:rPr>
                <w:sz w:val="20"/>
                <w:szCs w:val="20"/>
                <w:color w:val="auto"/>
              </w:rPr>
            </w:pPr>
            <w:r>
              <w:rPr>
                <w:rFonts w:ascii="Arial" w:cs="Arial" w:eastAsia="Arial" w:hAnsi="Arial"/>
                <w:sz w:val="18"/>
                <w:szCs w:val="18"/>
                <w:color w:val="auto"/>
              </w:rPr>
              <w:t>Total equity securities at estimated fair value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4,955,360</w:t>
            </w:r>
          </w:p>
        </w:tc>
        <w:tc>
          <w:tcPr>
            <w:tcW w:w="18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CCEEFF"/>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703,049</w:t>
            </w:r>
          </w:p>
        </w:tc>
        <w:tc>
          <w:tcPr>
            <w:tcW w:w="320" w:type="dxa"/>
            <w:vAlign w:val="bottom"/>
            <w:tcBorders>
              <w:top w:val="single" w:sz="8" w:color="CCEEFF"/>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(310,165</w:t>
            </w:r>
          </w:p>
        </w:tc>
        <w:tc>
          <w:tcPr>
            <w:tcW w:w="180" w:type="dxa"/>
            <w:vAlign w:val="bottom"/>
            <w:tcBorders>
              <w:top w:val="single" w:sz="8" w:color="CCEEFF"/>
              <w:bottom w:val="single" w:sz="8" w:color="CCEEFF"/>
            </w:tcBorders>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5,348,244</w:t>
            </w:r>
          </w:p>
        </w:tc>
        <w:tc>
          <w:tcPr>
            <w:tcW w:w="100" w:type="dxa"/>
            <w:vAlign w:val="bottom"/>
            <w:tcBorders>
              <w:top w:val="single" w:sz="8" w:color="CCEEFF"/>
              <w:bottom w:val="single" w:sz="8" w:color="CCEEFF"/>
            </w:tcBorders>
          </w:tcPr>
          <w:p>
            <w:pPr>
              <w:spacing w:after="0"/>
              <w:rPr>
                <w:sz w:val="22"/>
                <w:szCs w:val="22"/>
                <w:color w:val="auto"/>
              </w:rPr>
            </w:pPr>
          </w:p>
        </w:tc>
      </w:tr>
      <w:tr>
        <w:trPr>
          <w:trHeight w:val="196"/>
        </w:trPr>
        <w:tc>
          <w:tcPr>
            <w:tcW w:w="1480" w:type="dxa"/>
            <w:vAlign w:val="bottom"/>
            <w:shd w:val="clear" w:color="auto" w:fill="CCEEFF"/>
          </w:tcPr>
          <w:p>
            <w:pPr>
              <w:spacing w:after="0"/>
              <w:rPr>
                <w:sz w:val="17"/>
                <w:szCs w:val="17"/>
                <w:color w:val="auto"/>
              </w:rPr>
            </w:pPr>
          </w:p>
        </w:tc>
        <w:tc>
          <w:tcPr>
            <w:tcW w:w="3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Mortgage loans held for investment at amortized cost:</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4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Residential construction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1,731,469</w:t>
            </w: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148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10,638,034</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14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restricted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18,935,055</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9" w:lineRule="exact"/>
        <w:rPr>
          <w:sz w:val="20"/>
          <w:szCs w:val="20"/>
          <w:color w:val="auto"/>
        </w:rPr>
      </w:pPr>
    </w:p>
    <w:p>
      <w:pPr>
        <w:ind w:left="5540" w:right="3920" w:hanging="5472"/>
        <w:spacing w:after="0" w:line="653" w:lineRule="auto"/>
        <w:tabs>
          <w:tab w:leader="none" w:pos="365"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Including cash and cash equivalents of $8,527,620 for the life insurance and mortgage segments.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847" w:gutter="0" w:footer="0" w:header="0"/>
        </w:sectPr>
      </w:pPr>
    </w:p>
    <w:bookmarkStart w:id="58" w:name="page59"/>
    <w:bookmarkEnd w:id="58"/>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June 30, 2023 (Unaudited)</w:t>
      </w:r>
    </w:p>
    <w:p>
      <w:pPr>
        <w:spacing w:after="0" w:line="184" w:lineRule="exact"/>
        <w:rPr>
          <w:sz w:val="20"/>
          <w:szCs w:val="20"/>
          <w:color w:val="auto"/>
        </w:rPr>
      </w:pPr>
    </w:p>
    <w:p>
      <w:pPr>
        <w:ind w:right="4100" w:firstLine="8"/>
        <w:spacing w:after="0" w:line="500" w:lineRule="auto"/>
        <w:tabs>
          <w:tab w:leader="none" w:pos="285"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Cemetery Perpetual Care Trust Investments and Obligations and Restricted Assets</w:t>
      </w:r>
      <w:r>
        <w:rPr>
          <w:rFonts w:ascii="Arial" w:cs="Arial" w:eastAsia="Arial" w:hAnsi="Arial"/>
          <w:sz w:val="18"/>
          <w:szCs w:val="18"/>
          <w:color w:val="auto"/>
        </w:rPr>
        <w:t xml:space="preserve"> (Continued) </w:t>
      </w:r>
      <w:r>
        <w:rPr>
          <w:rFonts w:ascii="Arial" w:cs="Arial" w:eastAsia="Arial" w:hAnsi="Arial"/>
          <w:sz w:val="18"/>
          <w:szCs w:val="18"/>
          <w:u w:val="single" w:color="auto"/>
          <w:color w:val="auto"/>
        </w:rPr>
        <w:t>Fixed Maturity Securities</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table below summarizes unrealized losses on fixed maturities securities that were carried at estimated fair value at June 30, 2023 and at December 31, 2022. The unrealized losses were primarily related to interest rate fluctuations and inflation. The tables set forth unrealized losses by duration with the fair value of the related fixed maturity securities.</w:t>
      </w:r>
    </w:p>
    <w:tbl>
      <w:tblPr>
        <w:tblLayout w:type="fixed"/>
        <w:tblInd w:w="0" w:type="dxa"/>
        <w:tblCellMar>
          <w:top w:w="0" w:type="dxa"/>
          <w:left w:w="0" w:type="dxa"/>
          <w:bottom w:w="0" w:type="dxa"/>
          <w:right w:w="0" w:type="dxa"/>
        </w:tblCellMar>
      </w:tblPr>
      <w:tr>
        <w:trPr>
          <w:trHeight w:val="204"/>
        </w:trPr>
        <w:tc>
          <w:tcPr>
            <w:tcW w:w="1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160" w:type="dxa"/>
            <w:vAlign w:val="bottom"/>
            <w:gridSpan w:val="3"/>
          </w:tcPr>
          <w:p>
            <w:pPr>
              <w:spacing w:after="0" w:line="204" w:lineRule="exact"/>
              <w:rPr>
                <w:sz w:val="20"/>
                <w:szCs w:val="20"/>
                <w:color w:val="auto"/>
              </w:rPr>
            </w:pPr>
            <w:r>
              <w:rPr>
                <w:rFonts w:ascii="Arial" w:cs="Arial" w:eastAsia="Arial" w:hAnsi="Arial"/>
                <w:sz w:val="18"/>
                <w:szCs w:val="18"/>
                <w:color w:val="auto"/>
              </w:rPr>
              <w:t>Unrealized</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4"/>
          </w:tcPr>
          <w:p>
            <w:pPr>
              <w:ind w:left="160"/>
              <w:spacing w:after="0" w:line="204" w:lineRule="exact"/>
              <w:rPr>
                <w:sz w:val="20"/>
                <w:szCs w:val="20"/>
                <w:color w:val="auto"/>
              </w:rPr>
            </w:pPr>
            <w:r>
              <w:rPr>
                <w:rFonts w:ascii="Arial" w:cs="Arial" w:eastAsia="Arial" w:hAnsi="Arial"/>
                <w:sz w:val="18"/>
                <w:szCs w:val="18"/>
                <w:color w:val="auto"/>
              </w:rPr>
              <w:t>Unrealized</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auto"/>
              </w:rPr>
              <w:t>Losses for</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3"/>
          </w:tcPr>
          <w:p>
            <w:pPr>
              <w:ind w:left="20"/>
              <w:spacing w:after="0"/>
              <w:rPr>
                <w:sz w:val="20"/>
                <w:szCs w:val="20"/>
                <w:color w:val="auto"/>
              </w:rPr>
            </w:pPr>
            <w:r>
              <w:rPr>
                <w:rFonts w:ascii="Arial" w:cs="Arial" w:eastAsia="Arial" w:hAnsi="Arial"/>
                <w:sz w:val="18"/>
                <w:szCs w:val="18"/>
                <w:color w:val="auto"/>
              </w:rPr>
              <w:t>Losses for</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160" w:type="dxa"/>
            <w:vAlign w:val="bottom"/>
            <w:gridSpan w:val="3"/>
          </w:tcPr>
          <w:p>
            <w:pPr>
              <w:jc w:val="center"/>
              <w:ind w:right="360"/>
              <w:spacing w:after="0"/>
              <w:rPr>
                <w:sz w:val="20"/>
                <w:szCs w:val="20"/>
                <w:color w:val="auto"/>
              </w:rPr>
            </w:pPr>
            <w:r>
              <w:rPr>
                <w:rFonts w:ascii="Arial" w:cs="Arial" w:eastAsia="Arial" w:hAnsi="Arial"/>
                <w:sz w:val="18"/>
                <w:szCs w:val="18"/>
                <w:color w:val="auto"/>
                <w:w w:val="87"/>
              </w:rPr>
              <w:t>Less than</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3"/>
          </w:tcPr>
          <w:p>
            <w:pPr>
              <w:ind w:left="20"/>
              <w:spacing w:after="0"/>
              <w:rPr>
                <w:sz w:val="20"/>
                <w:szCs w:val="20"/>
                <w:color w:val="auto"/>
              </w:rPr>
            </w:pPr>
            <w:r>
              <w:rPr>
                <w:rFonts w:ascii="Arial" w:cs="Arial" w:eastAsia="Arial" w:hAnsi="Arial"/>
                <w:sz w:val="18"/>
                <w:szCs w:val="18"/>
                <w:color w:val="auto"/>
              </w:rPr>
              <w:t>More than</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460"/>
              <w:spacing w:after="0"/>
              <w:rPr>
                <w:sz w:val="20"/>
                <w:szCs w:val="20"/>
                <w:color w:val="auto"/>
              </w:rPr>
            </w:pPr>
            <w:r>
              <w:rPr>
                <w:rFonts w:ascii="Arial" w:cs="Arial" w:eastAsia="Arial" w:hAnsi="Arial"/>
                <w:sz w:val="18"/>
                <w:szCs w:val="18"/>
                <w:color w:val="auto"/>
                <w:w w:val="91"/>
              </w:rPr>
              <w:t>Twelve</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auto"/>
              </w:rPr>
              <w:t>Twelve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3"/>
          </w:tcPr>
          <w:p>
            <w:pPr>
              <w:spacing w:after="0"/>
              <w:rPr>
                <w:sz w:val="20"/>
                <w:szCs w:val="20"/>
                <w:color w:val="auto"/>
              </w:rPr>
            </w:pPr>
            <w:r>
              <w:rPr>
                <w:rFonts w:ascii="Arial" w:cs="Arial" w:eastAsia="Arial" w:hAnsi="Arial"/>
                <w:sz w:val="18"/>
                <w:szCs w:val="18"/>
                <w:color w:val="auto"/>
              </w:rPr>
              <w:t>Unrealized</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7"/>
        </w:trPr>
        <w:tc>
          <w:tcPr>
            <w:tcW w:w="1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center"/>
              <w:ind w:right="460"/>
              <w:spacing w:after="0"/>
              <w:rPr>
                <w:sz w:val="20"/>
                <w:szCs w:val="20"/>
                <w:color w:val="auto"/>
              </w:rPr>
            </w:pPr>
            <w:r>
              <w:rPr>
                <w:rFonts w:ascii="Arial" w:cs="Arial" w:eastAsia="Arial" w:hAnsi="Arial"/>
                <w:sz w:val="18"/>
                <w:szCs w:val="18"/>
                <w:color w:val="auto"/>
                <w:w w:val="94"/>
              </w:rPr>
              <w:t>Months</w:t>
            </w:r>
          </w:p>
        </w:tc>
        <w:tc>
          <w:tcPr>
            <w:tcW w:w="920" w:type="dxa"/>
            <w:vAlign w:val="bottom"/>
            <w:gridSpan w:val="3"/>
          </w:tcPr>
          <w:p>
            <w:pPr>
              <w:spacing w:after="0"/>
              <w:rPr>
                <w:sz w:val="20"/>
                <w:szCs w:val="20"/>
                <w:color w:val="auto"/>
              </w:rPr>
            </w:pPr>
            <w:r>
              <w:rPr>
                <w:rFonts w:ascii="Arial" w:cs="Arial" w:eastAsia="Arial" w:hAnsi="Arial"/>
                <w:sz w:val="18"/>
                <w:szCs w:val="18"/>
                <w:color w:val="auto"/>
              </w:rPr>
              <w:t>Fair Value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spacing w:after="0"/>
              <w:rPr>
                <w:sz w:val="20"/>
                <w:szCs w:val="20"/>
                <w:color w:val="auto"/>
              </w:rPr>
            </w:pPr>
            <w:r>
              <w:rPr>
                <w:rFonts w:ascii="Arial" w:cs="Arial" w:eastAsia="Arial" w:hAnsi="Arial"/>
                <w:sz w:val="18"/>
                <w:szCs w:val="18"/>
                <w:color w:val="auto"/>
              </w:rPr>
              <w:t>Months</w:t>
            </w:r>
          </w:p>
        </w:tc>
        <w:tc>
          <w:tcPr>
            <w:tcW w:w="160" w:type="dxa"/>
            <w:vAlign w:val="bottom"/>
          </w:tcPr>
          <w:p>
            <w:pPr>
              <w:spacing w:after="0"/>
              <w:rPr>
                <w:sz w:val="20"/>
                <w:szCs w:val="20"/>
                <w:color w:val="auto"/>
              </w:rPr>
            </w:pPr>
          </w:p>
        </w:tc>
        <w:tc>
          <w:tcPr>
            <w:tcW w:w="1080" w:type="dxa"/>
            <w:vAlign w:val="bottom"/>
            <w:gridSpan w:val="3"/>
          </w:tcPr>
          <w:p>
            <w:pPr>
              <w:spacing w:after="0"/>
              <w:rPr>
                <w:sz w:val="20"/>
                <w:szCs w:val="20"/>
                <w:color w:val="auto"/>
              </w:rPr>
            </w:pPr>
            <w:r>
              <w:rPr>
                <w:rFonts w:ascii="Arial" w:cs="Arial" w:eastAsia="Arial" w:hAnsi="Arial"/>
                <w:sz w:val="18"/>
                <w:szCs w:val="18"/>
                <w:color w:val="auto"/>
              </w:rPr>
              <w:t>Fair Value</w:t>
            </w:r>
          </w:p>
        </w:tc>
        <w:tc>
          <w:tcPr>
            <w:tcW w:w="16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color w:val="auto"/>
              </w:rPr>
              <w:t>Loss</w:t>
            </w:r>
          </w:p>
        </w:tc>
        <w:tc>
          <w:tcPr>
            <w:tcW w:w="940" w:type="dxa"/>
            <w:vAlign w:val="bottom"/>
            <w:gridSpan w:val="4"/>
          </w:tcPr>
          <w:p>
            <w:pPr>
              <w:ind w:left="40"/>
              <w:spacing w:after="0"/>
              <w:rPr>
                <w:sz w:val="20"/>
                <w:szCs w:val="20"/>
                <w:color w:val="auto"/>
              </w:rPr>
            </w:pPr>
            <w:r>
              <w:rPr>
                <w:rFonts w:ascii="Arial" w:cs="Arial" w:eastAsia="Arial" w:hAnsi="Arial"/>
                <w:sz w:val="18"/>
                <w:szCs w:val="18"/>
                <w:color w:val="auto"/>
              </w:rPr>
              <w:t>Fair Value</w:t>
            </w:r>
          </w:p>
        </w:tc>
      </w:tr>
      <w:tr>
        <w:trPr>
          <w:trHeight w:val="196"/>
        </w:trPr>
        <w:tc>
          <w:tcPr>
            <w:tcW w:w="1240" w:type="dxa"/>
            <w:vAlign w:val="bottom"/>
            <w:tcBorders>
              <w:top w:val="single" w:sz="8" w:color="CCEEFF"/>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9"/>
              </w:rPr>
              <w:t>At June 30, 2023</w:t>
            </w:r>
          </w:p>
        </w:tc>
        <w:tc>
          <w:tcPr>
            <w:tcW w:w="350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CCEEFF"/>
            </w:tcBorders>
            <w:shd w:val="clear" w:color="auto" w:fill="CCEEFF"/>
          </w:tcPr>
          <w:p>
            <w:pPr>
              <w:spacing w:after="0"/>
              <w:rPr>
                <w:sz w:val="17"/>
                <w:szCs w:val="17"/>
                <w:color w:val="auto"/>
              </w:rPr>
            </w:pPr>
          </w:p>
        </w:tc>
        <w:tc>
          <w:tcPr>
            <w:tcW w:w="3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CCEEFF"/>
            </w:tcBorders>
            <w:shd w:val="clear" w:color="auto" w:fill="CCEEFF"/>
          </w:tcPr>
          <w:p>
            <w:pPr>
              <w:spacing w:after="0"/>
              <w:rPr>
                <w:sz w:val="17"/>
                <w:szCs w:val="17"/>
                <w:color w:val="auto"/>
              </w:rPr>
            </w:pP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CCEEFF"/>
            </w:tcBorders>
            <w:shd w:val="clear" w:color="auto" w:fill="CCEEFF"/>
          </w:tcPr>
          <w:p>
            <w:pPr>
              <w:spacing w:after="0"/>
              <w:rPr>
                <w:sz w:val="17"/>
                <w:szCs w:val="17"/>
                <w:color w:val="auto"/>
              </w:rPr>
            </w:pP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2"/>
        </w:trPr>
        <w:tc>
          <w:tcPr>
            <w:tcW w:w="4740" w:type="dxa"/>
            <w:vAlign w:val="bottom"/>
            <w:gridSpan w:val="3"/>
          </w:tcPr>
          <w:p>
            <w:pPr>
              <w:spacing w:after="0" w:line="201" w:lineRule="exact"/>
              <w:rPr>
                <w:sz w:val="20"/>
                <w:szCs w:val="20"/>
                <w:color w:val="auto"/>
              </w:rPr>
            </w:pPr>
            <w:r>
              <w:rPr>
                <w:rFonts w:ascii="Arial" w:cs="Arial" w:eastAsia="Arial" w:hAnsi="Arial"/>
                <w:sz w:val="18"/>
                <w:szCs w:val="18"/>
                <w:color w:val="auto"/>
                <w:w w:val="97"/>
              </w:rPr>
              <w:t>U.S. Treasury securities and obligations of U.S. Government</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4740" w:type="dxa"/>
            <w:vAlign w:val="bottom"/>
            <w:gridSpan w:val="3"/>
          </w:tcPr>
          <w:p>
            <w:pPr>
              <w:spacing w:after="0"/>
              <w:rPr>
                <w:sz w:val="20"/>
                <w:szCs w:val="20"/>
                <w:color w:val="auto"/>
              </w:rPr>
            </w:pPr>
            <w:r>
              <w:rPr>
                <w:rFonts w:ascii="Arial" w:cs="Arial" w:eastAsia="Arial" w:hAnsi="Arial"/>
                <w:sz w:val="18"/>
                <w:szCs w:val="18"/>
                <w:color w:val="auto"/>
              </w:rPr>
              <w:t>agencies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4,212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385,429</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4,212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385,429</w:t>
            </w:r>
          </w:p>
        </w:tc>
        <w:tc>
          <w:tcPr>
            <w:tcW w:w="80" w:type="dxa"/>
            <w:vAlign w:val="bottom"/>
          </w:tcPr>
          <w:p>
            <w:pPr>
              <w:spacing w:after="0"/>
              <w:rPr>
                <w:sz w:val="20"/>
                <w:szCs w:val="20"/>
                <w:color w:val="auto"/>
              </w:rPr>
            </w:pPr>
          </w:p>
        </w:tc>
      </w:tr>
      <w:tr>
        <w:trPr>
          <w:trHeight w:val="216"/>
        </w:trPr>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1,266</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150,501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8,304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392,384</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9,570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542,885</w:t>
            </w:r>
          </w:p>
        </w:tc>
        <w:tc>
          <w:tcPr>
            <w:tcW w:w="80" w:type="dxa"/>
            <w:vAlign w:val="bottom"/>
            <w:shd w:val="clear" w:color="auto" w:fill="CCEEFF"/>
          </w:tcPr>
          <w:p>
            <w:pPr>
              <w:spacing w:after="0"/>
              <w:rPr>
                <w:sz w:val="18"/>
                <w:szCs w:val="18"/>
                <w:color w:val="auto"/>
              </w:rPr>
            </w:pPr>
          </w:p>
        </w:tc>
      </w:tr>
      <w:tr>
        <w:trPr>
          <w:trHeight w:val="237"/>
        </w:trPr>
        <w:tc>
          <w:tcPr>
            <w:tcW w:w="4740" w:type="dxa"/>
            <w:vAlign w:val="bottom"/>
            <w:gridSpan w:val="3"/>
          </w:tcPr>
          <w:p>
            <w:pPr>
              <w:spacing w:after="0"/>
              <w:rPr>
                <w:sz w:val="20"/>
                <w:szCs w:val="20"/>
                <w:color w:val="auto"/>
              </w:rPr>
            </w:pPr>
            <w:r>
              <w:rPr>
                <w:rFonts w:ascii="Arial" w:cs="Arial" w:eastAsia="Arial" w:hAnsi="Arial"/>
                <w:sz w:val="18"/>
                <w:szCs w:val="18"/>
                <w:color w:val="auto"/>
              </w:rPr>
              <w:t>Corporate securities including public utilities</w:t>
            </w:r>
          </w:p>
        </w:tc>
        <w:tc>
          <w:tcPr>
            <w:tcW w:w="100" w:type="dxa"/>
            <w:vAlign w:val="bottom"/>
          </w:tcPr>
          <w:p>
            <w:pPr>
              <w:spacing w:after="0"/>
              <w:rPr>
                <w:sz w:val="20"/>
                <w:szCs w:val="20"/>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1,787</w:t>
            </w:r>
          </w:p>
        </w:tc>
        <w:tc>
          <w:tcPr>
            <w:tcW w:w="14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216,540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4,325</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228,121</w:t>
            </w:r>
          </w:p>
        </w:tc>
        <w:tc>
          <w:tcPr>
            <w:tcW w:w="16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6,112</w:t>
            </w:r>
          </w:p>
        </w:tc>
        <w:tc>
          <w:tcPr>
            <w:tcW w:w="10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444,661</w:t>
            </w:r>
          </w:p>
        </w:tc>
        <w:tc>
          <w:tcPr>
            <w:tcW w:w="80" w:type="dxa"/>
            <w:vAlign w:val="bottom"/>
          </w:tcPr>
          <w:p>
            <w:pPr>
              <w:spacing w:after="0"/>
              <w:rPr>
                <w:sz w:val="20"/>
                <w:szCs w:val="20"/>
                <w:color w:val="auto"/>
              </w:rPr>
            </w:pPr>
          </w:p>
        </w:tc>
      </w:tr>
      <w:tr>
        <w:trPr>
          <w:trHeight w:val="229"/>
        </w:trPr>
        <w:tc>
          <w:tcPr>
            <w:tcW w:w="474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unrealized losses</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7,265</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752,470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620,505</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19,894</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1,372,975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1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76"/>
        </w:trPr>
        <w:tc>
          <w:tcPr>
            <w:tcW w:w="47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At December 31, 2022</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0"/>
        </w:trPr>
        <w:tc>
          <w:tcPr>
            <w:tcW w:w="124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3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4740" w:type="dxa"/>
            <w:vAlign w:val="bottom"/>
            <w:gridSpan w:val="3"/>
          </w:tcPr>
          <w:p>
            <w:pPr>
              <w:spacing w:after="0"/>
              <w:rPr>
                <w:sz w:val="20"/>
                <w:szCs w:val="20"/>
                <w:color w:val="auto"/>
              </w:rPr>
            </w:pPr>
            <w:r>
              <w:rPr>
                <w:rFonts w:ascii="Arial" w:cs="Arial" w:eastAsia="Arial" w:hAnsi="Arial"/>
                <w:sz w:val="18"/>
                <w:szCs w:val="18"/>
                <w:color w:val="auto"/>
              </w:rPr>
              <w:t>Obligations of states and political subdivisions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11,891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760,255</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3,469</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58,072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15,360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818,327</w:t>
            </w:r>
          </w:p>
        </w:tc>
        <w:tc>
          <w:tcPr>
            <w:tcW w:w="80" w:type="dxa"/>
            <w:vAlign w:val="bottom"/>
          </w:tcPr>
          <w:p>
            <w:pPr>
              <w:spacing w:after="0"/>
              <w:rPr>
                <w:sz w:val="18"/>
                <w:szCs w:val="18"/>
                <w:color w:val="auto"/>
              </w:rPr>
            </w:pPr>
          </w:p>
        </w:tc>
      </w:tr>
      <w:tr>
        <w:trPr>
          <w:trHeight w:val="250"/>
        </w:trPr>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securities including public utilities</w:t>
            </w: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3,016</w:t>
            </w:r>
          </w:p>
        </w:tc>
        <w:tc>
          <w:tcPr>
            <w:tcW w:w="1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198,755</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3,016</w:t>
            </w:r>
          </w:p>
        </w:tc>
        <w:tc>
          <w:tcPr>
            <w:tcW w:w="1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198,755</w:t>
            </w:r>
          </w:p>
        </w:tc>
        <w:tc>
          <w:tcPr>
            <w:tcW w:w="80" w:type="dxa"/>
            <w:vAlign w:val="bottom"/>
            <w:shd w:val="clear" w:color="auto" w:fill="CCEEFF"/>
          </w:tcPr>
          <w:p>
            <w:pPr>
              <w:spacing w:after="0"/>
              <w:rPr>
                <w:sz w:val="21"/>
                <w:szCs w:val="21"/>
                <w:color w:val="auto"/>
              </w:rPr>
            </w:pPr>
          </w:p>
        </w:tc>
      </w:tr>
      <w:tr>
        <w:trPr>
          <w:trHeight w:val="216"/>
        </w:trPr>
        <w:tc>
          <w:tcPr>
            <w:tcW w:w="4740" w:type="dxa"/>
            <w:vAlign w:val="bottom"/>
            <w:tcBorders>
              <w:top w:val="single" w:sz="8" w:color="CCEEFF"/>
            </w:tcBorders>
            <w:gridSpan w:val="3"/>
          </w:tcPr>
          <w:p>
            <w:pPr>
              <w:spacing w:after="0"/>
              <w:rPr>
                <w:sz w:val="20"/>
                <w:szCs w:val="20"/>
                <w:color w:val="auto"/>
              </w:rPr>
            </w:pPr>
            <w:r>
              <w:rPr>
                <w:rFonts w:ascii="Arial" w:cs="Arial" w:eastAsia="Arial" w:hAnsi="Arial"/>
                <w:sz w:val="18"/>
                <w:szCs w:val="18"/>
                <w:color w:val="auto"/>
              </w:rPr>
              <w:t>Total unrealized losses</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14,907</w:t>
            </w:r>
          </w:p>
        </w:tc>
        <w:tc>
          <w:tcPr>
            <w:tcW w:w="36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959,010</w:t>
            </w: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3,469</w:t>
            </w: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58,072</w:t>
            </w: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18,376</w:t>
            </w: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1,017,082</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1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Relevant holdings were comprised of 18 securities with fair value of 98.6% of amortized cost at June 30, 2023. Relevant holdings were comprised of 17 securities with fair value of 98.2% of amortized cost at December 31, 2022. No credit losses have been recognized for the three and six month periods ended June 30, 2023 and 2022, since the increase in unrealized losses is primarily a result of the recent increase in interest and inflation rates.</w:t>
      </w:r>
    </w:p>
    <w:p>
      <w:pPr>
        <w:spacing w:after="0" w:line="1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table below presents the amortized cost and estimated fair value of fixed maturity securities available for sale at June 30, 2023, by contractual maturity. Expected maturities may differ from contractual maturities because certain borrowers may have the right to call or prepay obligations with or without call or prepayment penalties:</w:t>
      </w:r>
    </w:p>
    <w:p>
      <w:pPr>
        <w:sectPr>
          <w:pgSz w:w="11900" w:h="16838" w:orient="portrait"/>
          <w:cols w:equalWidth="0" w:num="1">
            <w:col w:w="11240"/>
          </w:cols>
          <w:pgMar w:left="320" w:top="692"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Due in 1 year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Due in 2-5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Due in 5-10 years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Due in more than 10 years</w:t>
      </w:r>
    </w:p>
    <w:p>
      <w:pPr>
        <w:spacing w:after="0" w:line="4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40" w:type="dxa"/>
            <w:vAlign w:val="bottom"/>
          </w:tcPr>
          <w:p>
            <w:pPr>
              <w:spacing w:after="0"/>
              <w:rPr>
                <w:sz w:val="18"/>
                <w:szCs w:val="18"/>
                <w:color w:val="auto"/>
              </w:rPr>
            </w:pP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rPr>
              <w:t>Amortized</w:t>
            </w:r>
          </w:p>
        </w:tc>
        <w:tc>
          <w:tcPr>
            <w:tcW w:w="16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Estimated Fair</w:t>
            </w:r>
          </w:p>
        </w:tc>
      </w:tr>
      <w:tr>
        <w:trPr>
          <w:trHeight w:val="237"/>
        </w:trPr>
        <w:tc>
          <w:tcPr>
            <w:tcW w:w="240" w:type="dxa"/>
            <w:vAlign w:val="bottom"/>
          </w:tcPr>
          <w:p>
            <w:pPr>
              <w:spacing w:after="0"/>
              <w:rPr>
                <w:sz w:val="20"/>
                <w:szCs w:val="20"/>
                <w:color w:val="auto"/>
              </w:rPr>
            </w:pPr>
          </w:p>
        </w:tc>
        <w:tc>
          <w:tcPr>
            <w:tcW w:w="1540" w:type="dxa"/>
            <w:vAlign w:val="bottom"/>
            <w:gridSpan w:val="2"/>
          </w:tcPr>
          <w:p>
            <w:pPr>
              <w:jc w:val="right"/>
              <w:ind w:right="860"/>
              <w:spacing w:after="0"/>
              <w:rPr>
                <w:sz w:val="20"/>
                <w:szCs w:val="20"/>
                <w:color w:val="auto"/>
              </w:rPr>
            </w:pPr>
            <w:r>
              <w:rPr>
                <w:rFonts w:ascii="Arial" w:cs="Arial" w:eastAsia="Arial" w:hAnsi="Arial"/>
                <w:sz w:val="18"/>
                <w:szCs w:val="18"/>
                <w:color w:val="auto"/>
              </w:rPr>
              <w:t>Cost</w:t>
            </w:r>
          </w:p>
        </w:tc>
        <w:tc>
          <w:tcPr>
            <w:tcW w:w="160" w:type="dxa"/>
            <w:vAlign w:val="bottom"/>
          </w:tcPr>
          <w:p>
            <w:pPr>
              <w:spacing w:after="0"/>
              <w:rPr>
                <w:sz w:val="20"/>
                <w:szCs w:val="20"/>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Value</w:t>
            </w:r>
          </w:p>
        </w:tc>
      </w:tr>
      <w:tr>
        <w:trPr>
          <w:trHeight w:val="202"/>
        </w:trPr>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16"/>
        </w:trPr>
        <w:tc>
          <w:tcPr>
            <w:tcW w:w="24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705,807</w:t>
            </w:r>
          </w:p>
        </w:tc>
        <w:tc>
          <w:tcPr>
            <w:tcW w:w="16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694,536</w:t>
            </w:r>
          </w:p>
        </w:tc>
      </w:tr>
      <w:tr>
        <w:trPr>
          <w:trHeight w:val="230"/>
        </w:trPr>
        <w:tc>
          <w:tcPr>
            <w:tcW w:w="240" w:type="dxa"/>
            <w:vAlign w:val="bottom"/>
          </w:tcPr>
          <w:p>
            <w:pPr>
              <w:spacing w:after="0"/>
              <w:rPr>
                <w:sz w:val="19"/>
                <w:szCs w:val="19"/>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111,301</w:t>
            </w:r>
          </w:p>
        </w:tc>
        <w:tc>
          <w:tcPr>
            <w:tcW w:w="16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110,683</w:t>
            </w:r>
          </w:p>
        </w:tc>
      </w:tr>
      <w:tr>
        <w:trPr>
          <w:trHeight w:val="237"/>
        </w:trPr>
        <w:tc>
          <w:tcPr>
            <w:tcW w:w="240" w:type="dxa"/>
            <w:vAlign w:val="bottom"/>
          </w:tcPr>
          <w:p>
            <w:pPr>
              <w:spacing w:after="0"/>
              <w:rPr>
                <w:sz w:val="20"/>
                <w:szCs w:val="20"/>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753,425</w:t>
            </w:r>
          </w:p>
        </w:tc>
        <w:tc>
          <w:tcPr>
            <w:tcW w:w="16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745,749</w:t>
            </w:r>
          </w:p>
        </w:tc>
      </w:tr>
      <w:tr>
        <w:trPr>
          <w:trHeight w:val="230"/>
        </w:trPr>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1,570,533</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1,550,968</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-753745</wp:posOffset>
            </wp:positionV>
            <wp:extent cx="5700395" cy="1454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00395" cy="145415"/>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-471170</wp:posOffset>
            </wp:positionV>
            <wp:extent cx="5700395"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-179705</wp:posOffset>
            </wp:positionV>
            <wp:extent cx="5700395" cy="1631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80" w:space="720"/>
            <w:col w:w="5640"/>
          </w:cols>
          <w:pgMar w:left="320" w:top="692" w:right="3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See Notes 3 and 8 for additional information regarding restricted assets and cemetery perpetual care trust investments.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59" w:name="page60"/>
    <w:bookmarkEnd w:id="59"/>
    <w:p>
      <w:pPr>
        <w:jc w:val="center"/>
        <w:spacing w:after="0" w:line="263"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June 30, 2023 (Unaudited)</w:t>
      </w:r>
    </w:p>
    <w:p>
      <w:pPr>
        <w:spacing w:after="0" w:line="184" w:lineRule="exact"/>
        <w:rPr>
          <w:sz w:val="20"/>
          <w:szCs w:val="20"/>
          <w:color w:val="auto"/>
        </w:rPr>
      </w:pPr>
    </w:p>
    <w:p>
      <w:pPr>
        <w:ind w:left="300" w:hanging="292"/>
        <w:spacing w:after="0"/>
        <w:tabs>
          <w:tab w:leader="none" w:pos="30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Accumulated Other Comprehensive Income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changes in accumulated other comprehensive income (loss):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60" w:type="dxa"/>
            <w:vAlign w:val="bottom"/>
            <w:gridSpan w:val="6"/>
          </w:tcPr>
          <w:p>
            <w:pPr>
              <w:jc w:val="right"/>
              <w:ind w:right="761"/>
              <w:spacing w:after="0"/>
              <w:rPr>
                <w:sz w:val="20"/>
                <w:szCs w:val="20"/>
                <w:color w:val="auto"/>
              </w:rPr>
            </w:pPr>
            <w:r>
              <w:rPr>
                <w:rFonts w:ascii="Arial" w:cs="Arial" w:eastAsia="Arial" w:hAnsi="Arial"/>
                <w:sz w:val="18"/>
                <w:szCs w:val="18"/>
                <w:color w:val="auto"/>
                <w:w w:val="94"/>
              </w:rPr>
              <w:t>Three Months Ended June 30,</w:t>
            </w:r>
          </w:p>
        </w:tc>
        <w:tc>
          <w:tcPr>
            <w:tcW w:w="260" w:type="dxa"/>
            <w:vAlign w:val="bottom"/>
          </w:tcPr>
          <w:p>
            <w:pPr>
              <w:spacing w:after="0"/>
              <w:rPr>
                <w:sz w:val="20"/>
                <w:szCs w:val="20"/>
                <w:color w:val="auto"/>
              </w:rPr>
            </w:pPr>
          </w:p>
        </w:tc>
        <w:tc>
          <w:tcPr>
            <w:tcW w:w="2740" w:type="dxa"/>
            <w:vAlign w:val="bottom"/>
            <w:gridSpan w:val="7"/>
          </w:tcPr>
          <w:p>
            <w:pPr>
              <w:jc w:val="right"/>
              <w:ind w:right="560"/>
              <w:spacing w:after="0"/>
              <w:rPr>
                <w:sz w:val="20"/>
                <w:szCs w:val="20"/>
                <w:color w:val="auto"/>
              </w:rPr>
            </w:pPr>
            <w:r>
              <w:rPr>
                <w:rFonts w:ascii="Arial" w:cs="Arial" w:eastAsia="Arial" w:hAnsi="Arial"/>
                <w:sz w:val="18"/>
                <w:szCs w:val="18"/>
                <w:color w:val="auto"/>
                <w:w w:val="98"/>
              </w:rPr>
              <w:t>Six Months Ended June 30,</w:t>
            </w:r>
          </w:p>
        </w:tc>
      </w:tr>
      <w:tr>
        <w:trPr>
          <w:trHeight w:val="237"/>
        </w:trPr>
        <w:tc>
          <w:tcPr>
            <w:tcW w:w="48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2023</w:t>
            </w:r>
          </w:p>
        </w:tc>
        <w:tc>
          <w:tcPr>
            <w:tcW w:w="2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2022</w:t>
            </w:r>
          </w:p>
        </w:tc>
        <w:tc>
          <w:tcPr>
            <w:tcW w:w="42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2023</w:t>
            </w:r>
          </w:p>
        </w:tc>
        <w:tc>
          <w:tcPr>
            <w:tcW w:w="4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4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4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Unrealized gains (losses) on fixed maturity securities</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available for sale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(4,913,327)</w:t>
            </w:r>
          </w:p>
        </w:tc>
        <w:tc>
          <w:tcPr>
            <w:tcW w:w="44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(13,114,816)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523,602</w:t>
            </w:r>
          </w:p>
        </w:tc>
        <w:tc>
          <w:tcPr>
            <w:tcW w:w="2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(28,486,911)</w:t>
            </w:r>
          </w:p>
        </w:tc>
      </w:tr>
      <w:tr>
        <w:trPr>
          <w:trHeight w:val="236"/>
        </w:trPr>
        <w:tc>
          <w:tcPr>
            <w:tcW w:w="4840" w:type="dxa"/>
            <w:vAlign w:val="bottom"/>
          </w:tcPr>
          <w:p>
            <w:pPr>
              <w:spacing w:after="0"/>
              <w:rPr>
                <w:sz w:val="20"/>
                <w:szCs w:val="20"/>
                <w:color w:val="auto"/>
              </w:rPr>
            </w:pPr>
            <w:r>
              <w:rPr>
                <w:rFonts w:ascii="Arial" w:cs="Arial" w:eastAsia="Arial" w:hAnsi="Arial"/>
                <w:sz w:val="18"/>
                <w:szCs w:val="18"/>
                <w:color w:val="auto"/>
              </w:rPr>
              <w:t>Amounts reclassified into net earnings</w:t>
            </w:r>
          </w:p>
        </w:tc>
        <w:tc>
          <w:tcPr>
            <w:tcW w:w="240" w:type="dxa"/>
            <w:vAlign w:val="bottom"/>
          </w:tcPr>
          <w:p>
            <w:pPr>
              <w:spacing w:after="0"/>
              <w:rPr>
                <w:sz w:val="20"/>
                <w:szCs w:val="20"/>
                <w:color w:val="auto"/>
              </w:rPr>
            </w:pPr>
          </w:p>
        </w:tc>
        <w:tc>
          <w:tcPr>
            <w:tcW w:w="1280" w:type="dxa"/>
            <w:vAlign w:val="bottom"/>
            <w:gridSpan w:val="2"/>
          </w:tcPr>
          <w:p>
            <w:pPr>
              <w:jc w:val="right"/>
              <w:ind w:right="121"/>
              <w:spacing w:after="0"/>
              <w:rPr>
                <w:sz w:val="20"/>
                <w:szCs w:val="20"/>
                <w:color w:val="auto"/>
              </w:rPr>
            </w:pPr>
            <w:r>
              <w:rPr>
                <w:rFonts w:ascii="Arial" w:cs="Arial" w:eastAsia="Arial" w:hAnsi="Arial"/>
                <w:sz w:val="18"/>
                <w:szCs w:val="18"/>
                <w:color w:val="auto"/>
              </w:rPr>
              <w:t>(79,850)</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right"/>
              <w:ind w:right="341"/>
              <w:spacing w:after="0"/>
              <w:rPr>
                <w:sz w:val="20"/>
                <w:szCs w:val="20"/>
                <w:color w:val="auto"/>
              </w:rPr>
            </w:pPr>
            <w:r>
              <w:rPr>
                <w:rFonts w:ascii="Arial" w:cs="Arial" w:eastAsia="Arial" w:hAnsi="Arial"/>
                <w:sz w:val="18"/>
                <w:szCs w:val="18"/>
                <w:color w:val="auto"/>
              </w:rPr>
              <w:t>119,684</w:t>
            </w:r>
          </w:p>
        </w:tc>
        <w:tc>
          <w:tcPr>
            <w:tcW w:w="260" w:type="dxa"/>
            <w:vAlign w:val="bottom"/>
          </w:tcPr>
          <w:p>
            <w:pPr>
              <w:spacing w:after="0"/>
              <w:rPr>
                <w:sz w:val="20"/>
                <w:szCs w:val="20"/>
                <w:color w:val="auto"/>
              </w:rPr>
            </w:pPr>
          </w:p>
        </w:tc>
        <w:tc>
          <w:tcPr>
            <w:tcW w:w="1400" w:type="dxa"/>
            <w:vAlign w:val="bottom"/>
            <w:gridSpan w:val="2"/>
          </w:tcPr>
          <w:p>
            <w:pPr>
              <w:jc w:val="right"/>
              <w:ind w:right="281"/>
              <w:spacing w:after="0"/>
              <w:rPr>
                <w:sz w:val="20"/>
                <w:szCs w:val="20"/>
                <w:color w:val="auto"/>
              </w:rPr>
            </w:pPr>
            <w:r>
              <w:rPr>
                <w:rFonts w:ascii="Arial" w:cs="Arial" w:eastAsia="Arial" w:hAnsi="Arial"/>
                <w:sz w:val="18"/>
                <w:szCs w:val="18"/>
                <w:color w:val="auto"/>
              </w:rPr>
              <w:t>(298,750)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164,877</w:t>
            </w:r>
          </w:p>
        </w:tc>
        <w:tc>
          <w:tcPr>
            <w:tcW w:w="80" w:type="dxa"/>
            <w:vAlign w:val="bottom"/>
          </w:tcPr>
          <w:p>
            <w:pPr>
              <w:spacing w:after="0"/>
              <w:rPr>
                <w:sz w:val="20"/>
                <w:szCs w:val="20"/>
                <w:color w:val="auto"/>
              </w:rPr>
            </w:pPr>
          </w:p>
        </w:tc>
      </w:tr>
      <w:tr>
        <w:trPr>
          <w:trHeight w:val="216"/>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unrealized gains (losses) before taxes</w:t>
            </w: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(4,993,177)</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(12,995,132)</w:t>
            </w:r>
          </w:p>
        </w:tc>
        <w:tc>
          <w:tcPr>
            <w:tcW w:w="4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224,852</w:t>
            </w:r>
          </w:p>
        </w:tc>
        <w:tc>
          <w:tcPr>
            <w:tcW w:w="4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(28,322,034)</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36"/>
        </w:trPr>
        <w:tc>
          <w:tcPr>
            <w:tcW w:w="4840" w:type="dxa"/>
            <w:vAlign w:val="bottom"/>
          </w:tcPr>
          <w:p>
            <w:pPr>
              <w:spacing w:after="0"/>
              <w:rPr>
                <w:sz w:val="20"/>
                <w:szCs w:val="20"/>
                <w:color w:val="auto"/>
              </w:rPr>
            </w:pPr>
            <w:r>
              <w:rPr>
                <w:rFonts w:ascii="Arial" w:cs="Arial" w:eastAsia="Arial" w:hAnsi="Arial"/>
                <w:sz w:val="18"/>
                <w:szCs w:val="18"/>
                <w:color w:val="auto"/>
              </w:rPr>
              <w:t>Tax (expense) benefit</w:t>
            </w:r>
          </w:p>
        </w:tc>
        <w:tc>
          <w:tcPr>
            <w:tcW w:w="240" w:type="dxa"/>
            <w:vAlign w:val="bottom"/>
          </w:tcPr>
          <w:p>
            <w:pPr>
              <w:spacing w:after="0"/>
              <w:rPr>
                <w:sz w:val="20"/>
                <w:szCs w:val="20"/>
                <w:color w:val="auto"/>
              </w:rPr>
            </w:pPr>
          </w:p>
        </w:tc>
        <w:tc>
          <w:tcPr>
            <w:tcW w:w="1280" w:type="dxa"/>
            <w:vAlign w:val="bottom"/>
            <w:gridSpan w:val="2"/>
          </w:tcPr>
          <w:p>
            <w:pPr>
              <w:jc w:val="right"/>
              <w:ind w:right="181"/>
              <w:spacing w:after="0"/>
              <w:rPr>
                <w:sz w:val="20"/>
                <w:szCs w:val="20"/>
                <w:color w:val="auto"/>
              </w:rPr>
            </w:pPr>
            <w:r>
              <w:rPr>
                <w:rFonts w:ascii="Arial" w:cs="Arial" w:eastAsia="Arial" w:hAnsi="Arial"/>
                <w:sz w:val="18"/>
                <w:szCs w:val="18"/>
                <w:color w:val="auto"/>
              </w:rPr>
              <w:t>1,048,567</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right"/>
              <w:ind w:right="341"/>
              <w:spacing w:after="0"/>
              <w:rPr>
                <w:sz w:val="20"/>
                <w:szCs w:val="20"/>
                <w:color w:val="auto"/>
              </w:rPr>
            </w:pPr>
            <w:r>
              <w:rPr>
                <w:rFonts w:ascii="Arial" w:cs="Arial" w:eastAsia="Arial" w:hAnsi="Arial"/>
                <w:sz w:val="18"/>
                <w:szCs w:val="18"/>
                <w:color w:val="auto"/>
              </w:rPr>
              <w:t>2,728,977</w:t>
            </w:r>
          </w:p>
        </w:tc>
        <w:tc>
          <w:tcPr>
            <w:tcW w:w="260" w:type="dxa"/>
            <w:vAlign w:val="bottom"/>
          </w:tcPr>
          <w:p>
            <w:pPr>
              <w:spacing w:after="0"/>
              <w:rPr>
                <w:sz w:val="20"/>
                <w:szCs w:val="20"/>
                <w:color w:val="auto"/>
              </w:rPr>
            </w:pPr>
          </w:p>
        </w:tc>
        <w:tc>
          <w:tcPr>
            <w:tcW w:w="1400" w:type="dxa"/>
            <w:vAlign w:val="bottom"/>
            <w:gridSpan w:val="2"/>
          </w:tcPr>
          <w:p>
            <w:pPr>
              <w:jc w:val="right"/>
              <w:ind w:right="281"/>
              <w:spacing w:after="0"/>
              <w:rPr>
                <w:sz w:val="20"/>
                <w:szCs w:val="20"/>
                <w:color w:val="auto"/>
              </w:rPr>
            </w:pPr>
            <w:r>
              <w:rPr>
                <w:rFonts w:ascii="Arial" w:cs="Arial" w:eastAsia="Arial" w:hAnsi="Arial"/>
                <w:sz w:val="18"/>
                <w:szCs w:val="18"/>
                <w:color w:val="auto"/>
              </w:rPr>
              <w:t>(47,219)</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5,947,627</w:t>
            </w:r>
          </w:p>
        </w:tc>
        <w:tc>
          <w:tcPr>
            <w:tcW w:w="80" w:type="dxa"/>
            <w:vAlign w:val="bottom"/>
          </w:tcPr>
          <w:p>
            <w:pPr>
              <w:spacing w:after="0"/>
              <w:rPr>
                <w:sz w:val="20"/>
                <w:szCs w:val="20"/>
                <w:color w:val="auto"/>
              </w:rPr>
            </w:pPr>
          </w:p>
        </w:tc>
      </w:tr>
      <w:tr>
        <w:trPr>
          <w:trHeight w:val="236"/>
        </w:trPr>
        <w:tc>
          <w:tcPr>
            <w:tcW w:w="48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(3,944,610</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(10,266,155</w:t>
            </w:r>
          </w:p>
        </w:tc>
        <w:tc>
          <w:tcPr>
            <w:tcW w:w="420" w:type="dxa"/>
            <w:vAlign w:val="bottom"/>
            <w:tcBorders>
              <w:top w:val="single" w:sz="8" w:color="CCEEFF"/>
              <w:bottom w:val="single" w:sz="8" w:color="CCEEFF"/>
            </w:tcBorders>
            <w:shd w:val="clear" w:color="auto" w:fill="CCEEFF"/>
          </w:tcPr>
          <w:p>
            <w:pPr>
              <w:jc w:val="right"/>
              <w:ind w:right="28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177,633</w:t>
            </w:r>
          </w:p>
        </w:tc>
        <w:tc>
          <w:tcPr>
            <w:tcW w:w="4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(22,374,407</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03"/>
        </w:trPr>
        <w:tc>
          <w:tcPr>
            <w:tcW w:w="4840" w:type="dxa"/>
            <w:vAlign w:val="bottom"/>
          </w:tcPr>
          <w:p>
            <w:pPr>
              <w:spacing w:after="0" w:line="203" w:lineRule="exact"/>
              <w:rPr>
                <w:sz w:val="20"/>
                <w:szCs w:val="20"/>
                <w:color w:val="auto"/>
              </w:rPr>
            </w:pPr>
            <w:r>
              <w:rPr>
                <w:rFonts w:ascii="Arial" w:cs="Arial" w:eastAsia="Arial" w:hAnsi="Arial"/>
                <w:sz w:val="18"/>
                <w:szCs w:val="18"/>
                <w:color w:val="auto"/>
              </w:rPr>
              <w:t>Unrealized losses on restricted assets (1)</w:t>
            </w:r>
          </w:p>
        </w:tc>
        <w:tc>
          <w:tcPr>
            <w:tcW w:w="24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(6,189)</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(43,169)</w:t>
            </w: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(2,056)</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(115,118)</w:t>
            </w:r>
          </w:p>
        </w:tc>
        <w:tc>
          <w:tcPr>
            <w:tcW w:w="100" w:type="dxa"/>
            <w:vAlign w:val="bottom"/>
            <w:gridSpan w:val="2"/>
          </w:tcPr>
          <w:p>
            <w:pPr>
              <w:spacing w:after="0"/>
              <w:rPr>
                <w:sz w:val="17"/>
                <w:szCs w:val="17"/>
                <w:color w:val="auto"/>
              </w:rPr>
            </w:pPr>
          </w:p>
        </w:tc>
      </w:tr>
      <w:tr>
        <w:trPr>
          <w:trHeight w:val="25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Tax benefit</w:t>
            </w:r>
          </w:p>
        </w:tc>
        <w:tc>
          <w:tcPr>
            <w:tcW w:w="2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1,542</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10,754</w:t>
            </w:r>
          </w:p>
        </w:tc>
        <w:tc>
          <w:tcPr>
            <w:tcW w:w="2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512</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28,676</w:t>
            </w:r>
          </w:p>
        </w:tc>
        <w:tc>
          <w:tcPr>
            <w:tcW w:w="80" w:type="dxa"/>
            <w:vAlign w:val="bottom"/>
            <w:shd w:val="clear" w:color="auto" w:fill="CCEEFF"/>
          </w:tcPr>
          <w:p>
            <w:pPr>
              <w:spacing w:after="0"/>
              <w:rPr>
                <w:sz w:val="21"/>
                <w:szCs w:val="21"/>
                <w:color w:val="auto"/>
              </w:rPr>
            </w:pPr>
          </w:p>
        </w:tc>
      </w:tr>
      <w:tr>
        <w:trPr>
          <w:trHeight w:val="210"/>
        </w:trPr>
        <w:tc>
          <w:tcPr>
            <w:tcW w:w="484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Net</w:t>
            </w:r>
          </w:p>
        </w:tc>
        <w:tc>
          <w:tcPr>
            <w:tcW w:w="2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(4,647</w:t>
            </w:r>
          </w:p>
        </w:tc>
        <w:tc>
          <w:tcPr>
            <w:tcW w:w="260" w:type="dxa"/>
            <w:vAlign w:val="bottom"/>
            <w:tcBorders>
              <w:top w:val="single" w:sz="8" w:color="CCEEFF"/>
              <w:bottom w:val="single" w:sz="8" w:color="CCEEFF"/>
            </w:tcBorders>
          </w:tcPr>
          <w:p>
            <w:pPr>
              <w:jc w:val="right"/>
              <w:ind w:right="12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(32,415</w:t>
            </w:r>
          </w:p>
        </w:tc>
        <w:tc>
          <w:tcPr>
            <w:tcW w:w="420" w:type="dxa"/>
            <w:vAlign w:val="bottom"/>
            <w:tcBorders>
              <w:top w:val="single" w:sz="8" w:color="CCEEFF"/>
              <w:bottom w:val="single" w:sz="8" w:color="CCEEFF"/>
            </w:tcBorders>
          </w:tcPr>
          <w:p>
            <w:pPr>
              <w:jc w:val="right"/>
              <w:ind w:right="28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(1,544</w:t>
            </w:r>
          </w:p>
        </w:tc>
        <w:tc>
          <w:tcPr>
            <w:tcW w:w="420" w:type="dxa"/>
            <w:vAlign w:val="bottom"/>
            <w:tcBorders>
              <w:top w:val="single" w:sz="8" w:color="CCEEFF"/>
              <w:bottom w:val="single" w:sz="8" w:color="CCEEFF"/>
            </w:tcBorders>
          </w:tcPr>
          <w:p>
            <w:pPr>
              <w:jc w:val="right"/>
              <w:ind w:right="28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(86,442</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188"/>
        </w:trPr>
        <w:tc>
          <w:tcPr>
            <w:tcW w:w="48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Unrealized losses on cemetery perpetual care</w:t>
            </w: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trust investments (1)</w:t>
            </w:r>
          </w:p>
        </w:tc>
        <w:tc>
          <w:tcPr>
            <w:tcW w:w="2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(3,738)</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(15,868)</w:t>
            </w:r>
          </w:p>
        </w:tc>
        <w:tc>
          <w:tcPr>
            <w:tcW w:w="2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(812)</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(53,225)</w:t>
            </w:r>
          </w:p>
        </w:tc>
      </w:tr>
      <w:tr>
        <w:trPr>
          <w:trHeight w:val="236"/>
        </w:trPr>
        <w:tc>
          <w:tcPr>
            <w:tcW w:w="4840" w:type="dxa"/>
            <w:vAlign w:val="bottom"/>
          </w:tcPr>
          <w:p>
            <w:pPr>
              <w:spacing w:after="0"/>
              <w:rPr>
                <w:sz w:val="20"/>
                <w:szCs w:val="20"/>
                <w:color w:val="auto"/>
              </w:rPr>
            </w:pPr>
            <w:r>
              <w:rPr>
                <w:rFonts w:ascii="Arial" w:cs="Arial" w:eastAsia="Arial" w:hAnsi="Arial"/>
                <w:sz w:val="18"/>
                <w:szCs w:val="18"/>
                <w:color w:val="auto"/>
              </w:rPr>
              <w:t>Tax benefit</w:t>
            </w:r>
          </w:p>
        </w:tc>
        <w:tc>
          <w:tcPr>
            <w:tcW w:w="240" w:type="dxa"/>
            <w:vAlign w:val="bottom"/>
          </w:tcPr>
          <w:p>
            <w:pPr>
              <w:spacing w:after="0"/>
              <w:rPr>
                <w:sz w:val="20"/>
                <w:szCs w:val="20"/>
                <w:color w:val="auto"/>
              </w:rPr>
            </w:pPr>
          </w:p>
        </w:tc>
        <w:tc>
          <w:tcPr>
            <w:tcW w:w="1280" w:type="dxa"/>
            <w:vAlign w:val="bottom"/>
            <w:gridSpan w:val="2"/>
          </w:tcPr>
          <w:p>
            <w:pPr>
              <w:jc w:val="right"/>
              <w:ind w:right="181"/>
              <w:spacing w:after="0"/>
              <w:rPr>
                <w:sz w:val="20"/>
                <w:szCs w:val="20"/>
                <w:color w:val="auto"/>
              </w:rPr>
            </w:pPr>
            <w:r>
              <w:rPr>
                <w:rFonts w:ascii="Arial" w:cs="Arial" w:eastAsia="Arial" w:hAnsi="Arial"/>
                <w:sz w:val="18"/>
                <w:szCs w:val="18"/>
                <w:color w:val="auto"/>
              </w:rPr>
              <w:t>943</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right"/>
              <w:ind w:right="341"/>
              <w:spacing w:after="0"/>
              <w:rPr>
                <w:sz w:val="20"/>
                <w:szCs w:val="20"/>
                <w:color w:val="auto"/>
              </w:rPr>
            </w:pPr>
            <w:r>
              <w:rPr>
                <w:rFonts w:ascii="Arial" w:cs="Arial" w:eastAsia="Arial" w:hAnsi="Arial"/>
                <w:sz w:val="18"/>
                <w:szCs w:val="18"/>
                <w:color w:val="auto"/>
              </w:rPr>
              <w:t>3,953</w:t>
            </w:r>
          </w:p>
        </w:tc>
        <w:tc>
          <w:tcPr>
            <w:tcW w:w="260" w:type="dxa"/>
            <w:vAlign w:val="bottom"/>
          </w:tcPr>
          <w:p>
            <w:pPr>
              <w:spacing w:after="0"/>
              <w:rPr>
                <w:sz w:val="20"/>
                <w:szCs w:val="20"/>
                <w:color w:val="auto"/>
              </w:rPr>
            </w:pPr>
          </w:p>
        </w:tc>
        <w:tc>
          <w:tcPr>
            <w:tcW w:w="1400" w:type="dxa"/>
            <w:vAlign w:val="bottom"/>
            <w:gridSpan w:val="2"/>
          </w:tcPr>
          <w:p>
            <w:pPr>
              <w:jc w:val="right"/>
              <w:ind w:right="341"/>
              <w:spacing w:after="0"/>
              <w:rPr>
                <w:sz w:val="20"/>
                <w:szCs w:val="20"/>
                <w:color w:val="auto"/>
              </w:rPr>
            </w:pPr>
            <w:r>
              <w:rPr>
                <w:rFonts w:ascii="Arial" w:cs="Arial" w:eastAsia="Arial" w:hAnsi="Arial"/>
                <w:sz w:val="18"/>
                <w:szCs w:val="18"/>
                <w:color w:val="auto"/>
              </w:rPr>
              <w:t>229</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13,259</w:t>
            </w:r>
          </w:p>
        </w:tc>
        <w:tc>
          <w:tcPr>
            <w:tcW w:w="80" w:type="dxa"/>
            <w:vAlign w:val="bottom"/>
          </w:tcPr>
          <w:p>
            <w:pPr>
              <w:spacing w:after="0"/>
              <w:rPr>
                <w:sz w:val="20"/>
                <w:szCs w:val="20"/>
                <w:color w:val="auto"/>
              </w:rPr>
            </w:pPr>
          </w:p>
        </w:tc>
      </w:tr>
      <w:tr>
        <w:trPr>
          <w:trHeight w:val="236"/>
        </w:trPr>
        <w:tc>
          <w:tcPr>
            <w:tcW w:w="4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(2,795</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(11,915</w:t>
            </w:r>
          </w:p>
        </w:tc>
        <w:tc>
          <w:tcPr>
            <w:tcW w:w="420" w:type="dxa"/>
            <w:vAlign w:val="bottom"/>
            <w:tcBorders>
              <w:top w:val="single" w:sz="8" w:color="CCEEFF"/>
              <w:bottom w:val="single" w:sz="8" w:color="CCEEFF"/>
            </w:tcBorders>
            <w:shd w:val="clear" w:color="auto" w:fill="CCEEFF"/>
          </w:tcPr>
          <w:p>
            <w:pPr>
              <w:jc w:val="right"/>
              <w:ind w:right="28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420" w:type="dxa"/>
            <w:vAlign w:val="bottom"/>
            <w:tcBorders>
              <w:top w:val="single" w:sz="8" w:color="CCEEFF"/>
              <w:bottom w:val="single" w:sz="8" w:color="CCEEFF"/>
            </w:tcBorders>
            <w:shd w:val="clear" w:color="auto" w:fill="CCEEFF"/>
          </w:tcPr>
          <w:p>
            <w:pPr>
              <w:jc w:val="right"/>
              <w:ind w:right="28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(39,966</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Other comprehensive income (loss) changes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(3,952,052</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(10,310,485</w:t>
            </w:r>
          </w:p>
        </w:tc>
        <w:tc>
          <w:tcPr>
            <w:tcW w:w="420" w:type="dxa"/>
            <w:vAlign w:val="bottom"/>
          </w:tcPr>
          <w:p>
            <w:pPr>
              <w:jc w:val="right"/>
              <w:ind w:right="281"/>
              <w:spacing w:after="0"/>
              <w:rPr>
                <w:sz w:val="20"/>
                <w:szCs w:val="20"/>
                <w:color w:val="auto"/>
              </w:rPr>
            </w:pPr>
            <w:r>
              <w:rPr>
                <w:rFonts w:ascii="Arial" w:cs="Arial" w:eastAsia="Arial" w:hAnsi="Arial"/>
                <w:sz w:val="16"/>
                <w:szCs w:val="16"/>
                <w:color w:val="auto"/>
                <w:w w:val="74"/>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175,506</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(22,500,815</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4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9" w:lineRule="exact"/>
        <w:rPr>
          <w:sz w:val="20"/>
          <w:szCs w:val="20"/>
          <w:color w:val="auto"/>
        </w:rPr>
      </w:pPr>
    </w:p>
    <w:p>
      <w:pPr>
        <w:ind w:left="60"/>
        <w:spacing w:after="0"/>
        <w:rPr>
          <w:sz w:val="20"/>
          <w:szCs w:val="20"/>
          <w:color w:val="auto"/>
        </w:rPr>
      </w:pPr>
      <w:r>
        <w:rPr>
          <w:rFonts w:ascii="Arial" w:cs="Arial" w:eastAsia="Arial" w:hAnsi="Arial"/>
          <w:sz w:val="18"/>
          <w:szCs w:val="18"/>
          <w:color w:val="auto"/>
        </w:rPr>
        <w:t>(1)Fixed maturity securities available for sale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the accumulated balances of other comprehensive income (loss) as of June 30, 2023: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3"/>
          </w:tcPr>
          <w:p>
            <w:pPr>
              <w:jc w:val="center"/>
              <w:ind w:right="300"/>
              <w:spacing w:after="0"/>
              <w:rPr>
                <w:sz w:val="20"/>
                <w:szCs w:val="20"/>
                <w:color w:val="auto"/>
              </w:rPr>
            </w:pPr>
            <w:r>
              <w:rPr>
                <w:rFonts w:ascii="Arial" w:cs="Arial" w:eastAsia="Arial" w:hAnsi="Arial"/>
                <w:sz w:val="18"/>
                <w:szCs w:val="18"/>
                <w:color w:val="auto"/>
                <w:w w:val="90"/>
              </w:rPr>
              <w:t>Ending Balance</w:t>
            </w: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right"/>
              <w:ind w:right="441"/>
              <w:spacing w:after="0"/>
              <w:rPr>
                <w:sz w:val="20"/>
                <w:szCs w:val="20"/>
                <w:color w:val="auto"/>
              </w:rPr>
            </w:pPr>
            <w:r>
              <w:rPr>
                <w:rFonts w:ascii="Arial" w:cs="Arial" w:eastAsia="Arial" w:hAnsi="Arial"/>
                <w:sz w:val="18"/>
                <w:szCs w:val="18"/>
                <w:color w:val="auto"/>
                <w:w w:val="93"/>
              </w:rPr>
              <w:t>Beginning Balance</w:t>
            </w:r>
          </w:p>
        </w:tc>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3"/>
          </w:tcPr>
          <w:p>
            <w:pPr>
              <w:jc w:val="center"/>
              <w:ind w:right="280"/>
              <w:spacing w:after="0"/>
              <w:rPr>
                <w:sz w:val="20"/>
                <w:szCs w:val="20"/>
                <w:color w:val="auto"/>
              </w:rPr>
            </w:pPr>
            <w:r>
              <w:rPr>
                <w:rFonts w:ascii="Arial" w:cs="Arial" w:eastAsia="Arial" w:hAnsi="Arial"/>
                <w:sz w:val="18"/>
                <w:szCs w:val="18"/>
                <w:color w:val="auto"/>
                <w:w w:val="86"/>
              </w:rPr>
              <w:t>June 30,</w:t>
            </w:r>
          </w:p>
        </w:tc>
      </w:tr>
      <w:tr>
        <w:trPr>
          <w:trHeight w:val="237"/>
        </w:trPr>
        <w:tc>
          <w:tcPr>
            <w:tcW w:w="5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gridSpan w:val="2"/>
          </w:tcPr>
          <w:p>
            <w:pPr>
              <w:jc w:val="right"/>
              <w:ind w:right="421"/>
              <w:spacing w:after="0"/>
              <w:rPr>
                <w:sz w:val="20"/>
                <w:szCs w:val="20"/>
                <w:color w:val="auto"/>
              </w:rPr>
            </w:pPr>
            <w:r>
              <w:rPr>
                <w:rFonts w:ascii="Arial" w:cs="Arial" w:eastAsia="Arial" w:hAnsi="Arial"/>
                <w:sz w:val="18"/>
                <w:szCs w:val="18"/>
                <w:color w:val="auto"/>
                <w:w w:val="89"/>
              </w:rPr>
              <w:t>December 31, 2022</w:t>
            </w:r>
          </w:p>
        </w:tc>
        <w:tc>
          <w:tcPr>
            <w:tcW w:w="2000" w:type="dxa"/>
            <w:vAlign w:val="bottom"/>
            <w:gridSpan w:val="3"/>
          </w:tcPr>
          <w:p>
            <w:pPr>
              <w:jc w:val="right"/>
              <w:ind w:right="380"/>
              <w:spacing w:after="0"/>
              <w:rPr>
                <w:sz w:val="20"/>
                <w:szCs w:val="20"/>
                <w:color w:val="auto"/>
              </w:rPr>
            </w:pPr>
            <w:r>
              <w:rPr>
                <w:rFonts w:ascii="Arial" w:cs="Arial" w:eastAsia="Arial" w:hAnsi="Arial"/>
                <w:sz w:val="18"/>
                <w:szCs w:val="18"/>
                <w:color w:val="auto"/>
                <w:w w:val="91"/>
              </w:rPr>
              <w:t>Change for the period</w:t>
            </w:r>
          </w:p>
        </w:tc>
        <w:tc>
          <w:tcPr>
            <w:tcW w:w="180" w:type="dxa"/>
            <w:vAlign w:val="bottom"/>
          </w:tcPr>
          <w:p>
            <w:pPr>
              <w:spacing w:after="0"/>
              <w:rPr>
                <w:sz w:val="20"/>
                <w:szCs w:val="20"/>
                <w:color w:val="auto"/>
              </w:rPr>
            </w:pPr>
          </w:p>
        </w:tc>
        <w:tc>
          <w:tcPr>
            <w:tcW w:w="1500" w:type="dxa"/>
            <w:vAlign w:val="bottom"/>
          </w:tcPr>
          <w:p>
            <w:pPr>
              <w:jc w:val="center"/>
              <w:ind w:right="90"/>
              <w:spacing w:after="0"/>
              <w:rPr>
                <w:sz w:val="20"/>
                <w:szCs w:val="20"/>
                <w:color w:val="auto"/>
              </w:rPr>
            </w:pPr>
            <w:r>
              <w:rPr>
                <w:rFonts w:ascii="Arial" w:cs="Arial" w:eastAsia="Arial" w:hAnsi="Arial"/>
                <w:sz w:val="18"/>
                <w:szCs w:val="18"/>
                <w:color w:val="auto"/>
                <w:w w:val="89"/>
              </w:rPr>
              <w:t>2023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88"/>
        </w:trPr>
        <w:tc>
          <w:tcPr>
            <w:tcW w:w="540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Unrealized gains (losses) on fixed maturity securities</w:t>
            </w:r>
          </w:p>
        </w:tc>
        <w:tc>
          <w:tcPr>
            <w:tcW w:w="120" w:type="dxa"/>
            <w:vAlign w:val="bottom"/>
            <w:tcBorders>
              <w:top w:val="single" w:sz="8" w:color="auto"/>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230"/>
        </w:trPr>
        <w:tc>
          <w:tcPr>
            <w:tcW w:w="5400" w:type="dxa"/>
            <w:vAlign w:val="bottom"/>
            <w:shd w:val="clear" w:color="auto" w:fill="CCEEFF"/>
          </w:tcPr>
          <w:p>
            <w:pPr>
              <w:ind w:left="60"/>
              <w:spacing w:after="0"/>
              <w:rPr>
                <w:sz w:val="20"/>
                <w:szCs w:val="20"/>
                <w:color w:val="auto"/>
              </w:rPr>
            </w:pPr>
            <w:r>
              <w:rPr>
                <w:rFonts w:ascii="Arial" w:cs="Arial" w:eastAsia="Arial" w:hAnsi="Arial"/>
                <w:sz w:val="18"/>
                <w:szCs w:val="18"/>
                <w:color w:val="auto"/>
              </w:rPr>
              <w:t>available for sale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(13,050,767)</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177,633</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(12,873,134)</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Unrealized losses on restricted assets (1)</w:t>
            </w:r>
          </w:p>
        </w:tc>
        <w:tc>
          <w:tcPr>
            <w:tcW w:w="120" w:type="dxa"/>
            <w:vAlign w:val="bottom"/>
          </w:tcPr>
          <w:p>
            <w:pPr>
              <w:spacing w:after="0"/>
              <w:rPr>
                <w:sz w:val="18"/>
                <w:szCs w:val="18"/>
                <w:color w:val="auto"/>
              </w:rPr>
            </w:pPr>
          </w:p>
        </w:tc>
        <w:tc>
          <w:tcPr>
            <w:tcW w:w="1940" w:type="dxa"/>
            <w:vAlign w:val="bottom"/>
            <w:gridSpan w:val="2"/>
          </w:tcPr>
          <w:p>
            <w:pPr>
              <w:jc w:val="right"/>
              <w:ind w:right="221"/>
              <w:spacing w:after="0"/>
              <w:rPr>
                <w:sz w:val="20"/>
                <w:szCs w:val="20"/>
                <w:color w:val="auto"/>
              </w:rPr>
            </w:pPr>
            <w:r>
              <w:rPr>
                <w:rFonts w:ascii="Arial" w:cs="Arial" w:eastAsia="Arial" w:hAnsi="Arial"/>
                <w:sz w:val="18"/>
                <w:szCs w:val="18"/>
                <w:color w:val="auto"/>
              </w:rPr>
              <w:t>(13,148)</w:t>
            </w:r>
          </w:p>
        </w:tc>
        <w:tc>
          <w:tcPr>
            <w:tcW w:w="58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(1,544)</w:t>
            </w:r>
          </w:p>
        </w:tc>
        <w:tc>
          <w:tcPr>
            <w:tcW w:w="180" w:type="dxa"/>
            <w:vAlign w:val="bottom"/>
          </w:tcPr>
          <w:p>
            <w:pPr>
              <w:spacing w:after="0"/>
              <w:rPr>
                <w:sz w:val="18"/>
                <w:szCs w:val="18"/>
                <w:color w:val="auto"/>
              </w:rPr>
            </w:pPr>
          </w:p>
        </w:tc>
        <w:tc>
          <w:tcPr>
            <w:tcW w:w="1600" w:type="dxa"/>
            <w:vAlign w:val="bottom"/>
            <w:gridSpan w:val="3"/>
          </w:tcPr>
          <w:p>
            <w:pPr>
              <w:jc w:val="right"/>
              <w:ind w:right="40"/>
              <w:spacing w:after="0"/>
              <w:rPr>
                <w:sz w:val="20"/>
                <w:szCs w:val="20"/>
                <w:color w:val="auto"/>
              </w:rPr>
            </w:pPr>
            <w:r>
              <w:rPr>
                <w:rFonts w:ascii="Arial" w:cs="Arial" w:eastAsia="Arial" w:hAnsi="Arial"/>
                <w:sz w:val="18"/>
                <w:szCs w:val="18"/>
                <w:color w:val="auto"/>
              </w:rPr>
              <w:t>(14,692)</w:t>
            </w:r>
          </w:p>
        </w:tc>
      </w:tr>
      <w:tr>
        <w:trPr>
          <w:trHeight w:val="202"/>
        </w:trPr>
        <w:tc>
          <w:tcPr>
            <w:tcW w:w="5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Unrealized losses on cemetery perpetual</w:t>
            </w: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64"/>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care trust investments (1)</w:t>
            </w:r>
          </w:p>
        </w:tc>
        <w:tc>
          <w:tcPr>
            <w:tcW w:w="120" w:type="dxa"/>
            <w:vAlign w:val="bottom"/>
            <w:shd w:val="clear" w:color="auto" w:fill="CCEEFF"/>
          </w:tcPr>
          <w:p>
            <w:pPr>
              <w:spacing w:after="0"/>
              <w:rPr>
                <w:sz w:val="22"/>
                <w:szCs w:val="22"/>
                <w:color w:val="auto"/>
              </w:rPr>
            </w:pPr>
          </w:p>
        </w:tc>
        <w:tc>
          <w:tcPr>
            <w:tcW w:w="19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(6,362)</w:t>
            </w:r>
          </w:p>
        </w:tc>
        <w:tc>
          <w:tcPr>
            <w:tcW w:w="58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(583)</w:t>
            </w:r>
          </w:p>
        </w:tc>
        <w:tc>
          <w:tcPr>
            <w:tcW w:w="180" w:type="dxa"/>
            <w:vAlign w:val="bottom"/>
            <w:shd w:val="clear" w:color="auto" w:fill="CCEEFF"/>
          </w:tcPr>
          <w:p>
            <w:pPr>
              <w:spacing w:after="0"/>
              <w:rPr>
                <w:sz w:val="22"/>
                <w:szCs w:val="22"/>
                <w:color w:val="auto"/>
              </w:rPr>
            </w:pPr>
          </w:p>
        </w:tc>
        <w:tc>
          <w:tcPr>
            <w:tcW w:w="1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(6,945)</w:t>
            </w:r>
          </w:p>
        </w:tc>
      </w:tr>
      <w:tr>
        <w:trPr>
          <w:trHeight w:val="216"/>
        </w:trPr>
        <w:tc>
          <w:tcPr>
            <w:tcW w:w="54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(13,070,277</w:t>
            </w:r>
          </w:p>
        </w:tc>
        <w:tc>
          <w:tcPr>
            <w:tcW w:w="360" w:type="dxa"/>
            <w:vAlign w:val="bottom"/>
            <w:tcBorders>
              <w:top w:val="single" w:sz="8" w:color="CCEEFF"/>
            </w:tcBorders>
          </w:tcPr>
          <w:p>
            <w:pPr>
              <w:jc w:val="right"/>
              <w:ind w:right="221"/>
              <w:spacing w:after="0"/>
              <w:rPr>
                <w:sz w:val="20"/>
                <w:szCs w:val="20"/>
                <w:color w:val="auto"/>
              </w:rPr>
            </w:pPr>
            <w:r>
              <w:rPr>
                <w:rFonts w:ascii="Arial" w:cs="Arial" w:eastAsia="Arial" w:hAnsi="Arial"/>
                <w:sz w:val="16"/>
                <w:szCs w:val="16"/>
                <w:color w:val="auto"/>
                <w:w w:val="74"/>
              </w:rPr>
              <w:t>)</w:t>
            </w:r>
          </w:p>
        </w:tc>
        <w:tc>
          <w:tcPr>
            <w:tcW w:w="58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175,506</w:t>
            </w:r>
          </w:p>
        </w:tc>
        <w:tc>
          <w:tcPr>
            <w:tcW w:w="3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(12,894,771</w:t>
            </w:r>
          </w:p>
        </w:tc>
        <w:tc>
          <w:tcPr>
            <w:tcW w:w="10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5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9" w:lineRule="exact"/>
        <w:rPr>
          <w:sz w:val="20"/>
          <w:szCs w:val="20"/>
          <w:color w:val="auto"/>
        </w:rPr>
      </w:pPr>
    </w:p>
    <w:p>
      <w:pPr>
        <w:ind w:left="60"/>
        <w:spacing w:after="0"/>
        <w:rPr>
          <w:sz w:val="20"/>
          <w:szCs w:val="20"/>
          <w:color w:val="auto"/>
        </w:rPr>
      </w:pPr>
      <w:r>
        <w:rPr>
          <w:rFonts w:ascii="Arial" w:cs="Arial" w:eastAsia="Arial" w:hAnsi="Arial"/>
          <w:sz w:val="18"/>
          <w:szCs w:val="18"/>
          <w:color w:val="auto"/>
        </w:rPr>
        <w:t>(1)Fixed maturity securities available for sale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the accumulated balances of other comprehensive income (loss) as of December 31, 2022: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3"/>
          </w:tcPr>
          <w:p>
            <w:pPr>
              <w:jc w:val="center"/>
              <w:ind w:right="300"/>
              <w:spacing w:after="0"/>
              <w:rPr>
                <w:sz w:val="20"/>
                <w:szCs w:val="20"/>
                <w:color w:val="auto"/>
              </w:rPr>
            </w:pPr>
            <w:r>
              <w:rPr>
                <w:rFonts w:ascii="Arial" w:cs="Arial" w:eastAsia="Arial" w:hAnsi="Arial"/>
                <w:sz w:val="18"/>
                <w:szCs w:val="18"/>
                <w:color w:val="auto"/>
                <w:w w:val="90"/>
              </w:rPr>
              <w:t>Ending Balance</w:t>
            </w: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right"/>
              <w:ind w:right="520"/>
              <w:spacing w:after="0"/>
              <w:rPr>
                <w:sz w:val="20"/>
                <w:szCs w:val="20"/>
                <w:color w:val="auto"/>
              </w:rPr>
            </w:pPr>
            <w:r>
              <w:rPr>
                <w:rFonts w:ascii="Arial" w:cs="Arial" w:eastAsia="Arial" w:hAnsi="Arial"/>
                <w:sz w:val="18"/>
                <w:szCs w:val="18"/>
                <w:color w:val="auto"/>
                <w:w w:val="93"/>
              </w:rPr>
              <w:t>Beginning Balance</w:t>
            </w:r>
          </w:p>
        </w:tc>
        <w:tc>
          <w:tcPr>
            <w:tcW w:w="200" w:type="dxa"/>
            <w:vAlign w:val="bottom"/>
          </w:tcPr>
          <w:p>
            <w:pPr>
              <w:spacing w:after="0"/>
              <w:rPr>
                <w:sz w:val="18"/>
                <w:szCs w:val="18"/>
                <w:color w:val="auto"/>
              </w:rPr>
            </w:pPr>
          </w:p>
        </w:tc>
        <w:tc>
          <w:tcPr>
            <w:tcW w:w="1800" w:type="dxa"/>
            <w:vAlign w:val="bottom"/>
            <w:gridSpan w:val="2"/>
          </w:tcPr>
          <w:p>
            <w:pPr>
              <w:jc w:val="right"/>
              <w:ind w:right="541"/>
              <w:spacing w:after="0"/>
              <w:rPr>
                <w:sz w:val="20"/>
                <w:szCs w:val="20"/>
                <w:color w:val="auto"/>
              </w:rPr>
            </w:pPr>
            <w:r>
              <w:rPr>
                <w:rFonts w:ascii="Arial" w:cs="Arial" w:eastAsia="Arial" w:hAnsi="Arial"/>
                <w:sz w:val="18"/>
                <w:szCs w:val="18"/>
                <w:color w:val="auto"/>
                <w:w w:val="97"/>
              </w:rPr>
              <w:t>Change for the</w:t>
            </w:r>
          </w:p>
        </w:tc>
        <w:tc>
          <w:tcPr>
            <w:tcW w:w="180" w:type="dxa"/>
            <w:vAlign w:val="bottom"/>
          </w:tcPr>
          <w:p>
            <w:pPr>
              <w:spacing w:after="0"/>
              <w:rPr>
                <w:sz w:val="18"/>
                <w:szCs w:val="18"/>
                <w:color w:val="auto"/>
              </w:rPr>
            </w:pPr>
          </w:p>
        </w:tc>
        <w:tc>
          <w:tcPr>
            <w:tcW w:w="1600" w:type="dxa"/>
            <w:vAlign w:val="bottom"/>
            <w:gridSpan w:val="3"/>
          </w:tcPr>
          <w:p>
            <w:pPr>
              <w:jc w:val="center"/>
              <w:ind w:right="280"/>
              <w:spacing w:after="0"/>
              <w:rPr>
                <w:sz w:val="20"/>
                <w:szCs w:val="20"/>
                <w:color w:val="auto"/>
              </w:rPr>
            </w:pPr>
            <w:r>
              <w:rPr>
                <w:rFonts w:ascii="Arial" w:cs="Arial" w:eastAsia="Arial" w:hAnsi="Arial"/>
                <w:sz w:val="18"/>
                <w:szCs w:val="18"/>
                <w:color w:val="auto"/>
                <w:w w:val="88"/>
              </w:rPr>
              <w:t>December 31,</w:t>
            </w:r>
          </w:p>
        </w:tc>
      </w:tr>
      <w:tr>
        <w:trPr>
          <w:trHeight w:val="237"/>
        </w:trPr>
        <w:tc>
          <w:tcPr>
            <w:tcW w:w="5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gridSpan w:val="2"/>
          </w:tcPr>
          <w:p>
            <w:pPr>
              <w:jc w:val="right"/>
              <w:ind w:right="500"/>
              <w:spacing w:after="0"/>
              <w:rPr>
                <w:sz w:val="20"/>
                <w:szCs w:val="20"/>
                <w:color w:val="auto"/>
              </w:rPr>
            </w:pPr>
            <w:r>
              <w:rPr>
                <w:rFonts w:ascii="Arial" w:cs="Arial" w:eastAsia="Arial" w:hAnsi="Arial"/>
                <w:sz w:val="18"/>
                <w:szCs w:val="18"/>
                <w:color w:val="auto"/>
                <w:w w:val="89"/>
              </w:rPr>
              <w:t>December 31, 2021</w:t>
            </w:r>
          </w:p>
        </w:tc>
        <w:tc>
          <w:tcPr>
            <w:tcW w:w="200" w:type="dxa"/>
            <w:vAlign w:val="bottom"/>
          </w:tcPr>
          <w:p>
            <w:pPr>
              <w:spacing w:after="0"/>
              <w:rPr>
                <w:sz w:val="20"/>
                <w:szCs w:val="20"/>
                <w:color w:val="auto"/>
              </w:rPr>
            </w:pPr>
          </w:p>
        </w:tc>
        <w:tc>
          <w:tcPr>
            <w:tcW w:w="1800" w:type="dxa"/>
            <w:vAlign w:val="bottom"/>
            <w:gridSpan w:val="2"/>
          </w:tcPr>
          <w:p>
            <w:pPr>
              <w:jc w:val="right"/>
              <w:ind w:right="861"/>
              <w:spacing w:after="0"/>
              <w:rPr>
                <w:sz w:val="20"/>
                <w:szCs w:val="20"/>
                <w:color w:val="auto"/>
              </w:rPr>
            </w:pPr>
            <w:r>
              <w:rPr>
                <w:rFonts w:ascii="Arial" w:cs="Arial" w:eastAsia="Arial" w:hAnsi="Arial"/>
                <w:sz w:val="18"/>
                <w:szCs w:val="18"/>
                <w:color w:val="auto"/>
              </w:rPr>
              <w:t>period</w:t>
            </w:r>
          </w:p>
        </w:tc>
        <w:tc>
          <w:tcPr>
            <w:tcW w:w="180" w:type="dxa"/>
            <w:vAlign w:val="bottom"/>
          </w:tcPr>
          <w:p>
            <w:pPr>
              <w:spacing w:after="0"/>
              <w:rPr>
                <w:sz w:val="20"/>
                <w:szCs w:val="20"/>
                <w:color w:val="auto"/>
              </w:rPr>
            </w:pPr>
          </w:p>
        </w:tc>
        <w:tc>
          <w:tcPr>
            <w:tcW w:w="1500" w:type="dxa"/>
            <w:vAlign w:val="bottom"/>
          </w:tcPr>
          <w:p>
            <w:pPr>
              <w:jc w:val="center"/>
              <w:ind w:right="90"/>
              <w:spacing w:after="0"/>
              <w:rPr>
                <w:sz w:val="20"/>
                <w:szCs w:val="20"/>
                <w:color w:val="auto"/>
              </w:rPr>
            </w:pPr>
            <w:r>
              <w:rPr>
                <w:rFonts w:ascii="Arial" w:cs="Arial" w:eastAsia="Arial" w:hAnsi="Arial"/>
                <w:sz w:val="18"/>
                <w:szCs w:val="18"/>
                <w:color w:val="auto"/>
                <w:w w:val="89"/>
              </w:rPr>
              <w:t>2022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88"/>
        </w:trPr>
        <w:tc>
          <w:tcPr>
            <w:tcW w:w="540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Unrealized gains (losses) on fixed maturity securities</w:t>
            </w:r>
          </w:p>
        </w:tc>
        <w:tc>
          <w:tcPr>
            <w:tcW w:w="120" w:type="dxa"/>
            <w:vAlign w:val="bottom"/>
            <w:tcBorders>
              <w:top w:val="single" w:sz="8" w:color="auto"/>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23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available for sale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18,021,265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(31,072,032)</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(13,050,767)</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Unrealized gains (losses) on restricted assets (1)</w:t>
            </w:r>
          </w:p>
        </w:tc>
        <w:tc>
          <w:tcPr>
            <w:tcW w:w="120" w:type="dxa"/>
            <w:vAlign w:val="bottom"/>
          </w:tcPr>
          <w:p>
            <w:pPr>
              <w:spacing w:after="0"/>
              <w:rPr>
                <w:sz w:val="18"/>
                <w:szCs w:val="18"/>
                <w:color w:val="auto"/>
              </w:rPr>
            </w:pPr>
          </w:p>
        </w:tc>
        <w:tc>
          <w:tcPr>
            <w:tcW w:w="1940" w:type="dxa"/>
            <w:vAlign w:val="bottom"/>
            <w:gridSpan w:val="2"/>
          </w:tcPr>
          <w:p>
            <w:pPr>
              <w:jc w:val="right"/>
              <w:ind w:right="360"/>
              <w:spacing w:after="0"/>
              <w:rPr>
                <w:sz w:val="20"/>
                <w:szCs w:val="20"/>
                <w:color w:val="auto"/>
              </w:rPr>
            </w:pPr>
            <w:r>
              <w:rPr>
                <w:rFonts w:ascii="Arial" w:cs="Arial" w:eastAsia="Arial" w:hAnsi="Arial"/>
                <w:sz w:val="18"/>
                <w:szCs w:val="18"/>
                <w:color w:val="auto"/>
              </w:rPr>
              <w:t>40,192</w:t>
            </w:r>
          </w:p>
        </w:tc>
        <w:tc>
          <w:tcPr>
            <w:tcW w:w="200" w:type="dxa"/>
            <w:vAlign w:val="bottom"/>
          </w:tcPr>
          <w:p>
            <w:pPr>
              <w:spacing w:after="0"/>
              <w:rPr>
                <w:sz w:val="18"/>
                <w:szCs w:val="18"/>
                <w:color w:val="auto"/>
              </w:rPr>
            </w:pPr>
          </w:p>
        </w:tc>
        <w:tc>
          <w:tcPr>
            <w:tcW w:w="1800" w:type="dxa"/>
            <w:vAlign w:val="bottom"/>
            <w:gridSpan w:val="2"/>
          </w:tcPr>
          <w:p>
            <w:pPr>
              <w:jc w:val="right"/>
              <w:ind w:right="181"/>
              <w:spacing w:after="0"/>
              <w:rPr>
                <w:sz w:val="20"/>
                <w:szCs w:val="20"/>
                <w:color w:val="auto"/>
              </w:rPr>
            </w:pPr>
            <w:r>
              <w:rPr>
                <w:rFonts w:ascii="Arial" w:cs="Arial" w:eastAsia="Arial" w:hAnsi="Arial"/>
                <w:sz w:val="18"/>
                <w:szCs w:val="18"/>
                <w:color w:val="auto"/>
              </w:rPr>
              <w:t>(53,340)</w:t>
            </w:r>
          </w:p>
        </w:tc>
        <w:tc>
          <w:tcPr>
            <w:tcW w:w="180" w:type="dxa"/>
            <w:vAlign w:val="bottom"/>
          </w:tcPr>
          <w:p>
            <w:pPr>
              <w:spacing w:after="0"/>
              <w:rPr>
                <w:sz w:val="18"/>
                <w:szCs w:val="18"/>
                <w:color w:val="auto"/>
              </w:rPr>
            </w:pPr>
          </w:p>
        </w:tc>
        <w:tc>
          <w:tcPr>
            <w:tcW w:w="1600" w:type="dxa"/>
            <w:vAlign w:val="bottom"/>
            <w:gridSpan w:val="3"/>
          </w:tcPr>
          <w:p>
            <w:pPr>
              <w:jc w:val="right"/>
              <w:ind w:right="40"/>
              <w:spacing w:after="0"/>
              <w:rPr>
                <w:sz w:val="20"/>
                <w:szCs w:val="20"/>
                <w:color w:val="auto"/>
              </w:rPr>
            </w:pPr>
            <w:r>
              <w:rPr>
                <w:rFonts w:ascii="Arial" w:cs="Arial" w:eastAsia="Arial" w:hAnsi="Arial"/>
                <w:sz w:val="18"/>
                <w:szCs w:val="18"/>
                <w:color w:val="auto"/>
              </w:rPr>
              <w:t>(13,148)</w:t>
            </w:r>
          </w:p>
        </w:tc>
      </w:tr>
      <w:tr>
        <w:trPr>
          <w:trHeight w:val="202"/>
        </w:trPr>
        <w:tc>
          <w:tcPr>
            <w:tcW w:w="5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Unrealized gains (losses) on cemetery perpetual</w:t>
            </w: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64"/>
        </w:trPr>
        <w:tc>
          <w:tcPr>
            <w:tcW w:w="54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care trust investments (1)</w:t>
            </w:r>
          </w:p>
        </w:tc>
        <w:tc>
          <w:tcPr>
            <w:tcW w:w="120" w:type="dxa"/>
            <w:vAlign w:val="bottom"/>
            <w:shd w:val="clear" w:color="auto" w:fill="CCEEFF"/>
          </w:tcPr>
          <w:p>
            <w:pPr>
              <w:spacing w:after="0"/>
              <w:rPr>
                <w:sz w:val="22"/>
                <w:szCs w:val="22"/>
                <w:color w:val="auto"/>
              </w:rPr>
            </w:pPr>
          </w:p>
        </w:tc>
        <w:tc>
          <w:tcPr>
            <w:tcW w:w="1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8,991</w:t>
            </w:r>
          </w:p>
        </w:tc>
        <w:tc>
          <w:tcPr>
            <w:tcW w:w="200" w:type="dxa"/>
            <w:vAlign w:val="bottom"/>
            <w:shd w:val="clear" w:color="auto" w:fill="CCEEFF"/>
          </w:tcPr>
          <w:p>
            <w:pPr>
              <w:spacing w:after="0"/>
              <w:rPr>
                <w:sz w:val="22"/>
                <w:szCs w:val="22"/>
                <w:color w:val="auto"/>
              </w:rPr>
            </w:pPr>
          </w:p>
        </w:tc>
        <w:tc>
          <w:tcPr>
            <w:tcW w:w="18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(15,353)</w:t>
            </w:r>
          </w:p>
        </w:tc>
        <w:tc>
          <w:tcPr>
            <w:tcW w:w="180" w:type="dxa"/>
            <w:vAlign w:val="bottom"/>
            <w:shd w:val="clear" w:color="auto" w:fill="CCEEFF"/>
          </w:tcPr>
          <w:p>
            <w:pPr>
              <w:spacing w:after="0"/>
              <w:rPr>
                <w:sz w:val="22"/>
                <w:szCs w:val="22"/>
                <w:color w:val="auto"/>
              </w:rPr>
            </w:pPr>
          </w:p>
        </w:tc>
        <w:tc>
          <w:tcPr>
            <w:tcW w:w="1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(6,362)</w:t>
            </w:r>
          </w:p>
        </w:tc>
      </w:tr>
      <w:tr>
        <w:trPr>
          <w:trHeight w:val="216"/>
        </w:trPr>
        <w:tc>
          <w:tcPr>
            <w:tcW w:w="54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18,070,448</w:t>
            </w:r>
          </w:p>
        </w:tc>
        <w:tc>
          <w:tcPr>
            <w:tcW w:w="3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(31,140,725</w:t>
            </w:r>
          </w:p>
        </w:tc>
        <w:tc>
          <w:tcPr>
            <w:tcW w:w="320" w:type="dxa"/>
            <w:vAlign w:val="bottom"/>
            <w:tcBorders>
              <w:top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(13,070,277</w:t>
            </w:r>
          </w:p>
        </w:tc>
        <w:tc>
          <w:tcPr>
            <w:tcW w:w="10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5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(1)Fixed maturity securities available for sale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Overview</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operations over the last several years generally reflect three strategies which the Company expects to continue: (i) increased attention to “niche” insurance products, such as the Company’s funeral plan policies and traditional whole life products; (ii) increased emphasis on the cemetery and mortuary business; and (iii) capitalizing on an improving housing market by originating mortgage loans.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Operations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life insurance business includes funeral plans and interest-sensitive life insurance, as well as other traditional life, accident and health insurance products. The Company places specific marketing emphasis on funeral plans through pre-need planning.</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 funeral plan is a small face value life insurance policy that generally has face coverage of up to $30,000. The Company believes that funeral plans represent a marketing niche that is less competitive because most insurance companies do not offer similar coverage. The purpose of the funeral plan policy is to pay the costs and expenses incurred at the time of a person’s death. On a per thousand-dollar cost of insurance basis, these policies can be more expensive to the policyholder than many types of non-burial insurance due to their low face amount, requiring the fixed cost of the policy administration to be distributed over a smaller policy size, and the simplified underwriting practices that result in higher mortality costs.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shows the condensed financial results of the insurance operations for three and six month periods ended June 30, 2023, and 2022. See Note 7 to the condensed consolidated financial statements.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40" w:type="dxa"/>
            <w:vAlign w:val="bottom"/>
            <w:gridSpan w:val="8"/>
          </w:tcPr>
          <w:p>
            <w:pPr>
              <w:jc w:val="center"/>
              <w:ind w:right="390"/>
              <w:spacing w:after="0"/>
              <w:rPr>
                <w:sz w:val="20"/>
                <w:szCs w:val="20"/>
                <w:color w:val="auto"/>
              </w:rPr>
            </w:pPr>
            <w:r>
              <w:rPr>
                <w:rFonts w:ascii="Arial" w:cs="Arial" w:eastAsia="Arial" w:hAnsi="Arial"/>
                <w:sz w:val="18"/>
                <w:szCs w:val="18"/>
                <w:color w:val="auto"/>
                <w:w w:val="87"/>
              </w:rPr>
              <w:t>Three months ended June 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80" w:type="dxa"/>
            <w:vAlign w:val="bottom"/>
            <w:gridSpan w:val="8"/>
          </w:tcPr>
          <w:p>
            <w:pPr>
              <w:jc w:val="center"/>
              <w:ind w:right="210"/>
              <w:spacing w:after="0"/>
              <w:rPr>
                <w:sz w:val="20"/>
                <w:szCs w:val="20"/>
                <w:color w:val="auto"/>
              </w:rPr>
            </w:pPr>
            <w:r>
              <w:rPr>
                <w:rFonts w:ascii="Arial" w:cs="Arial" w:eastAsia="Arial" w:hAnsi="Arial"/>
                <w:sz w:val="18"/>
                <w:szCs w:val="18"/>
                <w:color w:val="auto"/>
                <w:w w:val="88"/>
              </w:rPr>
              <w:t>Six months ended June 30,</w:t>
            </w:r>
          </w:p>
        </w:tc>
        <w:tc>
          <w:tcPr>
            <w:tcW w:w="0" w:type="dxa"/>
            <w:vAlign w:val="bottom"/>
          </w:tcPr>
          <w:p>
            <w:pPr>
              <w:spacing w:after="0"/>
              <w:rPr>
                <w:sz w:val="1"/>
                <w:szCs w:val="1"/>
                <w:color w:val="auto"/>
              </w:rPr>
            </w:pPr>
          </w:p>
        </w:tc>
      </w:tr>
      <w:tr>
        <w:trPr>
          <w:trHeight w:val="237"/>
        </w:trPr>
        <w:tc>
          <w:tcPr>
            <w:tcW w:w="4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40" w:type="dxa"/>
            <w:vAlign w:val="bottom"/>
            <w:gridSpan w:val="8"/>
          </w:tcPr>
          <w:p>
            <w:pPr>
              <w:jc w:val="center"/>
              <w:ind w:right="390"/>
              <w:spacing w:after="0"/>
              <w:rPr>
                <w:sz w:val="20"/>
                <w:szCs w:val="20"/>
                <w:color w:val="auto"/>
              </w:rPr>
            </w:pPr>
            <w:r>
              <w:rPr>
                <w:rFonts w:ascii="Arial" w:cs="Arial" w:eastAsia="Arial" w:hAnsi="Arial"/>
                <w:sz w:val="18"/>
                <w:szCs w:val="18"/>
                <w:color w:val="auto"/>
                <w:w w:val="90"/>
              </w:rPr>
              <w:t>(in thousands of dollars)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80" w:type="dxa"/>
            <w:vAlign w:val="bottom"/>
            <w:gridSpan w:val="8"/>
          </w:tcPr>
          <w:p>
            <w:pPr>
              <w:jc w:val="center"/>
              <w:ind w:right="210"/>
              <w:spacing w:after="0"/>
              <w:rPr>
                <w:sz w:val="20"/>
                <w:szCs w:val="20"/>
                <w:color w:val="auto"/>
              </w:rPr>
            </w:pPr>
            <w:r>
              <w:rPr>
                <w:rFonts w:ascii="Arial" w:cs="Arial" w:eastAsia="Arial" w:hAnsi="Arial"/>
                <w:sz w:val="18"/>
                <w:szCs w:val="18"/>
                <w:color w:val="auto"/>
                <w:w w:val="91"/>
              </w:rPr>
              <w:t>(in thousands of dollars)</w:t>
            </w:r>
          </w:p>
        </w:tc>
        <w:tc>
          <w:tcPr>
            <w:tcW w:w="0" w:type="dxa"/>
            <w:vAlign w:val="bottom"/>
          </w:tcPr>
          <w:p>
            <w:pPr>
              <w:spacing w:after="0"/>
              <w:rPr>
                <w:sz w:val="1"/>
                <w:szCs w:val="1"/>
                <w:color w:val="auto"/>
              </w:rPr>
            </w:pPr>
          </w:p>
        </w:tc>
      </w:tr>
      <w:tr>
        <w:trPr>
          <w:trHeight w:val="202"/>
        </w:trPr>
        <w:tc>
          <w:tcPr>
            <w:tcW w:w="47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gridSpan w:val="2"/>
          </w:tcPr>
          <w:p>
            <w:pPr>
              <w:jc w:val="center"/>
              <w:ind w:left="30"/>
              <w:spacing w:after="0" w:line="201" w:lineRule="exact"/>
              <w:rPr>
                <w:sz w:val="20"/>
                <w:szCs w:val="20"/>
                <w:color w:val="auto"/>
              </w:rPr>
            </w:pPr>
            <w:r>
              <w:rPr>
                <w:rFonts w:ascii="Arial" w:cs="Arial" w:eastAsia="Arial" w:hAnsi="Arial"/>
                <w:sz w:val="18"/>
                <w:szCs w:val="18"/>
                <w:color w:val="auto"/>
                <w:w w:val="87"/>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center"/>
              <w:ind w:right="250"/>
              <w:spacing w:after="0"/>
              <w:rPr>
                <w:sz w:val="20"/>
                <w:szCs w:val="20"/>
                <w:color w:val="auto"/>
              </w:rPr>
            </w:pPr>
            <w:r>
              <w:rPr>
                <w:rFonts w:ascii="Arial" w:cs="Arial" w:eastAsia="Arial" w:hAnsi="Arial"/>
                <w:sz w:val="18"/>
                <w:szCs w:val="18"/>
                <w:color w:val="auto"/>
                <w:w w:val="86"/>
              </w:rPr>
              <w:t>Increase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50"/>
              <w:spacing w:after="0"/>
              <w:rPr>
                <w:sz w:val="20"/>
                <w:szCs w:val="20"/>
                <w:color w:val="auto"/>
              </w:rPr>
            </w:pPr>
            <w:r>
              <w:rPr>
                <w:rFonts w:ascii="Arial" w:cs="Arial" w:eastAsia="Arial" w:hAnsi="Arial"/>
                <w:sz w:val="18"/>
                <w:szCs w:val="18"/>
                <w:color w:val="auto"/>
                <w:w w:val="86"/>
              </w:rPr>
              <w:t>Increase</w:t>
            </w:r>
          </w:p>
        </w:tc>
        <w:tc>
          <w:tcPr>
            <w:tcW w:w="0" w:type="dxa"/>
            <w:vAlign w:val="bottom"/>
          </w:tcPr>
          <w:p>
            <w:pPr>
              <w:spacing w:after="0"/>
              <w:rPr>
                <w:sz w:val="1"/>
                <w:szCs w:val="1"/>
                <w:color w:val="auto"/>
              </w:rPr>
            </w:pPr>
          </w:p>
        </w:tc>
      </w:tr>
      <w:tr>
        <w:trPr>
          <w:trHeight w:val="237"/>
        </w:trPr>
        <w:tc>
          <w:tcPr>
            <w:tcW w:w="4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w w:val="99"/>
              </w:rPr>
              <w:t>2023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center"/>
              <w:ind w:right="50"/>
              <w:spacing w:after="0"/>
              <w:rPr>
                <w:sz w:val="20"/>
                <w:szCs w:val="20"/>
                <w:color w:val="auto"/>
              </w:rPr>
            </w:pPr>
            <w:r>
              <w:rPr>
                <w:rFonts w:ascii="Arial" w:cs="Arial" w:eastAsia="Arial" w:hAnsi="Arial"/>
                <w:sz w:val="18"/>
                <w:szCs w:val="18"/>
                <w:color w:val="auto"/>
                <w:w w:val="89"/>
              </w:rPr>
              <w:t>2022</w:t>
            </w:r>
          </w:p>
        </w:tc>
        <w:tc>
          <w:tcPr>
            <w:tcW w:w="320" w:type="dxa"/>
            <w:vAlign w:val="bottom"/>
          </w:tcPr>
          <w:p>
            <w:pPr>
              <w:spacing w:after="0"/>
              <w:rPr>
                <w:sz w:val="20"/>
                <w:szCs w:val="20"/>
                <w:color w:val="auto"/>
              </w:rPr>
            </w:pPr>
          </w:p>
        </w:tc>
        <w:tc>
          <w:tcPr>
            <w:tcW w:w="1100" w:type="dxa"/>
            <w:vAlign w:val="bottom"/>
            <w:gridSpan w:val="2"/>
          </w:tcPr>
          <w:p>
            <w:pPr>
              <w:jc w:val="center"/>
              <w:ind w:right="230"/>
              <w:spacing w:after="0"/>
              <w:rPr>
                <w:sz w:val="20"/>
                <w:szCs w:val="20"/>
                <w:color w:val="auto"/>
              </w:rPr>
            </w:pPr>
            <w:r>
              <w:rPr>
                <w:rFonts w:ascii="Arial" w:cs="Arial" w:eastAsia="Arial" w:hAnsi="Arial"/>
                <w:sz w:val="18"/>
                <w:szCs w:val="18"/>
                <w:color w:val="auto"/>
                <w:w w:val="87"/>
              </w:rPr>
              <w:t>(Decrease)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w w:val="99"/>
              </w:rPr>
              <w:t>2023</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center"/>
              <w:ind w:right="50"/>
              <w:spacing w:after="0"/>
              <w:rPr>
                <w:sz w:val="20"/>
                <w:szCs w:val="20"/>
                <w:color w:val="auto"/>
              </w:rPr>
            </w:pPr>
            <w:r>
              <w:rPr>
                <w:rFonts w:ascii="Arial" w:cs="Arial" w:eastAsia="Arial" w:hAnsi="Arial"/>
                <w:sz w:val="18"/>
                <w:szCs w:val="18"/>
                <w:color w:val="auto"/>
                <w:w w:val="89"/>
              </w:rPr>
              <w:t>2022</w:t>
            </w:r>
          </w:p>
        </w:tc>
        <w:tc>
          <w:tcPr>
            <w:tcW w:w="200" w:type="dxa"/>
            <w:vAlign w:val="bottom"/>
          </w:tcPr>
          <w:p>
            <w:pPr>
              <w:spacing w:after="0"/>
              <w:rPr>
                <w:sz w:val="20"/>
                <w:szCs w:val="20"/>
                <w:color w:val="auto"/>
              </w:rPr>
            </w:pPr>
          </w:p>
        </w:tc>
        <w:tc>
          <w:tcPr>
            <w:tcW w:w="1060" w:type="dxa"/>
            <w:vAlign w:val="bottom"/>
            <w:gridSpan w:val="3"/>
          </w:tcPr>
          <w:p>
            <w:pPr>
              <w:jc w:val="center"/>
              <w:spacing w:after="0"/>
              <w:rPr>
                <w:sz w:val="20"/>
                <w:szCs w:val="20"/>
                <w:color w:val="auto"/>
              </w:rPr>
            </w:pPr>
            <w:r>
              <w:rPr>
                <w:rFonts w:ascii="Arial" w:cs="Arial" w:eastAsia="Arial" w:hAnsi="Arial"/>
                <w:sz w:val="18"/>
                <w:szCs w:val="18"/>
                <w:color w:val="auto"/>
                <w:w w:val="87"/>
              </w:rPr>
              <w:t>(Decrease)</w:t>
            </w:r>
          </w:p>
        </w:tc>
        <w:tc>
          <w:tcPr>
            <w:tcW w:w="0" w:type="dxa"/>
            <w:vAlign w:val="bottom"/>
          </w:tcPr>
          <w:p>
            <w:pPr>
              <w:spacing w:after="0"/>
              <w:rPr>
                <w:sz w:val="1"/>
                <w:szCs w:val="1"/>
                <w:color w:val="auto"/>
              </w:rPr>
            </w:pPr>
          </w:p>
        </w:tc>
      </w:tr>
      <w:tr>
        <w:trPr>
          <w:trHeight w:val="216"/>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Insurance premiums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28,813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25,912</w:t>
            </w:r>
          </w:p>
        </w:tc>
        <w:tc>
          <w:tcPr>
            <w:tcW w:w="1100" w:type="dxa"/>
            <w:vAlign w:val="bottom"/>
            <w:gridSpan w:val="2"/>
          </w:tcPr>
          <w:p>
            <w:pPr>
              <w:jc w:val="right"/>
              <w:ind w:right="90"/>
              <w:spacing w:after="0"/>
              <w:rPr>
                <w:sz w:val="20"/>
                <w:szCs w:val="20"/>
                <w:color w:val="auto"/>
              </w:rPr>
            </w:pPr>
            <w:r>
              <w:rPr>
                <w:rFonts w:ascii="Arial" w:cs="Arial" w:eastAsia="Arial" w:hAnsi="Arial"/>
                <w:sz w:val="18"/>
                <w:szCs w:val="18"/>
                <w:color w:val="auto"/>
              </w:rPr>
              <w:t>11%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56,781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52,254</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Mortgage fee income</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Net investment income</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18,420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15,126</w:t>
            </w:r>
          </w:p>
        </w:tc>
        <w:tc>
          <w:tcPr>
            <w:tcW w:w="1100" w:type="dxa"/>
            <w:vAlign w:val="bottom"/>
            <w:gridSpan w:val="2"/>
          </w:tcPr>
          <w:p>
            <w:pPr>
              <w:jc w:val="right"/>
              <w:ind w:right="9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35,175</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29,707</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Gains on investments and other assets</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(266)</w:t>
            </w:r>
          </w:p>
        </w:tc>
        <w:tc>
          <w:tcPr>
            <w:tcW w:w="11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37"/>
        </w:trPr>
        <w:tc>
          <w:tcPr>
            <w:tcW w:w="4740" w:type="dxa"/>
            <w:vAlign w:val="bottom"/>
          </w:tcPr>
          <w:p>
            <w:pPr>
              <w:ind w:left="18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358</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394</w:t>
            </w:r>
          </w:p>
        </w:tc>
        <w:tc>
          <w:tcPr>
            <w:tcW w:w="1100" w:type="dxa"/>
            <w:vAlign w:val="bottom"/>
            <w:gridSpan w:val="2"/>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949</w:t>
            </w:r>
          </w:p>
        </w:tc>
        <w:tc>
          <w:tcPr>
            <w:tcW w:w="14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866</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47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48,071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41,166</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40" w:type="dxa"/>
            <w:vAlign w:val="bottom"/>
            <w:tcBorders>
              <w:top w:val="single" w:sz="8" w:color="CCEEFF"/>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93,486</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82,668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8"/>
                <w:szCs w:val="18"/>
                <w:color w:val="auto"/>
              </w:rPr>
              <w:t>Intersegment revenue</w:t>
            </w: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jc w:val="right"/>
              <w:ind w:right="90"/>
              <w:spacing w:after="0"/>
              <w:rPr>
                <w:sz w:val="20"/>
                <w:szCs w:val="20"/>
                <w:color w:val="auto"/>
              </w:rPr>
            </w:pPr>
            <w:r>
              <w:rPr>
                <w:rFonts w:ascii="Arial" w:cs="Arial" w:eastAsia="Arial" w:hAnsi="Arial"/>
                <w:sz w:val="18"/>
                <w:szCs w:val="18"/>
                <w:color w:val="auto"/>
                <w:w w:val="87"/>
              </w:rPr>
              <w:t>%</w:t>
            </w:r>
          </w:p>
        </w:tc>
        <w:tc>
          <w:tcPr>
            <w:tcW w:w="10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236"/>
        </w:trPr>
        <w:tc>
          <w:tcPr>
            <w:tcW w:w="47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2,517</w:t>
            </w:r>
          </w:p>
        </w:tc>
        <w:tc>
          <w:tcPr>
            <w:tcW w:w="16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2,076</w:t>
            </w:r>
          </w:p>
        </w:tc>
        <w:tc>
          <w:tcPr>
            <w:tcW w:w="320" w:type="dxa"/>
            <w:vAlign w:val="bottom"/>
            <w:tcBorders>
              <w:bottom w:val="single" w:sz="8" w:color="CCEEFF"/>
            </w:tcBorders>
            <w:vMerge w:val="continue"/>
          </w:tcPr>
          <w:p>
            <w:pPr>
              <w:spacing w:after="0"/>
              <w:rPr>
                <w:sz w:val="20"/>
                <w:szCs w:val="20"/>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w:t>
            </w:r>
          </w:p>
        </w:tc>
        <w:tc>
          <w:tcPr>
            <w:tcW w:w="34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4,028</w:t>
            </w:r>
          </w:p>
        </w:tc>
        <w:tc>
          <w:tcPr>
            <w:tcW w:w="32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3,772</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w:t>
            </w:r>
          </w:p>
        </w:tc>
        <w:tc>
          <w:tcPr>
            <w:tcW w:w="16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74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Earnings before income taxes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9,158</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3,932</w:t>
            </w:r>
          </w:p>
        </w:tc>
        <w:tc>
          <w:tcPr>
            <w:tcW w:w="3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133</w:t>
            </w:r>
          </w:p>
        </w:tc>
        <w:tc>
          <w:tcPr>
            <w:tcW w:w="340" w:type="dxa"/>
            <w:vAlign w:val="bottom"/>
            <w:tcBorders>
              <w:bottom w:val="single" w:sz="8" w:color="CCEEFF"/>
            </w:tcBorders>
            <w:shd w:val="clear" w:color="auto" w:fill="CCEEFF"/>
          </w:tcPr>
          <w:p>
            <w:pPr>
              <w:jc w:val="right"/>
              <w:ind w:right="90"/>
              <w:spacing w:after="0" w:line="190" w:lineRule="exact"/>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12,842</w:t>
            </w:r>
          </w:p>
        </w:tc>
        <w:tc>
          <w:tcPr>
            <w:tcW w:w="3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4,748</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170</w:t>
            </w:r>
          </w:p>
        </w:tc>
        <w:tc>
          <w:tcPr>
            <w:tcW w:w="160" w:type="dxa"/>
            <w:vAlign w:val="bottom"/>
            <w:tcBorders>
              <w:bottom w:val="single" w:sz="8" w:color="CCEEFF"/>
            </w:tcBorders>
            <w:shd w:val="clear" w:color="auto" w:fill="CCEEFF"/>
          </w:tcPr>
          <w:p>
            <w:pPr>
              <w:jc w:val="right"/>
              <w:spacing w:after="0" w:line="190"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Intersegment revenues are primarily interest income from the warehouse line for loans held for sale provided to SecurityNational Mortgage Company (“SecurityNational Mortgage”). Profitability for the six month period ended June 30, 2023 increased due to (a) a $5,468,000 increase in net investment income, (b) a $4,527,000 increase in insurance premiums and other considerations, (c) a $1,494,000 decrease in selling, general and administrative expenses, (d) a $674,000 increase in gains on investments and other assets, (e) a $256,000 increase in intersegment revenue, (f) a $83,000 increase in other revenues, and (g) a $66,000 increase in mortgage fee income, which were partially offset by (i) a $3,183,000 increase in future policy benefits, (ii) a $732,000 increase in amortization of deferred policy acquisition costs, (iii) a $417,000 increase in interest expense, (iv) a 125,000 increase in intersegment interest expense and other expenses, and (v) a $16,000 increase in death, surrenders and other policy benefits.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Cemetery and Mortuary Operations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sells mortuary services and products through its nine mortuaries in Utah and three mortuaries in New Mexico. The Company also sells cemetery products and services through its five cemeteries in Utah, one cemetery in San Diego County, California, and one cemetery in Santa Fe, New Mexico. At-need product sales and services are recognized as revenue when the services are performed or when the products are delivered. Pre-need cemetery product sales are deferred until the merchandise is delivered and services performed. Recognition of revenue for cemetery land sales occurs when 10% of the purchase price is received.</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shows the condensed financial results of the cemetery and mortuary operations for the three and six month periods ended June 30, 2023, and 2022. See Note 7 to the condensed consolidated financial statements.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40" w:type="dxa"/>
            <w:vAlign w:val="bottom"/>
            <w:gridSpan w:val="8"/>
          </w:tcPr>
          <w:p>
            <w:pPr>
              <w:jc w:val="center"/>
              <w:ind w:right="370"/>
              <w:spacing w:after="0"/>
              <w:rPr>
                <w:sz w:val="20"/>
                <w:szCs w:val="20"/>
                <w:color w:val="auto"/>
              </w:rPr>
            </w:pPr>
            <w:r>
              <w:rPr>
                <w:rFonts w:ascii="Arial" w:cs="Arial" w:eastAsia="Arial" w:hAnsi="Arial"/>
                <w:sz w:val="18"/>
                <w:szCs w:val="18"/>
                <w:color w:val="auto"/>
                <w:w w:val="88"/>
              </w:rPr>
              <w:t>Three months ended June 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20" w:type="dxa"/>
            <w:vAlign w:val="bottom"/>
            <w:gridSpan w:val="9"/>
          </w:tcPr>
          <w:p>
            <w:pPr>
              <w:jc w:val="center"/>
              <w:ind w:right="360"/>
              <w:spacing w:after="0"/>
              <w:rPr>
                <w:sz w:val="20"/>
                <w:szCs w:val="20"/>
                <w:color w:val="auto"/>
              </w:rPr>
            </w:pPr>
            <w:r>
              <w:rPr>
                <w:rFonts w:ascii="Arial" w:cs="Arial" w:eastAsia="Arial" w:hAnsi="Arial"/>
                <w:sz w:val="18"/>
                <w:szCs w:val="18"/>
                <w:color w:val="auto"/>
                <w:w w:val="88"/>
              </w:rPr>
              <w:t>Six months ended June 30,</w:t>
            </w:r>
          </w:p>
        </w:tc>
        <w:tc>
          <w:tcPr>
            <w:tcW w:w="0" w:type="dxa"/>
            <w:vAlign w:val="bottom"/>
          </w:tcPr>
          <w:p>
            <w:pPr>
              <w:spacing w:after="0"/>
              <w:rPr>
                <w:sz w:val="1"/>
                <w:szCs w:val="1"/>
                <w:color w:val="auto"/>
              </w:rPr>
            </w:pPr>
          </w:p>
        </w:tc>
      </w:tr>
      <w:tr>
        <w:trPr>
          <w:trHeight w:val="237"/>
        </w:trPr>
        <w:tc>
          <w:tcPr>
            <w:tcW w:w="4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40" w:type="dxa"/>
            <w:vAlign w:val="bottom"/>
            <w:gridSpan w:val="8"/>
          </w:tcPr>
          <w:p>
            <w:pPr>
              <w:jc w:val="center"/>
              <w:ind w:right="370"/>
              <w:spacing w:after="0"/>
              <w:rPr>
                <w:sz w:val="20"/>
                <w:szCs w:val="20"/>
                <w:color w:val="auto"/>
              </w:rPr>
            </w:pPr>
            <w:r>
              <w:rPr>
                <w:rFonts w:ascii="Arial" w:cs="Arial" w:eastAsia="Arial" w:hAnsi="Arial"/>
                <w:sz w:val="18"/>
                <w:szCs w:val="18"/>
                <w:color w:val="auto"/>
                <w:w w:val="91"/>
              </w:rPr>
              <w:t>(in thousands of dollars)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20" w:type="dxa"/>
            <w:vAlign w:val="bottom"/>
            <w:gridSpan w:val="9"/>
          </w:tcPr>
          <w:p>
            <w:pPr>
              <w:jc w:val="center"/>
              <w:ind w:right="380"/>
              <w:spacing w:after="0"/>
              <w:rPr>
                <w:sz w:val="20"/>
                <w:szCs w:val="20"/>
                <w:color w:val="auto"/>
              </w:rPr>
            </w:pPr>
            <w:r>
              <w:rPr>
                <w:rFonts w:ascii="Arial" w:cs="Arial" w:eastAsia="Arial" w:hAnsi="Arial"/>
                <w:sz w:val="18"/>
                <w:szCs w:val="18"/>
                <w:color w:val="auto"/>
                <w:w w:val="91"/>
              </w:rPr>
              <w:t>(in thousands of dollars)</w:t>
            </w:r>
          </w:p>
        </w:tc>
        <w:tc>
          <w:tcPr>
            <w:tcW w:w="0" w:type="dxa"/>
            <w:vAlign w:val="bottom"/>
          </w:tcPr>
          <w:p>
            <w:pPr>
              <w:spacing w:after="0"/>
              <w:rPr>
                <w:sz w:val="1"/>
                <w:szCs w:val="1"/>
                <w:color w:val="auto"/>
              </w:rPr>
            </w:pPr>
          </w:p>
        </w:tc>
      </w:tr>
      <w:tr>
        <w:trPr>
          <w:trHeight w:val="202"/>
        </w:trPr>
        <w:tc>
          <w:tcPr>
            <w:tcW w:w="46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7"/>
              </w:rPr>
              <w: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gridSpan w:val="2"/>
          </w:tcPr>
          <w:p>
            <w:pPr>
              <w:jc w:val="center"/>
              <w:ind w:left="50"/>
              <w:spacing w:after="0" w:line="201"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center"/>
              <w:ind w:right="210"/>
              <w:spacing w:after="0"/>
              <w:rPr>
                <w:sz w:val="20"/>
                <w:szCs w:val="20"/>
                <w:color w:val="auto"/>
              </w:rPr>
            </w:pPr>
            <w:r>
              <w:rPr>
                <w:rFonts w:ascii="Arial" w:cs="Arial" w:eastAsia="Arial" w:hAnsi="Arial"/>
                <w:sz w:val="18"/>
                <w:szCs w:val="18"/>
                <w:color w:val="auto"/>
                <w:w w:val="86"/>
              </w:rPr>
              <w:t>Increase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center"/>
              <w:ind w:right="220"/>
              <w:spacing w:after="0"/>
              <w:rPr>
                <w:sz w:val="20"/>
                <w:szCs w:val="20"/>
                <w:color w:val="auto"/>
              </w:rPr>
            </w:pPr>
            <w:r>
              <w:rPr>
                <w:rFonts w:ascii="Arial" w:cs="Arial" w:eastAsia="Arial" w:hAnsi="Arial"/>
                <w:sz w:val="18"/>
                <w:szCs w:val="18"/>
                <w:color w:val="auto"/>
                <w:w w:val="86"/>
              </w:rPr>
              <w:t>Increase</w:t>
            </w:r>
          </w:p>
        </w:tc>
        <w:tc>
          <w:tcPr>
            <w:tcW w:w="0" w:type="dxa"/>
            <w:vAlign w:val="bottom"/>
          </w:tcPr>
          <w:p>
            <w:pPr>
              <w:spacing w:after="0"/>
              <w:rPr>
                <w:sz w:val="1"/>
                <w:szCs w:val="1"/>
                <w:color w:val="auto"/>
              </w:rPr>
            </w:pPr>
          </w:p>
        </w:tc>
      </w:tr>
      <w:tr>
        <w:trPr>
          <w:trHeight w:val="237"/>
        </w:trPr>
        <w:tc>
          <w:tcPr>
            <w:tcW w:w="4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w w:val="99"/>
              </w:rPr>
              <w:t>2023</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center"/>
              <w:ind w:right="50"/>
              <w:spacing w:after="0"/>
              <w:rPr>
                <w:sz w:val="20"/>
                <w:szCs w:val="20"/>
                <w:color w:val="auto"/>
              </w:rPr>
            </w:pPr>
            <w:r>
              <w:rPr>
                <w:rFonts w:ascii="Arial" w:cs="Arial" w:eastAsia="Arial" w:hAnsi="Arial"/>
                <w:sz w:val="18"/>
                <w:szCs w:val="18"/>
                <w:color w:val="auto"/>
                <w:w w:val="89"/>
              </w:rPr>
              <w:t>2022</w:t>
            </w:r>
          </w:p>
        </w:tc>
        <w:tc>
          <w:tcPr>
            <w:tcW w:w="320" w:type="dxa"/>
            <w:vAlign w:val="bottom"/>
          </w:tcPr>
          <w:p>
            <w:pPr>
              <w:spacing w:after="0"/>
              <w:rPr>
                <w:sz w:val="20"/>
                <w:szCs w:val="20"/>
                <w:color w:val="auto"/>
              </w:rPr>
            </w:pPr>
          </w:p>
        </w:tc>
        <w:tc>
          <w:tcPr>
            <w:tcW w:w="1100" w:type="dxa"/>
            <w:vAlign w:val="bottom"/>
            <w:gridSpan w:val="2"/>
          </w:tcPr>
          <w:p>
            <w:pPr>
              <w:jc w:val="center"/>
              <w:ind w:right="230"/>
              <w:spacing w:after="0"/>
              <w:rPr>
                <w:sz w:val="20"/>
                <w:szCs w:val="20"/>
                <w:color w:val="auto"/>
              </w:rPr>
            </w:pPr>
            <w:r>
              <w:rPr>
                <w:rFonts w:ascii="Arial" w:cs="Arial" w:eastAsia="Arial" w:hAnsi="Arial"/>
                <w:sz w:val="18"/>
                <w:szCs w:val="18"/>
                <w:color w:val="auto"/>
                <w:w w:val="87"/>
              </w:rPr>
              <w:t>(Decrease)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w w:val="99"/>
              </w:rPr>
              <w:t>2023</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center"/>
              <w:ind w:right="70"/>
              <w:spacing w:after="0"/>
              <w:rPr>
                <w:sz w:val="20"/>
                <w:szCs w:val="20"/>
                <w:color w:val="auto"/>
              </w:rPr>
            </w:pPr>
            <w:r>
              <w:rPr>
                <w:rFonts w:ascii="Arial" w:cs="Arial" w:eastAsia="Arial" w:hAnsi="Arial"/>
                <w:sz w:val="18"/>
                <w:szCs w:val="18"/>
                <w:color w:val="auto"/>
                <w:w w:val="89"/>
              </w:rPr>
              <w:t>2022</w:t>
            </w:r>
          </w:p>
        </w:tc>
        <w:tc>
          <w:tcPr>
            <w:tcW w:w="180" w:type="dxa"/>
            <w:vAlign w:val="bottom"/>
          </w:tcPr>
          <w:p>
            <w:pPr>
              <w:spacing w:after="0"/>
              <w:rPr>
                <w:sz w:val="20"/>
                <w:szCs w:val="20"/>
                <w:color w:val="auto"/>
              </w:rPr>
            </w:pPr>
          </w:p>
        </w:tc>
        <w:tc>
          <w:tcPr>
            <w:tcW w:w="1120" w:type="dxa"/>
            <w:vAlign w:val="bottom"/>
            <w:gridSpan w:val="4"/>
          </w:tcPr>
          <w:p>
            <w:pPr>
              <w:jc w:val="center"/>
              <w:ind w:right="60"/>
              <w:spacing w:after="0"/>
              <w:rPr>
                <w:sz w:val="20"/>
                <w:szCs w:val="20"/>
                <w:color w:val="auto"/>
              </w:rPr>
            </w:pPr>
            <w:r>
              <w:rPr>
                <w:rFonts w:ascii="Arial" w:cs="Arial" w:eastAsia="Arial" w:hAnsi="Arial"/>
                <w:sz w:val="18"/>
                <w:szCs w:val="18"/>
                <w:color w:val="auto"/>
                <w:w w:val="87"/>
              </w:rPr>
              <w:t>(Decrease)</w:t>
            </w:r>
          </w:p>
        </w:tc>
        <w:tc>
          <w:tcPr>
            <w:tcW w:w="0" w:type="dxa"/>
            <w:vAlign w:val="bottom"/>
          </w:tcPr>
          <w:p>
            <w:pPr>
              <w:spacing w:after="0"/>
              <w:rPr>
                <w:sz w:val="1"/>
                <w:szCs w:val="1"/>
                <w:color w:val="auto"/>
              </w:rPr>
            </w:pPr>
          </w:p>
        </w:tc>
      </w:tr>
      <w:tr>
        <w:trPr>
          <w:trHeight w:val="216"/>
        </w:trPr>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180"/>
              <w:spacing w:after="0"/>
              <w:rPr>
                <w:sz w:val="20"/>
                <w:szCs w:val="20"/>
                <w:color w:val="auto"/>
              </w:rPr>
            </w:pPr>
            <w:r>
              <w:rPr>
                <w:rFonts w:ascii="Arial" w:cs="Arial" w:eastAsia="Arial" w:hAnsi="Arial"/>
                <w:sz w:val="18"/>
                <w:szCs w:val="18"/>
                <w:color w:val="auto"/>
              </w:rPr>
              <w:t>Mortuary revenues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3,125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3,106</w:t>
            </w:r>
          </w:p>
        </w:tc>
        <w:tc>
          <w:tcPr>
            <w:tcW w:w="1100" w:type="dxa"/>
            <w:vAlign w:val="bottom"/>
            <w:gridSpan w:val="2"/>
          </w:tcPr>
          <w:p>
            <w:pPr>
              <w:jc w:val="right"/>
              <w:ind w:right="90"/>
              <w:spacing w:after="0"/>
              <w:rPr>
                <w:sz w:val="20"/>
                <w:szCs w:val="20"/>
                <w:color w:val="auto"/>
              </w:rPr>
            </w:pPr>
            <w:r>
              <w:rPr>
                <w:rFonts w:ascii="Arial" w:cs="Arial" w:eastAsia="Arial" w:hAnsi="Arial"/>
                <w:sz w:val="18"/>
                <w:szCs w:val="18"/>
                <w:color w:val="auto"/>
              </w:rPr>
              <w:t>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6,400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6,872</w:t>
            </w: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Cemetery revenues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4,044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4,144</w:t>
            </w:r>
          </w:p>
        </w:tc>
        <w:tc>
          <w:tcPr>
            <w:tcW w:w="11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7,240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7,584</w:t>
            </w:r>
          </w:p>
        </w:tc>
        <w:tc>
          <w:tcPr>
            <w:tcW w:w="1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680" w:type="dxa"/>
            <w:vAlign w:val="bottom"/>
          </w:tcPr>
          <w:p>
            <w:pPr>
              <w:ind w:left="180"/>
              <w:spacing w:after="0"/>
              <w:rPr>
                <w:sz w:val="20"/>
                <w:szCs w:val="20"/>
                <w:color w:val="auto"/>
              </w:rPr>
            </w:pPr>
            <w:r>
              <w:rPr>
                <w:rFonts w:ascii="Arial" w:cs="Arial" w:eastAsia="Arial" w:hAnsi="Arial"/>
                <w:sz w:val="18"/>
                <w:szCs w:val="18"/>
                <w:color w:val="auto"/>
              </w:rPr>
              <w:t>Net investment income</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1,343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739</w:t>
            </w:r>
          </w:p>
        </w:tc>
        <w:tc>
          <w:tcPr>
            <w:tcW w:w="1100" w:type="dxa"/>
            <w:vAlign w:val="bottom"/>
            <w:gridSpan w:val="2"/>
          </w:tcPr>
          <w:p>
            <w:pPr>
              <w:jc w:val="right"/>
              <w:ind w:right="9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1,945</w:t>
            </w: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1,236</w:t>
            </w:r>
          </w:p>
        </w:tc>
        <w:tc>
          <w:tcPr>
            <w:tcW w:w="1120" w:type="dxa"/>
            <w:vAlign w:val="bottom"/>
            <w:gridSpan w:val="4"/>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Gains (losses) on investments and other assets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(720)</w:t>
            </w:r>
          </w:p>
        </w:tc>
        <w:tc>
          <w:tcPr>
            <w:tcW w:w="11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252</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(975)</w:t>
            </w:r>
          </w:p>
        </w:tc>
        <w:tc>
          <w:tcPr>
            <w:tcW w:w="11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37"/>
        </w:trPr>
        <w:tc>
          <w:tcPr>
            <w:tcW w:w="4680" w:type="dxa"/>
            <w:vAlign w:val="bottom"/>
          </w:tcPr>
          <w:p>
            <w:pPr>
              <w:ind w:left="18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21</w:t>
            </w:r>
          </w:p>
        </w:tc>
        <w:tc>
          <w:tcPr>
            <w:tcW w:w="1100" w:type="dxa"/>
            <w:vAlign w:val="bottom"/>
            <w:gridSpan w:val="2"/>
          </w:tcPr>
          <w:p>
            <w:pPr>
              <w:jc w:val="right"/>
              <w:ind w:right="90"/>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174</w:t>
            </w:r>
          </w:p>
        </w:tc>
        <w:tc>
          <w:tcPr>
            <w:tcW w:w="14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36</w:t>
            </w:r>
          </w:p>
        </w:tc>
        <w:tc>
          <w:tcPr>
            <w:tcW w:w="1120" w:type="dxa"/>
            <w:vAlign w:val="bottom"/>
            <w:gridSpan w:val="4"/>
          </w:tcPr>
          <w:p>
            <w:pPr>
              <w:jc w:val="right"/>
              <w:ind w:right="6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29"/>
        </w:trPr>
        <w:tc>
          <w:tcPr>
            <w:tcW w:w="4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8,813</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20" w:type="dxa"/>
            <w:vAlign w:val="bottom"/>
            <w:tcBorders>
              <w:top w:val="single" w:sz="8" w:color="CCEEFF"/>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16,011</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14,753</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18"/>
                <w:szCs w:val="18"/>
                <w:color w:val="auto"/>
              </w:rPr>
              <w:t>Earnings before income taxes</w:t>
            </w: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jc w:val="right"/>
              <w:ind w:right="90"/>
              <w:spacing w:after="0"/>
              <w:rPr>
                <w:sz w:val="20"/>
                <w:szCs w:val="20"/>
                <w:color w:val="auto"/>
              </w:rPr>
            </w:pPr>
            <w:r>
              <w:rPr>
                <w:rFonts w:ascii="Arial" w:cs="Arial" w:eastAsia="Arial" w:hAnsi="Arial"/>
                <w:sz w:val="18"/>
                <w:szCs w:val="18"/>
                <w:color w:val="auto"/>
                <w:w w:val="74"/>
              </w:rPr>
              <w:t>%</w:t>
            </w:r>
          </w:p>
        </w:tc>
        <w:tc>
          <w:tcPr>
            <w:tcW w:w="10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line="20" w:lineRule="exact"/>
              <w:rPr>
                <w:sz w:val="1"/>
                <w:szCs w:val="1"/>
                <w:color w:val="auto"/>
              </w:rPr>
            </w:pPr>
          </w:p>
        </w:tc>
      </w:tr>
      <w:tr>
        <w:trPr>
          <w:trHeight w:val="197"/>
        </w:trPr>
        <w:tc>
          <w:tcPr>
            <w:tcW w:w="4680" w:type="dxa"/>
            <w:vAlign w:val="bottom"/>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2,828</w:t>
            </w:r>
          </w:p>
        </w:tc>
        <w:tc>
          <w:tcPr>
            <w:tcW w:w="18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1,486</w:t>
            </w:r>
          </w:p>
        </w:tc>
        <w:tc>
          <w:tcPr>
            <w:tcW w:w="320" w:type="dxa"/>
            <w:vAlign w:val="bottom"/>
            <w:vMerge w:val="continue"/>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c>
          <w:tcPr>
            <w:tcW w:w="32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4,613</w:t>
            </w:r>
          </w:p>
        </w:tc>
        <w:tc>
          <w:tcPr>
            <w:tcW w:w="320" w:type="dxa"/>
            <w:vAlign w:val="bottom"/>
            <w:vMerge w:val="continue"/>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3,506</w:t>
            </w:r>
          </w:p>
        </w:tc>
        <w:tc>
          <w:tcPr>
            <w:tcW w:w="18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2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Profitability in the six month period ended June 30, 2023 increased due to (a) a $1,227,000 increase in gains on investments and other assets, (b) a $709,000 increase in net investment income, (c) a $495,000 increase in cemetery pre-need sales, and (d) a $138,000 increase in other revenues, (e) a $46,000 decrease in amortization of deferred policy acquisition costs, and (f) a $28,000 decrease in intersegment interest expense and other expenses, which were partially offset by (i) an $839,000 decrease in mortuary at-need sales, (ii) a $473,000 decrease in cemetery at-need sales, (iii) a $116,000 increase in selling, general and administrative expenses, (iv) a $99,000 decrease in intersegment revenues, and a (v) 9,000 increase in cost of goods and services sold.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Operations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Company’s wholly owned subsidiary, SecurityNational Mortgage, is a mortgage lender incorporated under the laws of the State of Utah and approved and regulated by the Federal Housing Administration (FHA), a department of the U.S. Department of Housing and Urban Development (HUD), which originate mortgage loans that qualify for government insurance in the event of default by the borrower, in addition to various conventional mortgage loan products. SecurityNational Mortgage originates and refinances mortgage loans on a retail basis. Mortgage loans originated or refinanced by the SecurityNational Mortgage are funded through loan purchase agreements with Security National Life, Kilpatrick Life and unaffiliated financial institutions.</w:t>
      </w:r>
    </w:p>
    <w:p>
      <w:pPr>
        <w:spacing w:after="0" w:line="16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SecurityNational Mortgage receive fees from borrowers that are involved in mortgage loan originations and refinancings, and secondary fees earned from third party investors that purchase the mortgage loans. Mortgage loans are generally sold with mortgage servicing rights (“MSRs”) released to third-party investors or retained by SecurityNational Mortgage. SecurityNational Mortgage currently retains the mortgage servicing rights on approximately 5% of its loan origination volume. These mortgage loans are serviced by either SecurityNational Mortgage or an approved third-party sub-servicer. On October 31, 2022, the Company sold certain of its MSRs. The MSRs related to mortgage loans previously originated by the Company in aggregate unpaid principal amount of approximately $7.02 billion. As a result of the sale, the book value of the Company’s MSRs decreased by $51,185,906.</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Mortgage rates have followed the US Treasury yields up in response to the higher than expected inflation and the expectation that the Federal Reserve will continue to raise rates in the near term. As expected, the rapid increase in mortgage rates has resulted in a decrease in loan originations classified as ‘refinance.’ Higher mortgage rates have also had a negative effect on loan originations classified as ‘purchases,’ although not as significant as those in the refinance classification.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2" w:name="page63"/>
    <w:bookmarkEnd w:id="62"/>
    <w:p>
      <w:pPr>
        <w:jc w:val="both"/>
        <w:spacing w:after="0" w:line="277" w:lineRule="auto"/>
        <w:rPr>
          <w:sz w:val="20"/>
          <w:szCs w:val="20"/>
          <w:color w:val="auto"/>
        </w:rPr>
      </w:pPr>
      <w:r>
        <w:rPr>
          <w:rFonts w:ascii="Arial" w:cs="Arial" w:eastAsia="Arial" w:hAnsi="Arial"/>
          <w:sz w:val="18"/>
          <w:szCs w:val="18"/>
          <w:color w:val="auto"/>
        </w:rPr>
        <w:t>For the six month periods ended June 30, 2023 and 2022, SecurityNational Mortgage originated 3,738 loans ($1,139,735,000 total volume) and 6,419 loans ($2,049,959,000 total volume),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condensed financial results of the mortgage operations for the three and six month periods ended June 30, 2023, and 2022.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Note 7 to the condensed consolidated financial statements.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40" w:type="dxa"/>
            <w:vAlign w:val="bottom"/>
            <w:gridSpan w:val="8"/>
          </w:tcPr>
          <w:p>
            <w:pPr>
              <w:jc w:val="center"/>
              <w:ind w:right="370"/>
              <w:spacing w:after="0"/>
              <w:rPr>
                <w:sz w:val="20"/>
                <w:szCs w:val="20"/>
                <w:color w:val="auto"/>
              </w:rPr>
            </w:pPr>
            <w:r>
              <w:rPr>
                <w:rFonts w:ascii="Arial" w:cs="Arial" w:eastAsia="Arial" w:hAnsi="Arial"/>
                <w:sz w:val="18"/>
                <w:szCs w:val="18"/>
                <w:color w:val="auto"/>
                <w:w w:val="88"/>
              </w:rPr>
              <w:t>Three months ended June 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20" w:type="dxa"/>
            <w:vAlign w:val="bottom"/>
            <w:gridSpan w:val="9"/>
          </w:tcPr>
          <w:p>
            <w:pPr>
              <w:jc w:val="center"/>
              <w:ind w:right="360"/>
              <w:spacing w:after="0"/>
              <w:rPr>
                <w:sz w:val="20"/>
                <w:szCs w:val="20"/>
                <w:color w:val="auto"/>
              </w:rPr>
            </w:pPr>
            <w:r>
              <w:rPr>
                <w:rFonts w:ascii="Arial" w:cs="Arial" w:eastAsia="Arial" w:hAnsi="Arial"/>
                <w:sz w:val="18"/>
                <w:szCs w:val="18"/>
                <w:color w:val="auto"/>
                <w:w w:val="88"/>
              </w:rPr>
              <w:t>Six months ended June 30,</w:t>
            </w:r>
          </w:p>
        </w:tc>
        <w:tc>
          <w:tcPr>
            <w:tcW w:w="0" w:type="dxa"/>
            <w:vAlign w:val="bottom"/>
          </w:tcPr>
          <w:p>
            <w:pPr>
              <w:spacing w:after="0"/>
              <w:rPr>
                <w:sz w:val="1"/>
                <w:szCs w:val="1"/>
                <w:color w:val="auto"/>
              </w:rPr>
            </w:pPr>
          </w:p>
        </w:tc>
      </w:tr>
      <w:tr>
        <w:trPr>
          <w:trHeight w:val="237"/>
        </w:trPr>
        <w:tc>
          <w:tcPr>
            <w:tcW w:w="4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40" w:type="dxa"/>
            <w:vAlign w:val="bottom"/>
            <w:gridSpan w:val="8"/>
          </w:tcPr>
          <w:p>
            <w:pPr>
              <w:jc w:val="center"/>
              <w:ind w:right="370"/>
              <w:spacing w:after="0"/>
              <w:rPr>
                <w:sz w:val="20"/>
                <w:szCs w:val="20"/>
                <w:color w:val="auto"/>
              </w:rPr>
            </w:pPr>
            <w:r>
              <w:rPr>
                <w:rFonts w:ascii="Arial" w:cs="Arial" w:eastAsia="Arial" w:hAnsi="Arial"/>
                <w:sz w:val="18"/>
                <w:szCs w:val="18"/>
                <w:color w:val="auto"/>
                <w:w w:val="91"/>
              </w:rPr>
              <w:t>(in thousands of dollars)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20" w:type="dxa"/>
            <w:vAlign w:val="bottom"/>
            <w:gridSpan w:val="9"/>
          </w:tcPr>
          <w:p>
            <w:pPr>
              <w:jc w:val="center"/>
              <w:ind w:right="380"/>
              <w:spacing w:after="0"/>
              <w:rPr>
                <w:sz w:val="20"/>
                <w:szCs w:val="20"/>
                <w:color w:val="auto"/>
              </w:rPr>
            </w:pPr>
            <w:r>
              <w:rPr>
                <w:rFonts w:ascii="Arial" w:cs="Arial" w:eastAsia="Arial" w:hAnsi="Arial"/>
                <w:sz w:val="18"/>
                <w:szCs w:val="18"/>
                <w:color w:val="auto"/>
                <w:w w:val="91"/>
              </w:rPr>
              <w:t>(in thousands of dollars)</w:t>
            </w:r>
          </w:p>
        </w:tc>
        <w:tc>
          <w:tcPr>
            <w:tcW w:w="0" w:type="dxa"/>
            <w:vAlign w:val="bottom"/>
          </w:tcPr>
          <w:p>
            <w:pPr>
              <w:spacing w:after="0"/>
              <w:rPr>
                <w:sz w:val="1"/>
                <w:szCs w:val="1"/>
                <w:color w:val="auto"/>
              </w:rPr>
            </w:pPr>
          </w:p>
        </w:tc>
      </w:tr>
      <w:tr>
        <w:trPr>
          <w:trHeight w:val="202"/>
        </w:trPr>
        <w:tc>
          <w:tcPr>
            <w:tcW w:w="46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7"/>
              </w:rPr>
              <w: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gridSpan w:val="2"/>
          </w:tcPr>
          <w:p>
            <w:pPr>
              <w:jc w:val="center"/>
              <w:ind w:left="50"/>
              <w:spacing w:after="0" w:line="201"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center"/>
              <w:ind w:right="210"/>
              <w:spacing w:after="0"/>
              <w:rPr>
                <w:sz w:val="20"/>
                <w:szCs w:val="20"/>
                <w:color w:val="auto"/>
              </w:rPr>
            </w:pPr>
            <w:r>
              <w:rPr>
                <w:rFonts w:ascii="Arial" w:cs="Arial" w:eastAsia="Arial" w:hAnsi="Arial"/>
                <w:sz w:val="18"/>
                <w:szCs w:val="18"/>
                <w:color w:val="auto"/>
                <w:w w:val="86"/>
              </w:rPr>
              <w:t>Increase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center"/>
              <w:ind w:right="220"/>
              <w:spacing w:after="0"/>
              <w:rPr>
                <w:sz w:val="20"/>
                <w:szCs w:val="20"/>
                <w:color w:val="auto"/>
              </w:rPr>
            </w:pPr>
            <w:r>
              <w:rPr>
                <w:rFonts w:ascii="Arial" w:cs="Arial" w:eastAsia="Arial" w:hAnsi="Arial"/>
                <w:sz w:val="18"/>
                <w:szCs w:val="18"/>
                <w:color w:val="auto"/>
                <w:w w:val="86"/>
              </w:rPr>
              <w:t>Increase</w:t>
            </w:r>
          </w:p>
        </w:tc>
        <w:tc>
          <w:tcPr>
            <w:tcW w:w="0" w:type="dxa"/>
            <w:vAlign w:val="bottom"/>
          </w:tcPr>
          <w:p>
            <w:pPr>
              <w:spacing w:after="0"/>
              <w:rPr>
                <w:sz w:val="1"/>
                <w:szCs w:val="1"/>
                <w:color w:val="auto"/>
              </w:rPr>
            </w:pPr>
          </w:p>
        </w:tc>
      </w:tr>
      <w:tr>
        <w:trPr>
          <w:trHeight w:val="237"/>
        </w:trPr>
        <w:tc>
          <w:tcPr>
            <w:tcW w:w="4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w w:val="99"/>
              </w:rPr>
              <w:t>2023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center"/>
              <w:ind w:right="50"/>
              <w:spacing w:after="0"/>
              <w:rPr>
                <w:sz w:val="20"/>
                <w:szCs w:val="20"/>
                <w:color w:val="auto"/>
              </w:rPr>
            </w:pPr>
            <w:r>
              <w:rPr>
                <w:rFonts w:ascii="Arial" w:cs="Arial" w:eastAsia="Arial" w:hAnsi="Arial"/>
                <w:sz w:val="18"/>
                <w:szCs w:val="18"/>
                <w:color w:val="auto"/>
                <w:w w:val="89"/>
              </w:rPr>
              <w:t>2022</w:t>
            </w:r>
          </w:p>
        </w:tc>
        <w:tc>
          <w:tcPr>
            <w:tcW w:w="320" w:type="dxa"/>
            <w:vAlign w:val="bottom"/>
          </w:tcPr>
          <w:p>
            <w:pPr>
              <w:spacing w:after="0"/>
              <w:rPr>
                <w:sz w:val="20"/>
                <w:szCs w:val="20"/>
                <w:color w:val="auto"/>
              </w:rPr>
            </w:pPr>
          </w:p>
        </w:tc>
        <w:tc>
          <w:tcPr>
            <w:tcW w:w="1100" w:type="dxa"/>
            <w:vAlign w:val="bottom"/>
            <w:gridSpan w:val="2"/>
          </w:tcPr>
          <w:p>
            <w:pPr>
              <w:jc w:val="center"/>
              <w:ind w:right="230"/>
              <w:spacing w:after="0"/>
              <w:rPr>
                <w:sz w:val="20"/>
                <w:szCs w:val="20"/>
                <w:color w:val="auto"/>
              </w:rPr>
            </w:pPr>
            <w:r>
              <w:rPr>
                <w:rFonts w:ascii="Arial" w:cs="Arial" w:eastAsia="Arial" w:hAnsi="Arial"/>
                <w:sz w:val="18"/>
                <w:szCs w:val="18"/>
                <w:color w:val="auto"/>
                <w:w w:val="87"/>
              </w:rPr>
              <w:t>(Decrease)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w w:val="99"/>
              </w:rPr>
              <w:t>2023</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center"/>
              <w:ind w:right="70"/>
              <w:spacing w:after="0"/>
              <w:rPr>
                <w:sz w:val="20"/>
                <w:szCs w:val="20"/>
                <w:color w:val="auto"/>
              </w:rPr>
            </w:pPr>
            <w:r>
              <w:rPr>
                <w:rFonts w:ascii="Arial" w:cs="Arial" w:eastAsia="Arial" w:hAnsi="Arial"/>
                <w:sz w:val="18"/>
                <w:szCs w:val="18"/>
                <w:color w:val="auto"/>
                <w:w w:val="89"/>
              </w:rPr>
              <w:t>2022</w:t>
            </w:r>
          </w:p>
        </w:tc>
        <w:tc>
          <w:tcPr>
            <w:tcW w:w="180" w:type="dxa"/>
            <w:vAlign w:val="bottom"/>
          </w:tcPr>
          <w:p>
            <w:pPr>
              <w:spacing w:after="0"/>
              <w:rPr>
                <w:sz w:val="20"/>
                <w:szCs w:val="20"/>
                <w:color w:val="auto"/>
              </w:rPr>
            </w:pPr>
          </w:p>
        </w:tc>
        <w:tc>
          <w:tcPr>
            <w:tcW w:w="1120" w:type="dxa"/>
            <w:vAlign w:val="bottom"/>
            <w:gridSpan w:val="4"/>
          </w:tcPr>
          <w:p>
            <w:pPr>
              <w:jc w:val="center"/>
              <w:ind w:right="60"/>
              <w:spacing w:after="0"/>
              <w:rPr>
                <w:sz w:val="20"/>
                <w:szCs w:val="20"/>
                <w:color w:val="auto"/>
              </w:rPr>
            </w:pPr>
            <w:r>
              <w:rPr>
                <w:rFonts w:ascii="Arial" w:cs="Arial" w:eastAsia="Arial" w:hAnsi="Arial"/>
                <w:sz w:val="18"/>
                <w:szCs w:val="18"/>
                <w:color w:val="auto"/>
                <w:w w:val="87"/>
              </w:rPr>
              <w:t>(Decrease)</w:t>
            </w:r>
          </w:p>
        </w:tc>
        <w:tc>
          <w:tcPr>
            <w:tcW w:w="0" w:type="dxa"/>
            <w:vAlign w:val="bottom"/>
          </w:tcPr>
          <w:p>
            <w:pPr>
              <w:spacing w:after="0"/>
              <w:rPr>
                <w:sz w:val="1"/>
                <w:szCs w:val="1"/>
                <w:color w:val="auto"/>
              </w:rPr>
            </w:pPr>
          </w:p>
        </w:tc>
      </w:tr>
      <w:tr>
        <w:trPr>
          <w:trHeight w:val="216"/>
        </w:trPr>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180"/>
              <w:spacing w:after="0"/>
              <w:rPr>
                <w:sz w:val="20"/>
                <w:szCs w:val="20"/>
                <w:color w:val="auto"/>
              </w:rPr>
            </w:pPr>
            <w:r>
              <w:rPr>
                <w:rFonts w:ascii="Arial" w:cs="Arial" w:eastAsia="Arial" w:hAnsi="Arial"/>
                <w:sz w:val="18"/>
                <w:szCs w:val="18"/>
                <w:color w:val="auto"/>
              </w:rPr>
              <w:t>Secondary gains from investors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21"/>
              <w:spacing w:after="0"/>
              <w:rPr>
                <w:sz w:val="20"/>
                <w:szCs w:val="20"/>
                <w:color w:val="auto"/>
              </w:rPr>
            </w:pPr>
            <w:r>
              <w:rPr>
                <w:rFonts w:ascii="Arial" w:cs="Arial" w:eastAsia="Arial" w:hAnsi="Arial"/>
                <w:sz w:val="18"/>
                <w:szCs w:val="18"/>
                <w:color w:val="auto"/>
              </w:rPr>
              <w:t>19,276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37,161</w:t>
            </w:r>
          </w:p>
        </w:tc>
        <w:tc>
          <w:tcPr>
            <w:tcW w:w="1100" w:type="dxa"/>
            <w:vAlign w:val="bottom"/>
            <w:gridSpan w:val="2"/>
          </w:tcPr>
          <w:p>
            <w:pPr>
              <w:jc w:val="right"/>
              <w:ind w:right="30"/>
              <w:spacing w:after="0"/>
              <w:rPr>
                <w:sz w:val="20"/>
                <w:szCs w:val="20"/>
                <w:color w:val="auto"/>
              </w:rPr>
            </w:pPr>
            <w:r>
              <w:rPr>
                <w:rFonts w:ascii="Arial" w:cs="Arial" w:eastAsia="Arial" w:hAnsi="Arial"/>
                <w:sz w:val="18"/>
                <w:szCs w:val="18"/>
                <w:color w:val="auto"/>
              </w:rPr>
              <w:t>(48)%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37,193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76,764</w:t>
            </w: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from loan originations</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8,334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10,581</w:t>
            </w:r>
          </w:p>
        </w:tc>
        <w:tc>
          <w:tcPr>
            <w:tcW w:w="11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14,889</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19,393</w:t>
            </w:r>
          </w:p>
        </w:tc>
        <w:tc>
          <w:tcPr>
            <w:tcW w:w="1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4680" w:type="dxa"/>
            <w:vAlign w:val="bottom"/>
          </w:tcPr>
          <w:p>
            <w:pPr>
              <w:ind w:left="180"/>
              <w:spacing w:after="0"/>
              <w:rPr>
                <w:sz w:val="20"/>
                <w:szCs w:val="20"/>
                <w:color w:val="auto"/>
              </w:rPr>
            </w:pPr>
            <w:r>
              <w:rPr>
                <w:rFonts w:ascii="Arial" w:cs="Arial" w:eastAsia="Arial" w:hAnsi="Arial"/>
                <w:sz w:val="18"/>
                <w:szCs w:val="18"/>
                <w:color w:val="auto"/>
              </w:rPr>
              <w:t>Change in fair value of loans held for sale</w:t>
            </w:r>
          </w:p>
        </w:tc>
        <w:tc>
          <w:tcPr>
            <w:tcW w:w="140" w:type="dxa"/>
            <w:vAlign w:val="bottom"/>
          </w:tcPr>
          <w:p>
            <w:pPr>
              <w:spacing w:after="0"/>
              <w:rPr>
                <w:sz w:val="18"/>
                <w:szCs w:val="18"/>
                <w:color w:val="auto"/>
              </w:rPr>
            </w:pPr>
          </w:p>
        </w:tc>
        <w:tc>
          <w:tcPr>
            <w:tcW w:w="820" w:type="dxa"/>
            <w:vAlign w:val="bottom"/>
            <w:gridSpan w:val="2"/>
          </w:tcPr>
          <w:p>
            <w:pPr>
              <w:jc w:val="right"/>
              <w:ind w:right="61"/>
              <w:spacing w:after="0"/>
              <w:rPr>
                <w:sz w:val="20"/>
                <w:szCs w:val="20"/>
                <w:color w:val="auto"/>
              </w:rPr>
            </w:pPr>
            <w:r>
              <w:rPr>
                <w:rFonts w:ascii="Arial" w:cs="Arial" w:eastAsia="Arial" w:hAnsi="Arial"/>
                <w:sz w:val="18"/>
                <w:szCs w:val="18"/>
                <w:color w:val="auto"/>
              </w:rPr>
              <w:t>(1,402)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81"/>
              <w:spacing w:after="0"/>
              <w:rPr>
                <w:sz w:val="20"/>
                <w:szCs w:val="20"/>
                <w:color w:val="auto"/>
              </w:rPr>
            </w:pPr>
            <w:r>
              <w:rPr>
                <w:rFonts w:ascii="Arial" w:cs="Arial" w:eastAsia="Arial" w:hAnsi="Arial"/>
                <w:sz w:val="18"/>
                <w:szCs w:val="18"/>
                <w:color w:val="auto"/>
              </w:rPr>
              <w:t>(3,464)</w:t>
            </w:r>
          </w:p>
        </w:tc>
        <w:tc>
          <w:tcPr>
            <w:tcW w:w="1100" w:type="dxa"/>
            <w:vAlign w:val="bottom"/>
            <w:gridSpan w:val="2"/>
          </w:tcPr>
          <w:p>
            <w:pPr>
              <w:jc w:val="right"/>
              <w:ind w:right="3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81"/>
              <w:spacing w:after="0"/>
              <w:rPr>
                <w:sz w:val="20"/>
                <w:szCs w:val="20"/>
                <w:color w:val="auto"/>
              </w:rPr>
            </w:pPr>
            <w:r>
              <w:rPr>
                <w:rFonts w:ascii="Arial" w:cs="Arial" w:eastAsia="Arial" w:hAnsi="Arial"/>
                <w:sz w:val="18"/>
                <w:szCs w:val="18"/>
                <w:color w:val="auto"/>
              </w:rPr>
              <w:t>(607)</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(6,210)</w:t>
            </w: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loan commitments</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(151)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(2,247)</w:t>
            </w:r>
          </w:p>
        </w:tc>
        <w:tc>
          <w:tcPr>
            <w:tcW w:w="11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527</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428</w:t>
            </w:r>
          </w:p>
        </w:tc>
        <w:tc>
          <w:tcPr>
            <w:tcW w:w="11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Net investment income</w:t>
            </w:r>
          </w:p>
        </w:tc>
        <w:tc>
          <w:tcPr>
            <w:tcW w:w="140" w:type="dxa"/>
            <w:vAlign w:val="bottom"/>
          </w:tcPr>
          <w:p>
            <w:pPr>
              <w:spacing w:after="0"/>
              <w:rPr>
                <w:sz w:val="18"/>
                <w:szCs w:val="18"/>
                <w:color w:val="auto"/>
              </w:rPr>
            </w:pPr>
          </w:p>
        </w:tc>
        <w:tc>
          <w:tcPr>
            <w:tcW w:w="820" w:type="dxa"/>
            <w:vAlign w:val="bottom"/>
            <w:gridSpan w:val="2"/>
          </w:tcPr>
          <w:p>
            <w:pPr>
              <w:jc w:val="right"/>
              <w:ind w:right="121"/>
              <w:spacing w:after="0"/>
              <w:rPr>
                <w:sz w:val="20"/>
                <w:szCs w:val="20"/>
                <w:color w:val="auto"/>
              </w:rPr>
            </w:pPr>
            <w:r>
              <w:rPr>
                <w:rFonts w:ascii="Arial" w:cs="Arial" w:eastAsia="Arial" w:hAnsi="Arial"/>
                <w:sz w:val="18"/>
                <w:szCs w:val="18"/>
                <w:color w:val="auto"/>
              </w:rPr>
              <w:t>409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106</w:t>
            </w:r>
          </w:p>
        </w:tc>
        <w:tc>
          <w:tcPr>
            <w:tcW w:w="1100" w:type="dxa"/>
            <w:vAlign w:val="bottom"/>
            <w:gridSpan w:val="2"/>
          </w:tcPr>
          <w:p>
            <w:pPr>
              <w:jc w:val="right"/>
              <w:ind w:right="90"/>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827</w:t>
            </w: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223</w:t>
            </w:r>
          </w:p>
        </w:tc>
        <w:tc>
          <w:tcPr>
            <w:tcW w:w="1120" w:type="dxa"/>
            <w:vAlign w:val="bottom"/>
            <w:gridSpan w:val="4"/>
          </w:tcPr>
          <w:p>
            <w:pPr>
              <w:jc w:val="right"/>
              <w:ind w:right="6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Gains on investments and other assets</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161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72</w:t>
            </w:r>
          </w:p>
        </w:tc>
        <w:tc>
          <w:tcPr>
            <w:tcW w:w="11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161</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391</w:t>
            </w:r>
          </w:p>
        </w:tc>
        <w:tc>
          <w:tcPr>
            <w:tcW w:w="1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7"/>
        </w:trPr>
        <w:tc>
          <w:tcPr>
            <w:tcW w:w="4680" w:type="dxa"/>
            <w:vAlign w:val="bottom"/>
          </w:tcPr>
          <w:p>
            <w:pPr>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0"/>
                <w:szCs w:val="20"/>
                <w:color w:val="auto"/>
              </w:rPr>
            </w:pPr>
          </w:p>
        </w:tc>
        <w:tc>
          <w:tcPr>
            <w:tcW w:w="820" w:type="dxa"/>
            <w:vAlign w:val="bottom"/>
            <w:gridSpan w:val="2"/>
          </w:tcPr>
          <w:p>
            <w:pPr>
              <w:jc w:val="right"/>
              <w:ind w:right="121"/>
              <w:spacing w:after="0"/>
              <w:rPr>
                <w:sz w:val="20"/>
                <w:szCs w:val="20"/>
                <w:color w:val="auto"/>
              </w:rPr>
            </w:pPr>
            <w:r>
              <w:rPr>
                <w:rFonts w:ascii="Arial" w:cs="Arial" w:eastAsia="Arial" w:hAnsi="Arial"/>
                <w:sz w:val="18"/>
                <w:szCs w:val="18"/>
                <w:color w:val="auto"/>
              </w:rPr>
              <w:t>336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4,901</w:t>
            </w:r>
          </w:p>
        </w:tc>
        <w:tc>
          <w:tcPr>
            <w:tcW w:w="1100" w:type="dxa"/>
            <w:vAlign w:val="bottom"/>
            <w:gridSpan w:val="2"/>
          </w:tcPr>
          <w:p>
            <w:pPr>
              <w:jc w:val="right"/>
              <w:ind w:right="3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860</w:t>
            </w:r>
          </w:p>
        </w:tc>
        <w:tc>
          <w:tcPr>
            <w:tcW w:w="14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9,581</w:t>
            </w: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9"/>
        </w:trPr>
        <w:tc>
          <w:tcPr>
            <w:tcW w:w="4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26,963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47,110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2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1"/>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53,850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100,570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18"/>
                <w:szCs w:val="18"/>
                <w:color w:val="auto"/>
              </w:rPr>
              <w:t>Earnings before income taxes</w:t>
            </w: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jc w:val="right"/>
              <w:ind w:right="181"/>
              <w:spacing w:after="0"/>
              <w:rPr>
                <w:sz w:val="20"/>
                <w:szCs w:val="20"/>
                <w:color w:val="auto"/>
              </w:rPr>
            </w:pPr>
            <w:r>
              <w:rPr>
                <w:rFonts w:ascii="Arial" w:cs="Arial" w:eastAsia="Arial" w:hAnsi="Arial"/>
                <w:sz w:val="16"/>
                <w:szCs w:val="16"/>
                <w:color w:val="auto"/>
                <w:w w:val="74"/>
              </w:rPr>
              <w:t>)</w:t>
            </w:r>
          </w:p>
        </w:tc>
        <w:tc>
          <w:tcPr>
            <w:tcW w:w="78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jc w:val="right"/>
              <w:ind w:right="30"/>
              <w:spacing w:after="0"/>
              <w:rPr>
                <w:sz w:val="20"/>
                <w:szCs w:val="20"/>
                <w:color w:val="auto"/>
              </w:rPr>
            </w:pPr>
            <w:r>
              <w:rPr>
                <w:rFonts w:ascii="Arial" w:cs="Arial" w:eastAsia="Arial" w:hAnsi="Arial"/>
                <w:sz w:val="18"/>
                <w:szCs w:val="18"/>
                <w:color w:val="auto"/>
                <w:w w:val="81"/>
              </w:rPr>
              <w:t>)%</w:t>
            </w:r>
          </w:p>
        </w:tc>
        <w:tc>
          <w:tcPr>
            <w:tcW w:w="10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jc w:val="right"/>
              <w:ind w:right="18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line="20" w:lineRule="exact"/>
              <w:rPr>
                <w:sz w:val="1"/>
                <w:szCs w:val="1"/>
                <w:color w:val="auto"/>
              </w:rPr>
            </w:pPr>
          </w:p>
        </w:tc>
      </w:tr>
      <w:tr>
        <w:trPr>
          <w:trHeight w:val="197"/>
        </w:trPr>
        <w:tc>
          <w:tcPr>
            <w:tcW w:w="4680" w:type="dxa"/>
            <w:vAlign w:val="bottom"/>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(3,837</w:t>
            </w:r>
          </w:p>
        </w:tc>
        <w:tc>
          <w:tcPr>
            <w:tcW w:w="20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(688</w:t>
            </w:r>
          </w:p>
        </w:tc>
        <w:tc>
          <w:tcPr>
            <w:tcW w:w="320" w:type="dxa"/>
            <w:vAlign w:val="bottom"/>
            <w:vMerge w:val="continue"/>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(458</w:t>
            </w:r>
          </w:p>
        </w:tc>
        <w:tc>
          <w:tcPr>
            <w:tcW w:w="32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(7,720</w:t>
            </w:r>
          </w:p>
        </w:tc>
        <w:tc>
          <w:tcPr>
            <w:tcW w:w="320" w:type="dxa"/>
            <w:vAlign w:val="bottom"/>
            <w:vMerge w:val="continue"/>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919</w:t>
            </w:r>
          </w:p>
        </w:tc>
        <w:tc>
          <w:tcPr>
            <w:tcW w:w="18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(940</w:t>
            </w:r>
          </w:p>
        </w:tc>
        <w:tc>
          <w:tcPr>
            <w:tcW w:w="2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Included in other revenues is service fee income. Profitability for the six month period ended June 30, 2023 decreased due to (a) a $39,571,000 decrease in secondary gains from investors, (b) a $8,721,000 decrease in other revenues, (c) a $4,504,000 decrease in income from loan originations, (d) a $274,000 increase in rent and rent related expenses, (e) a $230,000 decrease in gains on investments and other assets, and (f) a $167,000 increase in intersegment interest expense and other expenses, which were partially offset by (i) a $18,025,000 decrease in commissions, (ii) a $9,849,000 decrease in personnel expenses, (iii) a $7,503,000 decrease in other expenses, (iv) a $5,603,000 increase in the fair value of loans held for sale, (v) a $1,200,000 decrease in costs related to funding mortgage loans, (v) a $1,177,000 decrease in interest expense, (vi) a $661,000 decrease in advertising expenses, (vii) a $604,000 increase in net investment income, (viii) a $107,000 increase in intersegment revenues, and (ix) a $99,000 increase in the fair value of loan commitments.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period ended June 30, 2023, Compared to Three month period ended June 30, 2022</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Total revenues decreased by $11,721,000, or 12.3%, to $83,846,000 for the three month period ended June 30, 2023, from $95,567,000 for the comparable period in 2022. Contributing to this decrease in total revenues was a $15,952,000 decrease in mortgage fee income, a $4,520,000 decrease in other revenues, and an $82,000 decrease in net mortuary and cemetery sales, which were partially offset by a $4,201,000 increase in net investment income, a $1,731,000 increase in gains on investments and other assets, and a $2,901,000 increase in insurance premiums and other considerations.</w:t>
      </w:r>
    </w:p>
    <w:p>
      <w:pPr>
        <w:spacing w:after="0" w:line="15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Mortgage fee income decreased by $15,952,000, or 38.0%, to $26,079,000, for the three month period ended June 30, 2023, from $42,031,000 for the comparable period in 2022. This decrease was primarily due to a $17,863,000 decrease in secondary gains from mortgage loans sold to third-party investors into the secondary market due to the decline in origination activity because of increasing interest rates, and a $2,247,000 decrease in loan fees and interest income net of a decrease in the provision for loan loss reserve, which were partially offset by a $2,096,000 increase in the fair value of loan commitments and a $2,062,000 increase in the fair value of loans held for sale.</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Insurance premiums and other considerations increased by $2,901,000, or 11.2%, to $28,813,000 for the three month period ended June 30, 2023, from $25,912,000 for the comparable period in 2022. This increase was primarily due to an increase of $2,829,000 in first year premiums and an increase of $72,000 in renewal premiums.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3" w:name="page64"/>
    <w:bookmarkEnd w:id="63"/>
    <w:p>
      <w:pPr>
        <w:jc w:val="both"/>
        <w:spacing w:after="0" w:line="257" w:lineRule="auto"/>
        <w:rPr>
          <w:sz w:val="20"/>
          <w:szCs w:val="20"/>
          <w:color w:val="auto"/>
        </w:rPr>
      </w:pPr>
      <w:r>
        <w:rPr>
          <w:rFonts w:ascii="Arial" w:cs="Arial" w:eastAsia="Arial" w:hAnsi="Arial"/>
          <w:sz w:val="18"/>
          <w:szCs w:val="18"/>
          <w:color w:val="auto"/>
        </w:rPr>
        <w:t>Net investment income increased by $4,201,000, or 26.3%, to $20,172,000 for the three month period ended June 30, 2023, from $15,971,000 for the comparable period in 2022. This increase was primarily attributable to a $1,332,000 increase in fixed maturity securities income, an $885,000 increase in real estate income, a $672,000 increase in interest on cash and cash equivalents, a $585,000 decrease in investment expenses, a $368,000 increase in insurance assignment income, a $223,000 increase in mortgage loan interest, a $115,000 increase in other investment income, and a $21,000 increase in equity securities income.</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mortuary and cemetery sales decreased by $82,000, or 1.1%, to $7,169,000 for the three month period ended June 30, 2023, from $7,250,000 for the comparable period in 2022. This decrease was primarily due to a $617,000 decrease in cemetery at-need sales, which were partially offset by a $517,000 increase in cemetery pre-need sales and an $18,000 increase in mortuary at-need sales.</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Gains on investments and other assets increased by $1,731,000, or 189.3%, to $817,000 in net gains for the three month period ended June 30, 2023, from $914,000 in net losses for the comparable period in 2022. This increase in gains on investments and other assets was primarily due to a $2,597,000 increase in gains on equity securities mostly attributable to increases in the fair value of these equity, which were partially offset by securities a $558,000 decrease in gains on other assets, a $199,000 decrease in gains on fixed maturity securities, and a $109,000 decrease in gains on real estate.</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revenues decreased by $4,520,000, or 85.0%, to $797,000 for the three month period ended June 30, 2023, from $5,316,000 for the comparable period in 2022. This decrease was primarily attributable to a decrease in servicing fee revenue as a result of the sale of certain mortgage servicing rights in October 2022.</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Total benefits and expenses were $75,697,000, or 90.3% of total revenues, for the three month period ended June 30, 2023, as compared to $90,837,000, or 95.1% of total revenues, for the comparable period in 2022.</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Death benefits, surrenders and other policy benefits, and future policy benefits increased by an aggregate of $2,313,000 or 10.2%, to $24,906,000 for the three month period ended June 30, 2023, from $22,593,000 for the comparable period in 2022. This increase was primarily the result of a $1,899,000 increase in future policy benefits and a $616,000 increase in death benefits, which were partially offset by a $203,000 decrease in surrender and other policy benefits.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Amortization of deferred policy and pre-need acquisition costs and value of business acquired increased by $198,000, or 4.9%, to $4,251,000 for the three month period ended June 30, 2023, from $4,053,000 for the comparable period in 2022. This increase was primarily due to an increase in the average outstanding balance of deferred policy and pre-need acquisition costs.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Selling, general and administrative expenses decreased by $17,174,000, or 28.1%, to $43,873,000 for the three month period ended June 30, 2023, from $61,047,000 for the comparable period in 2022. This decrease was primarily the result of a $7,661,000 decrease in commissions, a $4,997,000 decrease in personnel expenses, a $3,771,000 decrease in other expenses, a $630,000 decrease in advertising expense, a $203,000 decrease in costs related to funding mortgage loans, and a $41,000 decrease in depreciation on property and equipment, which were partially offset by a $129,000 increase in rent and rent related expenses.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expense decreased by $485,000, or 25.5%, to $1,415,000 for the three month period ended June 30, 2023, from $1,900,000 for the comparable period in 2022. This decrease was primarily due to a decrease of $776,000 in interest expense on mortgage warehouse lines for loans held for sale, which was partially offset by an increase of $291,000 in interest expense on bank loans.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 period ended June 30, 2023, Compared to Six month period ended June 30, 2022</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Total revenues decreased by $34,646,000, or 17.5%, to $163,347,000 for the six month period ended June 30, 2023, from $197,993,000 for the comparable period in 2022. Contributing to this decrease in total revenues was a $38,308,000 decrease in mortgage fee income, a $8,500,000 decrease in other revenues, and an $816,000 decrease in net mortuary and cemetery sales, which were partially offset by a $6,781,000 increase in net investment income, a $4,527,000 increase in insurance premiums and other considerations, and a $1,670,000 increase in gains on investments and other assets.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4" w:name="page65"/>
    <w:bookmarkEnd w:id="64"/>
    <w:p>
      <w:pPr>
        <w:jc w:val="both"/>
        <w:spacing w:after="0" w:line="257" w:lineRule="auto"/>
        <w:rPr>
          <w:sz w:val="20"/>
          <w:szCs w:val="20"/>
          <w:color w:val="auto"/>
        </w:rPr>
      </w:pPr>
      <w:r>
        <w:rPr>
          <w:rFonts w:ascii="Arial" w:cs="Arial" w:eastAsia="Arial" w:hAnsi="Arial"/>
          <w:sz w:val="18"/>
          <w:szCs w:val="18"/>
          <w:color w:val="auto"/>
        </w:rPr>
        <w:t>Mortgage fee income decreased by $38,308,000, or 42.4%, to $52,068,000, for the six month period ended June 30, 2023, from $90,375,000 for the comparable period in 2022. This decrease was primarily due to a $39,504,000 decrease in secondary gains from mortgage loans sold to third-party investors into the secondary market due to the decline in origination activity because of increasing interest rates and a $4,505,000 decrease in loan fees and interest income net of a decrease in the provision for loan loss reserve, which were partially offset by a $5,603,000 increase in the fair value of loans held for sale and a $98,000 increase in the fair value of loan commitments.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Insurance premiums and other considerations increased by $4,527,000, or 8.7%, to $56,781,000 for the six month period ended June 30, 2023, from $52,254,000 for the comparable period in 2022. This increase was primarily due to an increase of $4,018,000 in first year premiums and an increase of $509,000 in renewal premiums.</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Net investment income increased by $6,781,000, or 21.8%, to $37,947,000 for the six month period ended June 30, 2023, from $31,165,000 for the comparable period in 2022. This increase was primarily attributable to a $2,709,000 increase in fixed maturity securities income, a $1,384,000 increase in interest on cash and cash equivalents, a $1,210,000 increase in real estate income, an $883,000 decrease in investment expenses, a $750,000 increase in mortgage loan interest, a $173,000 increase in income from other investments, and a $39,000 increase in equity securities income, which were partially offset by a $261,000 decrease in insurance assignment income and a $106,000 decrease in policy loan income.</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mortuary and cemetery sales decreased by $816,000, or 5.6%, to $13,640,000 for the six month period ended June 30, 2023, from $14,456,000 for the comparable period in 2022. This decrease was primarily due to an $839,000 decrease in cemetery at-need sales and a $472,000 decrease in mortuary at-need sales, which were partially offset by a $495,000 increase in cemetery pre-need sales.</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Gains on investments and other assets increased by $1,670,000, or 225.00%, to $928,000 in gains for the six month period ended June 30, 2023, from $742,000 in losses for the comparable period in 2022. This increase in gains on investments and other assets was primarily due to a $3,493,000 increase in gains on equity securities mostly attributable to increases in the fair value of these equity securities, which were partially offset by a $980,000 decrease in gains on real estate, a $464,000 decrease in gains on fixed maturity securities, and $379,000 decrease in gains on other assets.</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revenues decreased by $8,500,000, or 81.1%, to $1,984,000 for the six month period ended June 30, 2023, from $10,484,000 for the comparable period in 2022. This decrease was primarily attributable to a decrease in servicing fee revenue as a result of the sale of certain mortgage servicing rights in October 2022.</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benefits and expenses were $153,613,000, or 94.0% of total revenues, for the six month period ended June 30, 2023, as compared to $188,819,000, or 95.4% of total revenues, for the comparable period in 2022.</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Death benefits, surrenders and other policy benefits, and future policy benefits increased by an aggregate of $3,200,000 or 6.7%, to $50,772,000 for the six month period ended June 30, 2023, from $47,572,000 for the comparable period in 2022. This increase was primarily the result of a $3,183,000 increase in future policy benefits and a $410,000 increase in death benefits, which was partially offset by a $393,000 decrease in surrender and other policy benefits.</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Amortization of deferred policy and pre-need acquisition costs and value of business acquired increased by $685,000, or 8.1%, to $9,135,000 for the six month period ended June 30, 2023, from $8,450,000 for the comparable period in 2022. This increase was primarily due to an increase in the average outstanding balance of deferred policy and pre-need acquisition costs.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Selling, general and administrative expenses decreased by $38,341,000, or 30.3%, to $88,401,000 for the six month period ended June 30, 2023, from $126,742,000 for the comparable period in 2022. This decrease was primarily the result of a $17,890,000 decrease in commissions, a $9,909,000 decrease in personnel expenses, a $8,082,000 decrease in other expenses, a $1,438,000 decrease in advertising expense, a $1,200,000 decrease in costs related to funding mortgage loans, and a $68,000 decrease in depreciation on property and equipment, which were partially offset by a $246,000 increase in rent and rent related expenses.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5" w:name="page66"/>
    <w:bookmarkEnd w:id="65"/>
    <w:p>
      <w:pPr>
        <w:jc w:val="both"/>
        <w:spacing w:after="0" w:line="263" w:lineRule="auto"/>
        <w:rPr>
          <w:sz w:val="20"/>
          <w:szCs w:val="20"/>
          <w:color w:val="auto"/>
        </w:rPr>
      </w:pPr>
      <w:r>
        <w:rPr>
          <w:rFonts w:ascii="Arial" w:cs="Arial" w:eastAsia="Arial" w:hAnsi="Arial"/>
          <w:sz w:val="18"/>
          <w:szCs w:val="18"/>
          <w:color w:val="auto"/>
        </w:rPr>
        <w:t>Interest expense decreased by $759,000, or 20.9%, to $2,868,000 for the six month period ended June 30, 2023, from $3,627,000 for the comparable period in 2022. This decrease was primarily due to a decrease of $1,177,000 in interest expense on mortgage warehouse lines for loans held for sale, which was partially offset by an increase of $418,000 in interest expense on bank loans.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Company’s life insurance subsidiaries and cemetery and mortuary subsidiaries realize cash flow from premiums, contract payments and sales on personal services rendered for cemetery and mortuary business, from interest and dividends on invested assets, and from the proceeds from the sale or maturity of investments. The mortgage subsidiaries realize cash flow from fees generated by originating and refinancing mortgage loans and fees from mortgage loans held for sale that are sold to investors into the secondary market. It should be noted that current conditions in the financial markets and economy may affect the realization of these expected cash flows. The Company considers these sources of cash flow to be adequate to fund future policyholder and cemetery and mortuary liabilities, which generally are long-term, and adequate to pay current policyholder claims, annuity payments, expenses related to the issuance of new policies, the maintenance of existing policies, debt service, and to meet current operating expenses. As of June 30, 2023, the Company was not in compliance with the net income covenant and has received or is in the process of receiving waivers from the warehouse banks. In the unlikely event the Company is required to repay the outstanding advances of approximately $7,100,000 on the warehouse line that has not provided a covenant waiver, the Company has sufficient cash and borrowing capacity on the warehouse lines that have provided covenant waivers to fund its origination activities. The Company has done an internal analysis of its funding capacities of both internal and external sources and has determined that there are sufficient funds to continue its business model. The Company continues to negotiate other warehouse lines with other lenders.</w:t>
      </w:r>
    </w:p>
    <w:p>
      <w:pPr>
        <w:spacing w:after="0" w:line="16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six month periods ended June 30, 2023 and 2022, the Company’s operations provided cash of $2,181,000 and $97,639,000, respectively. The decrease in cash provided by operations was due primarily to decreased proceeds from the sale of mortgage loans held for sale.</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liability for future policy benefits is expected to be paid out over the long-term due to the Company’s market niche of selling funeral plans. Funeral plans are small face value life insurance policies that payout upon a person’s death to cover funeral burial costs. Policyholders generally keep these policies in force and do not surrender them prior to death. Because of the long-term nature of these liabilities, the Company is able to hold to maturity its bonds, real estate, and mortgage loans thus reducing the risk of liquidating these long-term investments as a result of any sudden changes in their fair values.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attempts to match the duration of invested assets with its policyholder and cemetery and mortuary liabilities. The Company may sell investments other than those held to maturity in the portfolio to help in this timing matching. The Company purchases short-term investments on a temporary basis to meet the expectations of short-term requirements of the Company’s products. The Company’s investment philosophy is intended to provide a rate of return, which will persist during the expected duration of policyholder and cemetery and mortuary liabilities regardless of future interest rate movements.</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Company’s investment policy is also to invest predominantly in fixed maturity securities, real estate, mortgage loans, and warehousing of mortgage loans held for sale on a short-term basis before selling the loans to investors in accordance with the requirements and laws governing the life insurance subsidiaries. Bonds owned by the insurance subsidiaries amounted to $340,331,000 (at estimated fair value) and $345,598,000 (at estimated fair value) as of June 30, 2023 and December 31, 2022, respectively. This represented 38.0% and 36.4% of the total investments as of June 30, 2023, and December 31, 2022, respectively. Generally, all bonds owned by the life insurance subsidiaries are rated by the National Association of Insurance Commissioners. Under this rating system, there are six categories used for rating bonds. At June 30, 2023, 2.0% (or $6,932,000) and at December 31, 2022, 2.2% (or $7,833,000) of the Company’s total bond investments were invested in bonds in rating categories three through six, which are considered non-investment grade.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6" w:name="page67"/>
    <w:bookmarkEnd w:id="66"/>
    <w:p>
      <w:pPr>
        <w:jc w:val="both"/>
        <w:spacing w:after="0" w:line="263" w:lineRule="auto"/>
        <w:rPr>
          <w:sz w:val="20"/>
          <w:szCs w:val="20"/>
          <w:color w:val="auto"/>
        </w:rPr>
      </w:pPr>
      <w:r>
        <w:rPr>
          <w:rFonts w:ascii="Arial" w:cs="Arial" w:eastAsia="Arial" w:hAnsi="Arial"/>
          <w:sz w:val="18"/>
          <w:szCs w:val="18"/>
          <w:color w:val="auto"/>
        </w:rPr>
        <w:t>The Company is subject to risk-based capital guidelines established by statutory regulators requiring minimum capital levels based on the perceived risk of assets, liabilities, disintermediation, and business risk. At June 30, 2023 and December 31, 2022, the life insurance subsidiaries were in compliance with the regulatory criteria.</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total capitalization of stockholders’ equity, bank and other loans payable was $402,064,000 as of June 30, 2023, as compared to $454,499,000 as of December 31, 2022. Stockholders’ equity as a percent of total capitalization was 74.3% and 64.4% as of June 30, 2023, and December 31, 2022, respectively. Bank loans and other loans payable decreased by $58,411,000 as of June 30, 2023, as compared to December 31, 2022, which was partially offset by an increase in stockholders’ equity of $5,976,000 as of June 30, 2023 as compared to December 31, 2022, thus causing the increase in the stockholders’ equity percentage.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Lapse rates measure the amount of insurance terminated during a particular period. The Company’s lapse rate for life insurance in 2022 was 4.3% as compared to a rate of 4.8% for 2021. The 2023 lapse rate to date has been approximately the same as 2022.</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combined statutory capital and surplus of the Company’s life insurance subsidiaries was $99,865,000 and $94,254,000 as of June 30, 2023, and December 31, 2022, respectively. The life insurance subsidiaries cannot pay a dividend to their parent company without the approval of state insurance regulatory authorities.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Banking Environment</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On March 10, 2023 and March 12, 2023, Silicon Valley Bank and Signature Bank were placed in receivership with the Federal Deposit Insurance Corporation (“FDIC”). Normal banking activities resumed shortly thereafter. On May 1, 2023, First Republic bank was placed in receivership with the FDIC and was immediately purchased by a national bank.</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does not maintain any deposit or other accounts or credit facilities with Silicon Valley Bank, Signature Bank or First Republic Bank. The Company may periodically transfer funds to these banks to pay for services rendered by third party vendors that continue to maintain banking relationships with these banks. The Company continues to monitor the banking industry and its relationships with regional and community banks.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the Company is not required to provide information typically disclosed under this item.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Disclosure Controls and Procedures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June 30, 2023, the Company carried out an evaluation under the supervision and with the participation of its Chief Executive Officer (CEO) and Chief Financial Officer (CFO), of the effectiveness of the Company’s disclosure controls and procedures (as defined in Rules 13a-15(e) and 15d-15(e) under the Securities Exchange Act of 1934, as amended (the “Exchange Act”). The Company’s disclosure controls and procedures are designed to ensure that information required to be disclosed in the Securities and Exchange Commission (SEC) reports that the Company files or submits under the Exchange Act is recorded, processed, summarized and reported within the time period specified by the SEC’s rules and forms and that such information is accumulated and communicated to management, including the Company’s CEO and CFO, as appropriate, to allow timely decisions regarding required disclosure. The executive officers have concluded that the Company’s disclosure controls and procedures were effective as of June 30, 2023, and that the unaudited condensed consolidated financial statements included in this Quarterly Report on Form 10-Q fairly present, in all material respects, the Company’s financial condition, results of operations, and cash flows for the periods presented in conformity with United States Generally Accepted Accounting Principles (GAAP).</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have not been any significant changes in the Company’s internal control over financial reporting during the most recently completed fiscal quarter that have materially affected, or are reasonably likely to materially affect, the Company’s internal control over financial reporting.</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r>
        <w:rPr>
          <w:rFonts w:ascii="Arial" w:cs="Arial" w:eastAsia="Arial" w:hAnsi="Arial"/>
          <w:sz w:val="18"/>
          <w:szCs w:val="18"/>
          <w:color w:val="auto"/>
        </w:rPr>
        <w:t>.</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is not a party to any material legal proceedings outside the ordinary course of business or to any other legal proceedings, which if adversely determined, would be expected to have a material adverse effect on its financial condition or results of operation.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the Company is not required to provide information typically disclosed under this item.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 and Use of Proceeds from Registered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December 27, 2022, the Company executed a 10b5-1 agreement with a broker to repurchase shares of the Company’s Class A Common Stock. Under the terms of the agreement, the broker is permitted to repurchase up to 1,000,000 shares of the Company’s Class A Common Stock. The agreement is subject to the daily time, price and volume conditions of Rule 10b-18. The initial term of the agreement is for one year.</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Company’s repurchase activity during the three month period ended June 30, 2023 under the 10b5-1 agreement.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 Maximum</w:t>
            </w: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Number (or</w:t>
            </w: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Approximate</w:t>
            </w: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(c) Total Number</w:t>
            </w: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Dollar Value) of</w:t>
            </w: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of Class A Shares</w:t>
            </w: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Class A Shares</w:t>
            </w: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Purchased as Part</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that May Yet Be</w:t>
            </w: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(a) Total Number</w:t>
            </w:r>
          </w:p>
        </w:tc>
        <w:tc>
          <w:tcPr>
            <w:tcW w:w="1700" w:type="dxa"/>
            <w:vAlign w:val="bottom"/>
            <w:gridSpan w:val="3"/>
          </w:tcPr>
          <w:p>
            <w:pPr>
              <w:jc w:val="center"/>
              <w:ind w:right="320"/>
              <w:spacing w:after="0"/>
              <w:rPr>
                <w:sz w:val="20"/>
                <w:szCs w:val="20"/>
                <w:color w:val="auto"/>
              </w:rPr>
            </w:pPr>
            <w:r>
              <w:rPr>
                <w:rFonts w:ascii="Arial" w:cs="Arial" w:eastAsia="Arial" w:hAnsi="Arial"/>
                <w:sz w:val="18"/>
                <w:szCs w:val="18"/>
                <w:color w:val="auto"/>
                <w:w w:val="89"/>
              </w:rPr>
              <w:t>(b) Average Price</w:t>
            </w: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color w:val="auto"/>
                <w:w w:val="97"/>
              </w:rPr>
              <w:t>of Publicly</w:t>
            </w: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Purchased Under</w:t>
            </w: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of Class A Shares</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Paid per Class A</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Announced Plan</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the Plan or</w:t>
            </w:r>
          </w:p>
        </w:tc>
      </w:tr>
      <w:tr>
        <w:trPr>
          <w:trHeight w:val="237"/>
        </w:trPr>
        <w:tc>
          <w:tcPr>
            <w:tcW w:w="4740" w:type="dxa"/>
            <w:vAlign w:val="bottom"/>
            <w:gridSpan w:val="2"/>
          </w:tcPr>
          <w:p>
            <w:pPr>
              <w:ind w:left="2020"/>
              <w:spacing w:after="0"/>
              <w:rPr>
                <w:sz w:val="20"/>
                <w:szCs w:val="20"/>
                <w:color w:val="auto"/>
              </w:rPr>
            </w:pPr>
            <w:r>
              <w:rPr>
                <w:rFonts w:ascii="Arial" w:cs="Arial" w:eastAsia="Arial" w:hAnsi="Arial"/>
                <w:sz w:val="18"/>
                <w:szCs w:val="18"/>
                <w:color w:val="auto"/>
              </w:rPr>
              <w:t>Period</w:t>
            </w:r>
          </w:p>
        </w:tc>
        <w:tc>
          <w:tcPr>
            <w:tcW w:w="1700" w:type="dxa"/>
            <w:vAlign w:val="bottom"/>
            <w:gridSpan w:val="2"/>
          </w:tcPr>
          <w:p>
            <w:pPr>
              <w:jc w:val="center"/>
              <w:ind w:right="360"/>
              <w:spacing w:after="0"/>
              <w:rPr>
                <w:sz w:val="20"/>
                <w:szCs w:val="20"/>
                <w:color w:val="auto"/>
              </w:rPr>
            </w:pPr>
            <w:r>
              <w:rPr>
                <w:rFonts w:ascii="Arial" w:cs="Arial" w:eastAsia="Arial" w:hAnsi="Arial"/>
                <w:sz w:val="18"/>
                <w:szCs w:val="18"/>
                <w:color w:val="auto"/>
                <w:w w:val="85"/>
              </w:rPr>
              <w:t>Purchased</w:t>
            </w:r>
          </w:p>
        </w:tc>
        <w:tc>
          <w:tcPr>
            <w:tcW w:w="1300" w:type="dxa"/>
            <w:vAlign w:val="bottom"/>
          </w:tcPr>
          <w:p>
            <w:pPr>
              <w:jc w:val="center"/>
              <w:spacing w:after="0"/>
              <w:rPr>
                <w:sz w:val="20"/>
                <w:szCs w:val="20"/>
                <w:color w:val="auto"/>
              </w:rPr>
            </w:pPr>
            <w:r>
              <w:rPr>
                <w:rFonts w:ascii="Arial" w:cs="Arial" w:eastAsia="Arial" w:hAnsi="Arial"/>
                <w:sz w:val="18"/>
                <w:szCs w:val="18"/>
                <w:color w:val="auto"/>
                <w:w w:val="87"/>
              </w:rPr>
              <w:t>Share (1)</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or Program</w:t>
            </w: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Program (2)</w:t>
            </w:r>
          </w:p>
        </w:tc>
      </w:tr>
      <w:tr>
        <w:trPr>
          <w:trHeight w:val="216"/>
        </w:trPr>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4/1/2023-4/30/2023</w:t>
            </w:r>
          </w:p>
        </w:tc>
        <w:tc>
          <w:tcPr>
            <w:tcW w:w="2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111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318,043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5/1/2023-5/31/2023</w:t>
            </w:r>
          </w:p>
        </w:tc>
        <w:tc>
          <w:tcPr>
            <w:tcW w:w="240" w:type="dxa"/>
            <w:vAlign w:val="bottom"/>
          </w:tcPr>
          <w:p>
            <w:pPr>
              <w:spacing w:after="0"/>
              <w:rPr>
                <w:sz w:val="18"/>
                <w:szCs w:val="18"/>
                <w:color w:val="auto"/>
              </w:rPr>
            </w:pP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18"/>
                <w:szCs w:val="18"/>
                <w:color w:val="auto"/>
              </w:rPr>
            </w:pPr>
          </w:p>
        </w:tc>
        <w:tc>
          <w:tcPr>
            <w:tcW w:w="40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318,043</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6/1/2023-6/30/2023</w:t>
            </w:r>
          </w:p>
        </w:tc>
        <w:tc>
          <w:tcPr>
            <w:tcW w:w="2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w:t>
            </w: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318,043</w:t>
            </w:r>
          </w:p>
        </w:tc>
      </w:tr>
      <w:tr>
        <w:trPr>
          <w:trHeight w:val="236"/>
        </w:trPr>
        <w:tc>
          <w:tcPr>
            <w:tcW w:w="450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r>
      <w:tr>
        <w:trPr>
          <w:trHeight w:val="229"/>
        </w:trPr>
        <w:tc>
          <w:tcPr>
            <w:tcW w:w="4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110"/>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318,043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4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Includes fees and commissions paid on stock repurchases.</w:t>
      </w:r>
    </w:p>
    <w:p>
      <w:pPr>
        <w:spacing w:after="0" w:line="23"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In September 2018, the Board of Directors of the Company approved a Stock Repurchase Plan that authorized the repurchase of 300,000 shares of the Company’s Class A Common Stock in the open market. The Company amended the Stock Repurchase Plan on December 4, 2020. The amendment authorized the repurchase of a total of 1,000,000 shares of the Company’s Class A Common Stock in the open market. Any repurchased shares of Class A common stock are to be held as treasury shares to be used as the Company’s employer matching contribution to the Employee 401(k) Retirement Savings Plan and for shares held in the Deferred Compensation Plan.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During the three-month period ended June 30, 2023, none of the Company’s directors or officers adopted or terminated a “Rule 10b5-1 trading arrangement” or “non-Rule 10b5-1 trading arrangement,” as those terms are defined in Regulation S-K, Item 408.</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Item 6. Exhibits, Financial Statements Schedules and Reports on Form 8-K.</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8"/>
          <w:szCs w:val="18"/>
          <w:u w:val="single" w:color="auto"/>
          <w:color w:val="auto"/>
        </w:rPr>
        <w:t>Financial Statements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“Table of Contents – Part I – Financial Information” under page 2 above</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8"/>
          <w:szCs w:val="18"/>
          <w:u w:val="single" w:color="auto"/>
          <w:color w:val="auto"/>
        </w:rPr>
        <w:t>Financial Statement Schedules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All other schedules to the consolidated financial statements required by Article 7 of Regulation S-X are not required under the related instructions or are inapplicable and therefore have been omitted.</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(a)(3)</w:t>
      </w:r>
      <w:r>
        <w:rPr>
          <w:sz w:val="20"/>
          <w:szCs w:val="20"/>
          <w:color w:val="auto"/>
        </w:rPr>
        <w:tab/>
      </w:r>
      <w:r>
        <w:rPr>
          <w:rFonts w:ascii="Arial" w:cs="Arial" w:eastAsia="Arial" w:hAnsi="Arial"/>
          <w:sz w:val="18"/>
          <w:szCs w:val="18"/>
          <w:u w:val="single" w:color="auto"/>
          <w:color w:val="auto"/>
        </w:rPr>
        <w:t>Exhibits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Exhibits are filed herewith pursuant to Rule 601 of Regulation S-K or are incorporated by reference to previous filings.</w:t>
      </w:r>
    </w:p>
    <w:p>
      <w:pPr>
        <w:spacing w:after="0" w:line="225" w:lineRule="exact"/>
        <w:rPr>
          <w:sz w:val="20"/>
          <w:szCs w:val="20"/>
          <w:color w:val="auto"/>
        </w:rPr>
      </w:pPr>
    </w:p>
    <w:p>
      <w:pPr>
        <w:ind w:left="660"/>
        <w:spacing w:after="0"/>
        <w:tabs>
          <w:tab w:leader="none" w:pos="1440" w:val="left"/>
        </w:tabs>
        <w:rPr>
          <w:rFonts w:ascii="Arial" w:cs="Arial" w:eastAsia="Arial" w:hAnsi="Arial"/>
          <w:sz w:val="16"/>
          <w:szCs w:val="16"/>
          <w:u w:val="single" w:color="auto"/>
          <w:color w:val="0000EE"/>
        </w:rPr>
      </w:pPr>
      <w:r>
        <w:rPr>
          <w:rFonts w:ascii="Arial" w:cs="Arial" w:eastAsia="Arial" w:hAnsi="Arial"/>
          <w:sz w:val="18"/>
          <w:szCs w:val="18"/>
          <w:color w:val="auto"/>
        </w:rPr>
        <w:t>3.1</w:t>
      </w:r>
      <w:r>
        <w:rPr>
          <w:sz w:val="20"/>
          <w:szCs w:val="20"/>
          <w:color w:val="auto"/>
        </w:rPr>
        <w:tab/>
      </w:r>
      <w:hyperlink r:id="rId125">
        <w:r>
          <w:rPr>
            <w:rFonts w:ascii="Arial" w:cs="Arial" w:eastAsia="Arial" w:hAnsi="Arial"/>
            <w:sz w:val="16"/>
            <w:szCs w:val="16"/>
            <w:u w:val="single" w:color="auto"/>
            <w:color w:val="0000EE"/>
          </w:rPr>
          <w:t>Amended and Restated Articles of Incorporation (4)</w:t>
        </w:r>
      </w:hyperlink>
    </w:p>
    <w:p>
      <w:pPr>
        <w:spacing w:after="0" w:line="23" w:lineRule="exact"/>
        <w:rPr>
          <w:sz w:val="20"/>
          <w:szCs w:val="20"/>
          <w:color w:val="auto"/>
        </w:rPr>
      </w:pPr>
    </w:p>
    <w:p>
      <w:pPr>
        <w:ind w:left="660"/>
        <w:spacing w:after="0"/>
        <w:tabs>
          <w:tab w:leader="none" w:pos="1440" w:val="left"/>
        </w:tabs>
        <w:rPr>
          <w:rFonts w:ascii="Arial" w:cs="Arial" w:eastAsia="Arial" w:hAnsi="Arial"/>
          <w:sz w:val="16"/>
          <w:szCs w:val="16"/>
          <w:u w:val="single" w:color="auto"/>
          <w:color w:val="0000EE"/>
        </w:rPr>
      </w:pPr>
      <w:r>
        <w:rPr>
          <w:rFonts w:ascii="Arial" w:cs="Arial" w:eastAsia="Arial" w:hAnsi="Arial"/>
          <w:sz w:val="18"/>
          <w:szCs w:val="18"/>
          <w:color w:val="auto"/>
        </w:rPr>
        <w:t>3.2</w:t>
      </w:r>
      <w:r>
        <w:rPr>
          <w:sz w:val="20"/>
          <w:szCs w:val="20"/>
          <w:color w:val="auto"/>
        </w:rPr>
        <w:tab/>
      </w:r>
      <w:hyperlink r:id="rId126">
        <w:r>
          <w:rPr>
            <w:rFonts w:ascii="Arial" w:cs="Arial" w:eastAsia="Arial" w:hAnsi="Arial"/>
            <w:sz w:val="16"/>
            <w:szCs w:val="16"/>
            <w:u w:val="single" w:color="auto"/>
            <w:color w:val="0000EE"/>
          </w:rPr>
          <w:t>Amended and Restated Bylaws (6)</w:t>
        </w:r>
      </w:hyperlink>
    </w:p>
    <w:p>
      <w:pPr>
        <w:spacing w:after="0" w:line="9"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Specimen Class A Stock Certificate (1)</w:t>
      </w:r>
    </w:p>
    <w:p>
      <w:pPr>
        <w:spacing w:after="0" w:line="9"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Specimen Class C Stock Certificate (1)</w:t>
      </w:r>
    </w:p>
    <w:p>
      <w:pPr>
        <w:spacing w:after="0" w:line="9"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Specimen Preferred Stock Certificate and Certificate of Designation of Preferred Stock (1)</w:t>
      </w:r>
    </w:p>
    <w:p>
      <w:pPr>
        <w:spacing w:after="0" w:line="9"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Employee Stock Ownership Plan, as amended and restated (ESOP) and Trust Agreement (1)</w:t>
      </w:r>
    </w:p>
    <w:p>
      <w:pPr>
        <w:spacing w:after="0" w:line="9" w:lineRule="exact"/>
        <w:rPr>
          <w:sz w:val="20"/>
          <w:szCs w:val="20"/>
          <w:color w:val="auto"/>
        </w:rPr>
      </w:pPr>
    </w:p>
    <w:p>
      <w:pPr>
        <w:ind w:left="660"/>
        <w:spacing w:after="0"/>
        <w:tabs>
          <w:tab w:leader="none" w:pos="1440" w:val="left"/>
        </w:tabs>
        <w:rPr>
          <w:rFonts w:ascii="Arial" w:cs="Arial" w:eastAsia="Arial" w:hAnsi="Arial"/>
          <w:sz w:val="16"/>
          <w:szCs w:val="16"/>
          <w:u w:val="single" w:color="auto"/>
          <w:color w:val="0000EE"/>
        </w:rPr>
      </w:pPr>
      <w:r>
        <w:rPr>
          <w:rFonts w:ascii="Arial" w:cs="Arial" w:eastAsia="Arial" w:hAnsi="Arial"/>
          <w:sz w:val="18"/>
          <w:szCs w:val="18"/>
          <w:color w:val="auto"/>
        </w:rPr>
        <w:t>10.2</w:t>
      </w:r>
      <w:r>
        <w:rPr>
          <w:sz w:val="20"/>
          <w:szCs w:val="20"/>
          <w:color w:val="auto"/>
        </w:rPr>
        <w:tab/>
      </w:r>
      <w:hyperlink r:id="rId127">
        <w:r>
          <w:rPr>
            <w:rFonts w:ascii="Arial" w:cs="Arial" w:eastAsia="Arial" w:hAnsi="Arial"/>
            <w:sz w:val="16"/>
            <w:szCs w:val="16"/>
            <w:u w:val="single" w:color="auto"/>
            <w:color w:val="0000EE"/>
          </w:rPr>
          <w:t>Amended and Restated 2013 Stock Option and Other Equity Incentive Awards Plan (3)</w:t>
        </w:r>
      </w:hyperlink>
    </w:p>
    <w:p>
      <w:pPr>
        <w:spacing w:after="0" w:line="9" w:lineRule="exact"/>
        <w:rPr>
          <w:sz w:val="20"/>
          <w:szCs w:val="20"/>
          <w:color w:val="auto"/>
        </w:rPr>
      </w:pPr>
    </w:p>
    <w:p>
      <w:pPr>
        <w:ind w:left="660"/>
        <w:spacing w:after="0"/>
        <w:tabs>
          <w:tab w:leader="none" w:pos="1440" w:val="left"/>
        </w:tabs>
        <w:rPr>
          <w:rFonts w:ascii="Arial" w:cs="Arial" w:eastAsia="Arial" w:hAnsi="Arial"/>
          <w:sz w:val="16"/>
          <w:szCs w:val="16"/>
          <w:u w:val="single" w:color="auto"/>
          <w:color w:val="0000EE"/>
        </w:rPr>
      </w:pPr>
      <w:r>
        <w:rPr>
          <w:rFonts w:ascii="Arial" w:cs="Arial" w:eastAsia="Arial" w:hAnsi="Arial"/>
          <w:sz w:val="18"/>
          <w:szCs w:val="18"/>
          <w:color w:val="auto"/>
        </w:rPr>
        <w:t>10.3</w:t>
      </w:r>
      <w:r>
        <w:rPr>
          <w:sz w:val="20"/>
          <w:szCs w:val="20"/>
          <w:color w:val="auto"/>
        </w:rPr>
        <w:tab/>
      </w:r>
      <w:hyperlink r:id="rId128">
        <w:r>
          <w:rPr>
            <w:rFonts w:ascii="Arial" w:cs="Arial" w:eastAsia="Arial" w:hAnsi="Arial"/>
            <w:sz w:val="16"/>
            <w:szCs w:val="16"/>
            <w:u w:val="single" w:color="auto"/>
            <w:color w:val="0000EE"/>
          </w:rPr>
          <w:t>Amended and Restated 2014 Director Stock Option Plan (7)</w:t>
        </w:r>
      </w:hyperlink>
    </w:p>
    <w:p>
      <w:pPr>
        <w:spacing w:after="0" w:line="9" w:lineRule="exact"/>
        <w:rPr>
          <w:sz w:val="20"/>
          <w:szCs w:val="20"/>
          <w:color w:val="auto"/>
        </w:rPr>
      </w:pPr>
    </w:p>
    <w:p>
      <w:pPr>
        <w:ind w:left="660"/>
        <w:spacing w:after="0"/>
        <w:tabs>
          <w:tab w:leader="none" w:pos="1440" w:val="left"/>
        </w:tabs>
        <w:rPr>
          <w:rFonts w:ascii="Arial" w:cs="Arial" w:eastAsia="Arial" w:hAnsi="Arial"/>
          <w:sz w:val="16"/>
          <w:szCs w:val="16"/>
          <w:u w:val="single" w:color="auto"/>
          <w:color w:val="0000EE"/>
        </w:rPr>
      </w:pPr>
      <w:r>
        <w:rPr>
          <w:rFonts w:ascii="Arial" w:cs="Arial" w:eastAsia="Arial" w:hAnsi="Arial"/>
          <w:sz w:val="18"/>
          <w:szCs w:val="18"/>
          <w:color w:val="auto"/>
        </w:rPr>
        <w:t>10.4</w:t>
      </w:r>
      <w:r>
        <w:rPr>
          <w:sz w:val="20"/>
          <w:szCs w:val="20"/>
          <w:color w:val="auto"/>
        </w:rPr>
        <w:tab/>
      </w:r>
      <w:hyperlink r:id="rId129">
        <w:r>
          <w:rPr>
            <w:rFonts w:ascii="Arial" w:cs="Arial" w:eastAsia="Arial" w:hAnsi="Arial"/>
            <w:sz w:val="16"/>
            <w:szCs w:val="16"/>
            <w:u w:val="single" w:color="auto"/>
            <w:color w:val="0000EE"/>
          </w:rPr>
          <w:t>Employment Agreement with Scott M. Quist (2)</w:t>
        </w:r>
      </w:hyperlink>
    </w:p>
    <w:p>
      <w:pPr>
        <w:spacing w:after="0" w:line="9" w:lineRule="exact"/>
        <w:rPr>
          <w:sz w:val="20"/>
          <w:szCs w:val="20"/>
          <w:color w:val="auto"/>
        </w:rPr>
      </w:pPr>
    </w:p>
    <w:p>
      <w:pPr>
        <w:ind w:left="660"/>
        <w:spacing w:after="0"/>
        <w:tabs>
          <w:tab w:leader="none" w:pos="1440" w:val="left"/>
        </w:tabs>
        <w:rPr>
          <w:rFonts w:ascii="Arial" w:cs="Arial" w:eastAsia="Arial" w:hAnsi="Arial"/>
          <w:sz w:val="16"/>
          <w:szCs w:val="16"/>
          <w:u w:val="single" w:color="auto"/>
          <w:color w:val="0000EE"/>
        </w:rPr>
      </w:pPr>
      <w:r>
        <w:rPr>
          <w:rFonts w:ascii="Arial" w:cs="Arial" w:eastAsia="Arial" w:hAnsi="Arial"/>
          <w:sz w:val="18"/>
          <w:szCs w:val="18"/>
          <w:color w:val="auto"/>
        </w:rPr>
        <w:t>10.5</w:t>
      </w:r>
      <w:r>
        <w:rPr>
          <w:sz w:val="20"/>
          <w:szCs w:val="20"/>
          <w:color w:val="auto"/>
        </w:rPr>
        <w:tab/>
      </w:r>
      <w:hyperlink r:id="rId130">
        <w:r>
          <w:rPr>
            <w:rFonts w:ascii="Arial" w:cs="Arial" w:eastAsia="Arial" w:hAnsi="Arial"/>
            <w:sz w:val="16"/>
            <w:szCs w:val="16"/>
            <w:u w:val="single" w:color="auto"/>
            <w:color w:val="0000EE"/>
          </w:rPr>
          <w:t>Stock Repurchase Plan (5)</w:t>
        </w:r>
      </w:hyperlink>
    </w:p>
    <w:p>
      <w:pPr>
        <w:spacing w:after="0" w:line="9" w:lineRule="exact"/>
        <w:rPr>
          <w:sz w:val="20"/>
          <w:szCs w:val="20"/>
          <w:color w:val="auto"/>
        </w:rPr>
      </w:pPr>
    </w:p>
    <w:p>
      <w:pPr>
        <w:ind w:left="1460" w:hanging="804"/>
        <w:spacing w:after="0"/>
        <w:tabs>
          <w:tab w:leader="none" w:pos="1460" w:val="left"/>
        </w:tabs>
        <w:numPr>
          <w:ilvl w:val="0"/>
          <w:numId w:val="66"/>
        </w:numPr>
        <w:rPr>
          <w:rFonts w:ascii="Arial" w:cs="Arial" w:eastAsia="Arial" w:hAnsi="Arial"/>
          <w:sz w:val="18"/>
          <w:szCs w:val="18"/>
          <w:u w:val="single" w:color="auto"/>
          <w:color w:val="0000EE"/>
        </w:rPr>
      </w:pPr>
      <w:hyperlink r:id="rId131">
        <w:r>
          <w:rPr>
            <w:rFonts w:ascii="Arial" w:cs="Arial" w:eastAsia="Arial" w:hAnsi="Arial"/>
            <w:sz w:val="18"/>
            <w:szCs w:val="18"/>
            <w:u w:val="single" w:color="auto"/>
            <w:color w:val="0000EE"/>
          </w:rPr>
          <w:t>Code of Business Conduct and Ethics (6)</w:t>
        </w:r>
      </w:hyperlink>
    </w:p>
    <w:p>
      <w:pPr>
        <w:spacing w:after="0" w:line="9" w:lineRule="exact"/>
        <w:rPr>
          <w:sz w:val="20"/>
          <w:szCs w:val="20"/>
          <w:color w:val="auto"/>
        </w:rPr>
      </w:pPr>
    </w:p>
    <w:p>
      <w:pPr>
        <w:ind w:left="1460" w:hanging="804"/>
        <w:spacing w:after="0"/>
        <w:tabs>
          <w:tab w:leader="none" w:pos="146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0000EE"/>
        </w:rPr>
        <w:t>Subsidiaries of the Registrant</w:t>
      </w:r>
    </w:p>
    <w:p>
      <w:pPr>
        <w:spacing w:after="0" w:line="9"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u w:val="single" w:color="auto"/>
          <w:color w:val="0000EE"/>
        </w:rPr>
        <w:t>Certification pursuant to 18 U.S.C. Section 1350, as enacted by Section 302 of the Sarbanes-Oxley Act of 2002</w:t>
      </w:r>
    </w:p>
    <w:p>
      <w:pPr>
        <w:spacing w:after="0" w:line="9"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u w:val="single" w:color="auto"/>
          <w:color w:val="0000EE"/>
        </w:rPr>
        <w:t>Certification pursuant to 18 U.S.C. Section 1350, as enacted by Section 302 of the Sarbanes-Oxley Act of 2002</w:t>
      </w:r>
    </w:p>
    <w:p>
      <w:pPr>
        <w:spacing w:after="0" w:line="9"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u w:val="single" w:color="auto"/>
          <w:color w:val="0000EE"/>
        </w:rPr>
        <w:t>Certification pursuant to 18 U.S.C. Section 1350, as adopted pursuant to Section 906 of the Sarbanes-Oxley Act of 2002</w:t>
      </w:r>
    </w:p>
    <w:p>
      <w:pPr>
        <w:spacing w:after="0" w:line="9"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u w:val="single" w:color="auto"/>
          <w:color w:val="0000EE"/>
        </w:rPr>
        <w:t>Certification pursuant to 18 U.S.C. Section 1350, as adopted pursuant to Section 906 of the Sarbanes-Oxley Act of 2002</w:t>
      </w:r>
    </w:p>
    <w:p>
      <w:pPr>
        <w:spacing w:after="0" w:line="21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101.INS</w:t>
            </w:r>
          </w:p>
        </w:tc>
        <w:tc>
          <w:tcPr>
            <w:tcW w:w="5840" w:type="dxa"/>
            <w:vAlign w:val="bottom"/>
          </w:tcPr>
          <w:p>
            <w:pPr>
              <w:ind w:left="60"/>
              <w:spacing w:after="0"/>
              <w:rPr>
                <w:sz w:val="20"/>
                <w:szCs w:val="20"/>
                <w:color w:val="auto"/>
              </w:rPr>
            </w:pPr>
            <w:r>
              <w:rPr>
                <w:rFonts w:ascii="Arial" w:cs="Arial" w:eastAsia="Arial" w:hAnsi="Arial"/>
                <w:sz w:val="18"/>
                <w:szCs w:val="18"/>
                <w:color w:val="auto"/>
              </w:rPr>
              <w:t>Inline XBRL Instance Document</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w w:val="98"/>
              </w:rPr>
              <w:t>101.SCH</w:t>
            </w:r>
          </w:p>
        </w:tc>
        <w:tc>
          <w:tcPr>
            <w:tcW w:w="5840" w:type="dxa"/>
            <w:vAlign w:val="bottom"/>
          </w:tcPr>
          <w:p>
            <w:pPr>
              <w:ind w:left="60"/>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101.CAL</w:t>
            </w:r>
          </w:p>
        </w:tc>
        <w:tc>
          <w:tcPr>
            <w:tcW w:w="5840" w:type="dxa"/>
            <w:vAlign w:val="bottom"/>
          </w:tcPr>
          <w:p>
            <w:pPr>
              <w:ind w:left="6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101.DEF</w:t>
            </w:r>
          </w:p>
        </w:tc>
        <w:tc>
          <w:tcPr>
            <w:tcW w:w="5840" w:type="dxa"/>
            <w:vAlign w:val="bottom"/>
          </w:tcPr>
          <w:p>
            <w:pPr>
              <w:ind w:left="6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101.LAB</w:t>
            </w:r>
          </w:p>
        </w:tc>
        <w:tc>
          <w:tcPr>
            <w:tcW w:w="5840" w:type="dxa"/>
            <w:vAlign w:val="bottom"/>
          </w:tcPr>
          <w:p>
            <w:pPr>
              <w:ind w:left="6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w w:val="99"/>
              </w:rPr>
              <w:t>101.PRE</w:t>
            </w:r>
          </w:p>
        </w:tc>
        <w:tc>
          <w:tcPr>
            <w:tcW w:w="5840" w:type="dxa"/>
            <w:vAlign w:val="bottom"/>
          </w:tcPr>
          <w:p>
            <w:pPr>
              <w:ind w:left="60"/>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104</w:t>
            </w:r>
          </w:p>
        </w:tc>
        <w:tc>
          <w:tcPr>
            <w:tcW w:w="5840" w:type="dxa"/>
            <w:vAlign w:val="bottom"/>
          </w:tcPr>
          <w:p>
            <w:pPr>
              <w:ind w:left="60"/>
              <w:spacing w:after="0"/>
              <w:rPr>
                <w:sz w:val="20"/>
                <w:szCs w:val="20"/>
                <w:color w:val="auto"/>
              </w:rPr>
            </w:pPr>
            <w:r>
              <w:rPr>
                <w:rFonts w:ascii="Arial" w:cs="Arial" w:eastAsia="Arial" w:hAnsi="Arial"/>
                <w:sz w:val="18"/>
                <w:szCs w:val="18"/>
                <w:color w:val="auto"/>
                <w:w w:val="91"/>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ind w:left="1300" w:hanging="644"/>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Incorporated by reference from Registration Statement on Form S-1, as filed on June 29, 1987</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Incorporated by reference from Report on Form 10-Q, as filed on November 13, 2015</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Incorporated by reference from Report on Form 10-Q, as filed on August 15, 2016</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Incorporated by reference from Report on Form 10-K, as filed on March 31, 2017</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Incorporated by reference from Report on Form 10-Q, as filed on November 13, 2018</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Incorporated by reference from Report on Form 10-Q, as filed on May 15, 2019</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Incorporated by reference from Report on Form 10-Q, as filed on August 14, 2020</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REGISTRANT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SECURITY NATIONAL FINANCIAL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3680"/>
        <w:spacing w:after="0"/>
        <w:tabs>
          <w:tab w:leader="none" w:pos="5600" w:val="left"/>
        </w:tabs>
        <w:rPr>
          <w:sz w:val="20"/>
          <w:szCs w:val="20"/>
          <w:color w:val="auto"/>
        </w:rPr>
      </w:pPr>
      <w:r>
        <w:rPr>
          <w:rFonts w:ascii="Arial" w:cs="Arial" w:eastAsia="Arial" w:hAnsi="Arial"/>
          <w:sz w:val="18"/>
          <w:szCs w:val="18"/>
          <w:color w:val="auto"/>
        </w:rPr>
        <w:t>Dated: August 14, 2023</w:t>
      </w:r>
      <w:r>
        <w:rPr>
          <w:sz w:val="20"/>
          <w:szCs w:val="20"/>
          <w:color w:val="auto"/>
        </w:rPr>
        <w:tab/>
      </w:r>
      <w:r>
        <w:rPr>
          <w:rFonts w:ascii="Arial" w:cs="Arial" w:eastAsia="Arial" w:hAnsi="Arial"/>
          <w:sz w:val="16"/>
          <w:szCs w:val="16"/>
          <w:i w:val="1"/>
          <w:iCs w:val="1"/>
          <w:color w:val="auto"/>
        </w:rPr>
        <w:t>/s/ Scott M. Quist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Scott M. Quist</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3680"/>
        <w:spacing w:after="0"/>
        <w:tabs>
          <w:tab w:leader="none" w:pos="5600" w:val="left"/>
        </w:tabs>
        <w:rPr>
          <w:sz w:val="20"/>
          <w:szCs w:val="20"/>
          <w:color w:val="auto"/>
        </w:rPr>
      </w:pPr>
      <w:r>
        <w:rPr>
          <w:rFonts w:ascii="Arial" w:cs="Arial" w:eastAsia="Arial" w:hAnsi="Arial"/>
          <w:sz w:val="18"/>
          <w:szCs w:val="18"/>
          <w:color w:val="auto"/>
        </w:rPr>
        <w:t>Dated: August 14, 2023</w:t>
      </w:r>
      <w:r>
        <w:rPr>
          <w:sz w:val="20"/>
          <w:szCs w:val="20"/>
          <w:color w:val="auto"/>
        </w:rPr>
        <w:tab/>
      </w:r>
      <w:r>
        <w:rPr>
          <w:rFonts w:ascii="Arial" w:cs="Arial" w:eastAsia="Arial" w:hAnsi="Arial"/>
          <w:sz w:val="16"/>
          <w:szCs w:val="16"/>
          <w:i w:val="1"/>
          <w:iCs w:val="1"/>
          <w:color w:val="auto"/>
        </w:rPr>
        <w:t>/s/ Garrett S. Sill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5">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Garrett S. Sill</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21</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SUBSIDIARIES OF THE REGISTRANT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Life Insurance Segment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Security National Life Insurance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Reppond Holding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First Guaranty Insurance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Kilpatrick Life Insurance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Kilpatrick Financial,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Southern Security Life Insurance Company,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Trans-Western Life Insurance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SN Farmington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434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5300 Development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Ascension 433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SN Diamond LLC</w:t>
      </w:r>
    </w:p>
    <w:p>
      <w:pPr>
        <w:spacing w:after="0" w:line="9" w:lineRule="exact"/>
        <w:rPr>
          <w:sz w:val="20"/>
          <w:szCs w:val="20"/>
          <w:color w:val="auto"/>
        </w:rPr>
      </w:pPr>
    </w:p>
    <w:p>
      <w:pPr>
        <w:ind w:right="4980"/>
        <w:spacing w:after="0" w:line="250" w:lineRule="auto"/>
        <w:rPr>
          <w:sz w:val="20"/>
          <w:szCs w:val="20"/>
          <w:color w:val="auto"/>
        </w:rPr>
      </w:pPr>
      <w:r>
        <w:rPr>
          <w:rFonts w:ascii="Arial" w:cs="Arial" w:eastAsia="Arial" w:hAnsi="Arial"/>
          <w:sz w:val="18"/>
          <w:szCs w:val="18"/>
          <w:color w:val="auto"/>
        </w:rPr>
        <w:t>Security National Real Estate Services, Inc. dba Security National Commercial Capital Marketing Source Center, Inc. dba Security National Travel Services SNFC Subsidiary, LLC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American Funeral Financial,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FFC Acquisition Co., LLC dba Funeral Funding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Canadian Funeral Financial,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Mortician’s Choice,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 &amp; J Financial,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Beta Capital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Beneficiary Advance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MFF Capital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SNCH Venture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SNW-HAFB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SNH Investments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SNHV Properties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SNVH Development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SNMA Properties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SNA-Venture LLC, SNA-MB LLC, SNA-SE LLC, SNA-SW LLC, SNA-MV LLC, SNA-TM LLC, SNA-TR2 LLC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Mortgage Segment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SecurityNational Mortgage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EverLEND Mortgage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SN Sunset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SN-TLV LLC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Cemetery/Mortuary Segment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California Memorial Estates, Inc. dba Singing Hills Memorial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Holladay Memorial Park,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Cottonwood Mortuary,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Deseret Memorial,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Holladay Cottonwood Memorial Foundation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Memorial Estates,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SN Silver Creek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Memorial Mortuary,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Affordable Funerals and Cremations of America,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SN Probst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SN-Holbrook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SN-Rivera LLC, SNR-LA LLC, SNR-Taos LLC, SNR-SF Cemetery LLC, SNR-SF Mortuary LLC, SNR-Espanola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2" w:name="page73"/>
    <w:bookmarkEnd w:id="72"/>
    <w:p>
      <w:pPr>
        <w:ind w:left="10120"/>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 REQUIRED BY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Scott M. Quist, certify that:</w:t>
      </w:r>
    </w:p>
    <w:p>
      <w:pPr>
        <w:spacing w:after="0" w:line="225" w:lineRule="exact"/>
        <w:rPr>
          <w:sz w:val="20"/>
          <w:szCs w:val="20"/>
          <w:color w:val="auto"/>
        </w:rPr>
      </w:pPr>
    </w:p>
    <w:p>
      <w:pPr>
        <w:ind w:left="180" w:hanging="172"/>
        <w:spacing w:after="0"/>
        <w:tabs>
          <w:tab w:leader="none" w:pos="1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report on Form 10-Q of Security National Financial Corporation;</w:t>
      </w:r>
    </w:p>
    <w:p>
      <w:pPr>
        <w:spacing w:after="0" w:line="225" w:lineRule="exact"/>
        <w:rPr>
          <w:rFonts w:ascii="Arial" w:cs="Arial" w:eastAsia="Arial" w:hAnsi="Arial"/>
          <w:sz w:val="18"/>
          <w:szCs w:val="18"/>
          <w:color w:val="auto"/>
        </w:rPr>
      </w:pPr>
    </w:p>
    <w:p>
      <w:pPr>
        <w:ind w:firstLine="8"/>
        <w:spacing w:after="0" w:line="342" w:lineRule="auto"/>
        <w:tabs>
          <w:tab w:leader="none" w:pos="201" w:val="left"/>
        </w:tabs>
        <w:numPr>
          <w:ilvl w:val="0"/>
          <w:numId w:val="6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4"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0" w:firstLine="8"/>
        <w:spacing w:after="0" w:line="263" w:lineRule="auto"/>
        <w:tabs>
          <w:tab w:leader="none" w:pos="206"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firstLine="440"/>
        <w:spacing w:after="0" w:line="263" w:lineRule="auto"/>
        <w:tabs>
          <w:tab w:leader="none" w:pos="694" w:val="left"/>
        </w:tabs>
        <w:numPr>
          <w:ilvl w:val="2"/>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covered in which this report is being prepared;</w:t>
      </w:r>
    </w:p>
    <w:p>
      <w:pPr>
        <w:spacing w:after="0" w:line="183" w:lineRule="exact"/>
        <w:rPr>
          <w:rFonts w:ascii="Arial" w:cs="Arial" w:eastAsia="Arial" w:hAnsi="Arial"/>
          <w:sz w:val="18"/>
          <w:szCs w:val="18"/>
          <w:color w:val="auto"/>
        </w:rPr>
      </w:pPr>
    </w:p>
    <w:p>
      <w:pPr>
        <w:jc w:val="both"/>
        <w:ind w:firstLine="440"/>
        <w:spacing w:after="0" w:line="263" w:lineRule="auto"/>
        <w:tabs>
          <w:tab w:leader="none" w:pos="723" w:val="left"/>
        </w:tabs>
        <w:numPr>
          <w:ilvl w:val="2"/>
          <w:numId w:val="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440"/>
        <w:spacing w:after="0" w:line="277" w:lineRule="auto"/>
        <w:tabs>
          <w:tab w:leader="none" w:pos="721" w:val="left"/>
        </w:tabs>
        <w:numPr>
          <w:ilvl w:val="2"/>
          <w:numId w:val="6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440"/>
        <w:spacing w:after="0" w:line="263" w:lineRule="auto"/>
        <w:tabs>
          <w:tab w:leader="none" w:pos="702" w:val="left"/>
        </w:tabs>
        <w:numPr>
          <w:ilvl w:val="2"/>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189"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firstLine="413"/>
        <w:spacing w:after="0" w:line="277" w:lineRule="auto"/>
        <w:tabs>
          <w:tab w:leader="none" w:pos="663" w:val="left"/>
        </w:tabs>
        <w:numPr>
          <w:ilvl w:val="1"/>
          <w:numId w:val="6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413"/>
        <w:spacing w:after="0" w:line="277" w:lineRule="auto"/>
        <w:tabs>
          <w:tab w:leader="none" w:pos="6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Dated: August 14, 2023</w:t>
      </w:r>
      <w:r>
        <w:rPr>
          <w:sz w:val="20"/>
          <w:szCs w:val="20"/>
          <w:color w:val="auto"/>
        </w:rPr>
        <w:tab/>
      </w:r>
      <w:r>
        <w:rPr>
          <w:rFonts w:ascii="Arial" w:cs="Arial" w:eastAsia="Arial" w:hAnsi="Arial"/>
          <w:sz w:val="16"/>
          <w:szCs w:val="16"/>
          <w:i w:val="1"/>
          <w:iCs w:val="1"/>
          <w:color w:val="auto"/>
        </w:rPr>
        <w:t>/s/ Scott M. Quist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Scott M. Quist</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3" w:name="page74"/>
    <w:bookmarkEnd w:id="73"/>
    <w:p>
      <w:pPr>
        <w:ind w:left="10120"/>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 REQUIRED BY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Garrett S. Sill, certify that:</w:t>
      </w:r>
    </w:p>
    <w:p>
      <w:pPr>
        <w:spacing w:after="0" w:line="225" w:lineRule="exact"/>
        <w:rPr>
          <w:sz w:val="20"/>
          <w:szCs w:val="20"/>
          <w:color w:val="auto"/>
        </w:rPr>
      </w:pPr>
    </w:p>
    <w:p>
      <w:pPr>
        <w:ind w:left="180" w:hanging="172"/>
        <w:spacing w:after="0"/>
        <w:tabs>
          <w:tab w:leader="none" w:pos="1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have reviewed this report on Form 10-Q of Security National Financial Corporation;</w:t>
      </w:r>
    </w:p>
    <w:p>
      <w:pPr>
        <w:spacing w:after="0" w:line="225" w:lineRule="exact"/>
        <w:rPr>
          <w:rFonts w:ascii="Arial" w:cs="Arial" w:eastAsia="Arial" w:hAnsi="Arial"/>
          <w:sz w:val="18"/>
          <w:szCs w:val="18"/>
          <w:color w:val="auto"/>
        </w:rPr>
      </w:pPr>
    </w:p>
    <w:p>
      <w:pPr>
        <w:ind w:firstLine="8"/>
        <w:spacing w:after="0" w:line="342" w:lineRule="auto"/>
        <w:tabs>
          <w:tab w:leader="none" w:pos="201" w:val="left"/>
        </w:tabs>
        <w:numPr>
          <w:ilvl w:val="0"/>
          <w:numId w:val="7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4"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0" w:firstLine="8"/>
        <w:spacing w:after="0" w:line="263" w:lineRule="auto"/>
        <w:tabs>
          <w:tab w:leader="none" w:pos="206"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firstLine="440"/>
        <w:spacing w:after="0" w:line="263" w:lineRule="auto"/>
        <w:tabs>
          <w:tab w:leader="none" w:pos="694" w:val="left"/>
        </w:tabs>
        <w:numPr>
          <w:ilvl w:val="2"/>
          <w:numId w:val="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covered in which this report is being prepared;</w:t>
      </w:r>
    </w:p>
    <w:p>
      <w:pPr>
        <w:spacing w:after="0" w:line="183" w:lineRule="exact"/>
        <w:rPr>
          <w:rFonts w:ascii="Arial" w:cs="Arial" w:eastAsia="Arial" w:hAnsi="Arial"/>
          <w:sz w:val="18"/>
          <w:szCs w:val="18"/>
          <w:color w:val="auto"/>
        </w:rPr>
      </w:pPr>
    </w:p>
    <w:p>
      <w:pPr>
        <w:jc w:val="both"/>
        <w:ind w:firstLine="440"/>
        <w:spacing w:after="0" w:line="263" w:lineRule="auto"/>
        <w:tabs>
          <w:tab w:leader="none" w:pos="723" w:val="left"/>
        </w:tabs>
        <w:numPr>
          <w:ilvl w:val="2"/>
          <w:numId w:val="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440"/>
        <w:spacing w:after="0" w:line="277" w:lineRule="auto"/>
        <w:tabs>
          <w:tab w:leader="none" w:pos="721" w:val="left"/>
        </w:tabs>
        <w:numPr>
          <w:ilvl w:val="2"/>
          <w:numId w:val="7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440"/>
        <w:spacing w:after="0" w:line="263" w:lineRule="auto"/>
        <w:tabs>
          <w:tab w:leader="none" w:pos="702" w:val="left"/>
        </w:tabs>
        <w:numPr>
          <w:ilvl w:val="2"/>
          <w:numId w:val="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189"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firstLine="413"/>
        <w:spacing w:after="0" w:line="277" w:lineRule="auto"/>
        <w:tabs>
          <w:tab w:leader="none" w:pos="663" w:val="left"/>
        </w:tabs>
        <w:numPr>
          <w:ilvl w:val="1"/>
          <w:numId w:val="7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413"/>
        <w:spacing w:after="0" w:line="277" w:lineRule="auto"/>
        <w:tabs>
          <w:tab w:leader="none" w:pos="6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Dated: August 14, 2023</w:t>
      </w:r>
      <w:r>
        <w:rPr>
          <w:sz w:val="20"/>
          <w:szCs w:val="20"/>
          <w:color w:val="auto"/>
        </w:rPr>
        <w:tab/>
      </w:r>
      <w:r>
        <w:rPr>
          <w:rFonts w:ascii="Arial" w:cs="Arial" w:eastAsia="Arial" w:hAnsi="Arial"/>
          <w:sz w:val="16"/>
          <w:szCs w:val="16"/>
          <w:i w:val="1"/>
          <w:iCs w:val="1"/>
          <w:color w:val="auto"/>
        </w:rPr>
        <w:t>/s/ Garrett S. Sill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Garrett S. Sill</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CERTIFICATION OF CHIEF EXECUTIVE OFFICER,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 REQUIRED BY 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Security National Financial Corporation (the “Company”) on Form 10-Q for the period ending June 30, 2023, as filed with the Securities and Exchange Commission on the date hereof (the “Report”), I, Scott M. Quist, Chairman of the Board, President and Chief Executive Officer of the Company, hereby certify, pursuant to 18 U.S.C. Section 1350, as adopted pursuant to Section 906 of the Sarbanes-Oxley Act of 2002, that, to the best of my knowledge:</w:t>
      </w:r>
    </w:p>
    <w:p>
      <w:pPr>
        <w:spacing w:after="0" w:line="187" w:lineRule="exact"/>
        <w:rPr>
          <w:sz w:val="20"/>
          <w:szCs w:val="20"/>
          <w:color w:val="auto"/>
        </w:rPr>
      </w:pPr>
    </w:p>
    <w:p>
      <w:pPr>
        <w:ind w:left="1300" w:hanging="644"/>
        <w:spacing w:after="0"/>
        <w:tabs>
          <w:tab w:leader="none" w:pos="13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300" w:hanging="644"/>
        <w:spacing w:after="0" w:line="277" w:lineRule="auto"/>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Dated: August 14, 2023</w:t>
      </w:r>
      <w:r>
        <w:rPr>
          <w:sz w:val="20"/>
          <w:szCs w:val="20"/>
          <w:color w:val="auto"/>
        </w:rPr>
        <w:tab/>
      </w:r>
      <w:r>
        <w:rPr>
          <w:rFonts w:ascii="Arial" w:cs="Arial" w:eastAsia="Arial" w:hAnsi="Arial"/>
          <w:sz w:val="16"/>
          <w:szCs w:val="16"/>
          <w:i w:val="1"/>
          <w:iCs w:val="1"/>
          <w:color w:val="auto"/>
        </w:rPr>
        <w:t>/s/ Scott M. Quist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Scott M. Quist</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5" w:name="page76"/>
    <w:bookmarkEnd w:id="75"/>
    <w:p>
      <w:pPr>
        <w:ind w:left="10120"/>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REQUIRED BY 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Security National Financial Corporation (the “Company”) on Form 10-Q for the period ending June 30, 2023, as filed with the Securities and Exchange Commission on the date hereof (the “Report”), I, Garrett S. Sill, Chief Financial Officer and Treasurer of the Company, hereby certify, pursuant to 18 U.S.C. Section 1350, as adopted pursuant to Section 906 of the Sarbanes-Oxley Act of 2002, that, to the best of my knowledge:</w:t>
      </w:r>
    </w:p>
    <w:p>
      <w:pPr>
        <w:spacing w:after="0" w:line="187" w:lineRule="exact"/>
        <w:rPr>
          <w:sz w:val="20"/>
          <w:szCs w:val="20"/>
          <w:color w:val="auto"/>
        </w:rPr>
      </w:pPr>
    </w:p>
    <w:p>
      <w:pPr>
        <w:ind w:left="1300" w:hanging="644"/>
        <w:spacing w:after="0"/>
        <w:tabs>
          <w:tab w:leader="none" w:pos="13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300" w:hanging="644"/>
        <w:spacing w:after="0" w:line="277" w:lineRule="auto"/>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Dated: August 14, 2023</w:t>
      </w:r>
      <w:r>
        <w:rPr>
          <w:sz w:val="20"/>
          <w:szCs w:val="20"/>
          <w:color w:val="auto"/>
        </w:rPr>
        <w:tab/>
      </w:r>
      <w:r>
        <w:rPr>
          <w:rFonts w:ascii="Arial" w:cs="Arial" w:eastAsia="Arial" w:hAnsi="Arial"/>
          <w:sz w:val="16"/>
          <w:szCs w:val="16"/>
          <w:i w:val="1"/>
          <w:iCs w:val="1"/>
          <w:color w:val="auto"/>
        </w:rPr>
        <w:t>/s/ Garrett S. Sill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Garrett S. Sill</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1)"/>
      <w:numFmt w:val="decimal"/>
      <w:start w:val="1"/>
    </w:lvl>
  </w:abstractNum>
  <w:abstractNum w:abstractNumId="3">
    <w:nsid w:val="5C482A97"/>
    <w:multiLevelType w:val="hybridMultilevel"/>
    <w:lvl w:ilvl="0">
      <w:lvlJc w:val="left"/>
      <w:lvlText w:val="%1)"/>
      <w:numFmt w:val="decimal"/>
      <w:start w:val="1"/>
    </w:lvl>
  </w:abstractNum>
  <w:abstractNum w:abstractNumId="4">
    <w:nsid w:val="2463B9EA"/>
    <w:multiLevelType w:val="hybridMultilevel"/>
    <w:lvl w:ilvl="0">
      <w:lvlJc w:val="left"/>
      <w:lvlText w:val="%1)"/>
      <w:numFmt w:val="decimal"/>
      <w:start w:val="2"/>
    </w:lvl>
  </w:abstractNum>
  <w:abstractNum w:abstractNumId="5">
    <w:nsid w:val="5E884ADC"/>
    <w:multiLevelType w:val="hybridMultilevel"/>
    <w:lvl w:ilvl="0">
      <w:lvlJc w:val="left"/>
      <w:lvlText w:val="%1)"/>
      <w:numFmt w:val="decimal"/>
      <w:start w:val="3"/>
    </w:lvl>
  </w:abstractNum>
  <w:abstractNum w:abstractNumId="6">
    <w:nsid w:val="51EAD36B"/>
    <w:multiLevelType w:val="hybridMultilevel"/>
    <w:lvl w:ilvl="0">
      <w:lvlJc w:val="left"/>
      <w:lvlText w:val="(%1)"/>
      <w:numFmt w:val="decimal"/>
      <w:start w:val="1"/>
    </w:lvl>
  </w:abstractNum>
  <w:abstractNum w:abstractNumId="7">
    <w:nsid w:val="2D517796"/>
    <w:multiLevelType w:val="hybridMultilevel"/>
    <w:lvl w:ilvl="0">
      <w:lvlJc w:val="left"/>
      <w:lvlText w:val="%1)"/>
      <w:numFmt w:val="decimal"/>
      <w:start w:val="3"/>
    </w:lvl>
  </w:abstractNum>
  <w:abstractNum w:abstractNumId="8">
    <w:nsid w:val="580BD78F"/>
    <w:multiLevelType w:val="hybridMultilevel"/>
    <w:lvl w:ilvl="0">
      <w:lvlJc w:val="left"/>
      <w:lvlText w:val="%1)"/>
      <w:numFmt w:val="decimal"/>
      <w:start w:val="3"/>
    </w:lvl>
  </w:abstractNum>
  <w:abstractNum w:abstractNumId="9">
    <w:nsid w:val="153EA438"/>
    <w:multiLevelType w:val="hybridMultilevel"/>
    <w:lvl w:ilvl="0">
      <w:lvlJc w:val="left"/>
      <w:lvlText w:val="%1)"/>
      <w:numFmt w:val="decimal"/>
      <w:start w:val="3"/>
    </w:lvl>
  </w:abstractNum>
  <w:abstractNum w:abstractNumId="10">
    <w:nsid w:val="3855585C"/>
    <w:multiLevelType w:val="hybridMultilevel"/>
    <w:lvl w:ilvl="0">
      <w:lvlJc w:val="left"/>
      <w:lvlText w:val="%1)"/>
      <w:numFmt w:val="decimal"/>
      <w:start w:val="3"/>
    </w:lvl>
  </w:abstractNum>
  <w:abstractNum w:abstractNumId="11">
    <w:nsid w:val="70A64E2A"/>
    <w:multiLevelType w:val="hybridMultilevel"/>
    <w:lvl w:ilvl="0">
      <w:lvlJc w:val="left"/>
      <w:lvlText w:val="$"/>
      <w:numFmt w:val="bullet"/>
      <w:start w:val="1"/>
    </w:lvl>
  </w:abstractNum>
  <w:abstractNum w:abstractNumId="12">
    <w:nsid w:val="6A2342EC"/>
    <w:multiLevelType w:val="hybridMultilevel"/>
    <w:lvl w:ilvl="0">
      <w:lvlJc w:val="left"/>
      <w:lvlText w:val="$"/>
      <w:numFmt w:val="bullet"/>
      <w:start w:val="1"/>
    </w:lvl>
  </w:abstractNum>
  <w:abstractNum w:abstractNumId="13">
    <w:nsid w:val="2A487CB0"/>
    <w:multiLevelType w:val="hybridMultilevel"/>
    <w:lvl w:ilvl="0">
      <w:lvlJc w:val="left"/>
      <w:lvlText w:val="%1)"/>
      <w:numFmt w:val="decimal"/>
      <w:start w:val="3"/>
    </w:lvl>
  </w:abstractNum>
  <w:abstractNum w:abstractNumId="14">
    <w:nsid w:val="1D4ED43B"/>
    <w:multiLevelType w:val="hybridMultilevel"/>
    <w:lvl w:ilvl="0">
      <w:lvlJc w:val="left"/>
      <w:lvlText w:val="%1)"/>
      <w:numFmt w:val="decimal"/>
      <w:start w:val="3"/>
    </w:lvl>
  </w:abstractNum>
  <w:abstractNum w:abstractNumId="15">
    <w:nsid w:val="725A06FB"/>
    <w:multiLevelType w:val="hybridMultilevel"/>
    <w:lvl w:ilvl="0">
      <w:lvlJc w:val="left"/>
      <w:lvlText w:val="%1)"/>
      <w:numFmt w:val="decimal"/>
      <w:start w:val="3"/>
    </w:lvl>
  </w:abstractNum>
  <w:abstractNum w:abstractNumId="16">
    <w:nsid w:val="2CD89A32"/>
    <w:multiLevelType w:val="hybridMultilevel"/>
    <w:lvl w:ilvl="0">
      <w:lvlJc w:val="left"/>
      <w:lvlText w:val="%1)"/>
      <w:numFmt w:val="decimal"/>
      <w:start w:val="3"/>
    </w:lvl>
  </w:abstractNum>
  <w:abstractNum w:abstractNumId="17">
    <w:nsid w:val="57E4CCAF"/>
    <w:multiLevelType w:val="hybridMultilevel"/>
    <w:lvl w:ilvl="0">
      <w:lvlJc w:val="left"/>
      <w:lvlText w:val="(%1)"/>
      <w:numFmt w:val="decimal"/>
      <w:start w:val="1"/>
    </w:lvl>
  </w:abstractNum>
  <w:abstractNum w:abstractNumId="18">
    <w:nsid w:val="7A6D8D3C"/>
    <w:multiLevelType w:val="hybridMultilevel"/>
    <w:lvl w:ilvl="0">
      <w:lvlJc w:val="left"/>
      <w:lvlText w:val="%1)"/>
      <w:numFmt w:val="decimal"/>
      <w:start w:val="3"/>
    </w:lvl>
  </w:abstractNum>
  <w:abstractNum w:abstractNumId="19">
    <w:nsid w:val="4B588F54"/>
    <w:multiLevelType w:val="hybridMultilevel"/>
    <w:lvl w:ilvl="0">
      <w:lvlJc w:val="left"/>
      <w:lvlText w:val="%1)"/>
      <w:numFmt w:val="decimal"/>
      <w:start w:val="3"/>
    </w:lvl>
  </w:abstractNum>
  <w:abstractNum w:abstractNumId="20">
    <w:nsid w:val="542289EC"/>
    <w:multiLevelType w:val="hybridMultilevel"/>
    <w:lvl w:ilvl="0">
      <w:lvlJc w:val="left"/>
      <w:lvlText w:val="(%1)"/>
      <w:numFmt w:val="decimal"/>
      <w:start w:val="1"/>
    </w:lvl>
  </w:abstractNum>
  <w:abstractNum w:abstractNumId="21">
    <w:nsid w:val="6DE91B18"/>
    <w:multiLevelType w:val="hybridMultilevel"/>
    <w:lvl w:ilvl="0">
      <w:lvlJc w:val="left"/>
      <w:lvlText w:val="%1)"/>
      <w:numFmt w:val="decimal"/>
      <w:start w:val="3"/>
    </w:lvl>
  </w:abstractNum>
  <w:abstractNum w:abstractNumId="22">
    <w:nsid w:val="38437FDB"/>
    <w:multiLevelType w:val="hybridMultilevel"/>
    <w:lvl w:ilvl="0">
      <w:lvlJc w:val="left"/>
      <w:lvlText w:val="(%1)"/>
      <w:numFmt w:val="decimal"/>
      <w:start w:val="1"/>
    </w:lvl>
  </w:abstractNum>
  <w:abstractNum w:abstractNumId="23">
    <w:nsid w:val="7644A45C"/>
    <w:multiLevelType w:val="hybridMultilevel"/>
    <w:lvl w:ilvl="0">
      <w:lvlJc w:val="left"/>
      <w:lvlText w:val="%1)"/>
      <w:numFmt w:val="decimal"/>
      <w:start w:val="3"/>
    </w:lvl>
  </w:abstractNum>
  <w:abstractNum w:abstractNumId="24">
    <w:nsid w:val="32FFF902"/>
    <w:multiLevelType w:val="hybridMultilevel"/>
    <w:lvl w:ilvl="0">
      <w:lvlJc w:val="left"/>
      <w:lvlText w:val="(%1)"/>
      <w:numFmt w:val="decimal"/>
      <w:start w:val="1"/>
    </w:lvl>
  </w:abstractNum>
  <w:abstractNum w:abstractNumId="25">
    <w:nsid w:val="684A481A"/>
    <w:multiLevelType w:val="hybridMultilevel"/>
    <w:lvl w:ilvl="0">
      <w:lvlJc w:val="left"/>
      <w:lvlText w:val="%1)"/>
      <w:numFmt w:val="decimal"/>
      <w:start w:val="3"/>
    </w:lvl>
  </w:abstractNum>
  <w:abstractNum w:abstractNumId="26">
    <w:nsid w:val="579478FE"/>
    <w:multiLevelType w:val="hybridMultilevel"/>
    <w:lvl w:ilvl="0">
      <w:lvlJc w:val="left"/>
      <w:lvlText w:val="%1)"/>
      <w:numFmt w:val="decimal"/>
      <w:start w:val="3"/>
    </w:lvl>
  </w:abstractNum>
  <w:abstractNum w:abstractNumId="27">
    <w:nsid w:val="749ABB43"/>
    <w:multiLevelType w:val="hybridMultilevel"/>
    <w:lvl w:ilvl="0">
      <w:lvlJc w:val="left"/>
      <w:lvlText w:val="%1)"/>
      <w:numFmt w:val="decimal"/>
      <w:start w:val="3"/>
    </w:lvl>
  </w:abstractNum>
  <w:abstractNum w:abstractNumId="28">
    <w:nsid w:val="3DC240FB"/>
    <w:multiLevelType w:val="hybridMultilevel"/>
    <w:lvl w:ilvl="0">
      <w:lvlJc w:val="left"/>
      <w:lvlText w:val="%1)"/>
      <w:numFmt w:val="decimal"/>
      <w:start w:val="4"/>
    </w:lvl>
  </w:abstractNum>
  <w:abstractNum w:abstractNumId="29">
    <w:nsid w:val="1BA026FA"/>
    <w:multiLevelType w:val="hybridMultilevel"/>
    <w:lvl w:ilvl="0">
      <w:lvlJc w:val="left"/>
      <w:lvlText w:val="%1)"/>
      <w:numFmt w:val="decimal"/>
      <w:start w:val="4"/>
    </w:lvl>
  </w:abstractNum>
  <w:abstractNum w:abstractNumId="30">
    <w:nsid w:val="79A1DEAA"/>
    <w:multiLevelType w:val="hybridMultilevel"/>
    <w:lvl w:ilvl="0">
      <w:lvlJc w:val="left"/>
      <w:lvlText w:val="%1)"/>
      <w:numFmt w:val="decimal"/>
      <w:start w:val="5"/>
    </w:lvl>
  </w:abstractNum>
  <w:abstractNum w:abstractNumId="31">
    <w:nsid w:val="75C6C33A"/>
    <w:multiLevelType w:val="hybridMultilevel"/>
    <w:lvl w:ilvl="0">
      <w:lvlJc w:val="left"/>
      <w:lvlText w:val="%1)"/>
      <w:numFmt w:val="decimal"/>
      <w:start w:val="5"/>
    </w:lvl>
  </w:abstractNum>
  <w:abstractNum w:abstractNumId="32">
    <w:nsid w:val="12E685FB"/>
    <w:multiLevelType w:val="hybridMultilevel"/>
    <w:lvl w:ilvl="0">
      <w:lvlJc w:val="left"/>
      <w:lvlText w:val="%1)"/>
      <w:numFmt w:val="decimal"/>
      <w:start w:val="5"/>
    </w:lvl>
  </w:abstractNum>
  <w:abstractNum w:abstractNumId="33">
    <w:nsid w:val="70C6A529"/>
    <w:multiLevelType w:val="hybridMultilevel"/>
    <w:lvl w:ilvl="0">
      <w:lvlJc w:val="left"/>
      <w:lvlText w:val="%1)"/>
      <w:numFmt w:val="decimal"/>
      <w:start w:val="6"/>
    </w:lvl>
  </w:abstractNum>
  <w:abstractNum w:abstractNumId="34">
    <w:nsid w:val="520EEDD1"/>
    <w:multiLevelType w:val="hybridMultilevel"/>
    <w:lvl w:ilvl="0">
      <w:lvlJc w:val="left"/>
      <w:lvlText w:val="%1)"/>
      <w:numFmt w:val="decimal"/>
      <w:start w:val="7"/>
    </w:lvl>
  </w:abstractNum>
  <w:abstractNum w:abstractNumId="35">
    <w:nsid w:val="374A3FE6"/>
    <w:multiLevelType w:val="hybridMultilevel"/>
    <w:lvl w:ilvl="0">
      <w:lvlJc w:val="left"/>
      <w:lvlText w:val="%1)"/>
      <w:numFmt w:val="decimal"/>
      <w:start w:val="8"/>
    </w:lvl>
  </w:abstractNum>
  <w:abstractNum w:abstractNumId="36">
    <w:nsid w:val="4F4EF005"/>
    <w:multiLevelType w:val="hybridMultilevel"/>
    <w:lvl w:ilvl="0">
      <w:lvlJc w:val="left"/>
      <w:lvlText w:val="%1)"/>
      <w:numFmt w:val="lowerLetter"/>
      <w:start w:val="1"/>
    </w:lvl>
  </w:abstractNum>
  <w:abstractNum w:abstractNumId="37">
    <w:nsid w:val="23F9C13C"/>
    <w:multiLevelType w:val="hybridMultilevel"/>
    <w:lvl w:ilvl="0">
      <w:lvlJc w:val="left"/>
      <w:lvlText w:val="%1)"/>
      <w:numFmt w:val="decimal"/>
      <w:start w:val="8"/>
    </w:lvl>
  </w:abstractNum>
  <w:abstractNum w:abstractNumId="38">
    <w:nsid w:val="649BB77C"/>
    <w:multiLevelType w:val="hybridMultilevel"/>
    <w:lvl w:ilvl="0">
      <w:lvlJc w:val="left"/>
      <w:lvlText w:val="%1)"/>
      <w:numFmt w:val="decimal"/>
      <w:start w:val="8"/>
    </w:lvl>
  </w:abstractNum>
  <w:abstractNum w:abstractNumId="39">
    <w:nsid w:val="275AC794"/>
    <w:multiLevelType w:val="hybridMultilevel"/>
    <w:lvl w:ilvl="0">
      <w:lvlJc w:val="left"/>
      <w:lvlText w:val="%1)"/>
      <w:numFmt w:val="decimal"/>
      <w:start w:val="8"/>
    </w:lvl>
  </w:abstractNum>
  <w:abstractNum w:abstractNumId="40">
    <w:nsid w:val="39386575"/>
    <w:multiLevelType w:val="hybridMultilevel"/>
    <w:lvl w:ilvl="0">
      <w:lvlJc w:val="left"/>
      <w:lvlText w:val="%1)"/>
      <w:numFmt w:val="decimal"/>
      <w:start w:val="8"/>
    </w:lvl>
  </w:abstractNum>
  <w:abstractNum w:abstractNumId="41">
    <w:nsid w:val="1CF10FD8"/>
    <w:multiLevelType w:val="hybridMultilevel"/>
    <w:lvl w:ilvl="0">
      <w:lvlJc w:val="left"/>
      <w:lvlText w:val="%1)"/>
      <w:numFmt w:val="decimal"/>
      <w:start w:val="8"/>
    </w:lvl>
  </w:abstractNum>
  <w:abstractNum w:abstractNumId="42">
    <w:nsid w:val="180115BE"/>
    <w:multiLevelType w:val="hybridMultilevel"/>
    <w:lvl w:ilvl="0">
      <w:lvlJc w:val="left"/>
      <w:lvlText w:val="%1)"/>
      <w:numFmt w:val="decimal"/>
      <w:start w:val="8"/>
    </w:lvl>
  </w:abstractNum>
  <w:abstractNum w:abstractNumId="43">
    <w:nsid w:val="235BA861"/>
    <w:multiLevelType w:val="hybridMultilevel"/>
    <w:lvl w:ilvl="0">
      <w:lvlJc w:val="left"/>
      <w:lvlText w:val="%1)"/>
      <w:numFmt w:val="decimal"/>
      <w:start w:val="8"/>
    </w:lvl>
  </w:abstractNum>
  <w:abstractNum w:abstractNumId="44">
    <w:nsid w:val="47398C89"/>
    <w:multiLevelType w:val="hybridMultilevel"/>
    <w:lvl w:ilvl="0">
      <w:lvlJc w:val="left"/>
      <w:lvlText w:val="%1)"/>
      <w:numFmt w:val="decimal"/>
      <w:start w:val="8"/>
    </w:lvl>
  </w:abstractNum>
  <w:abstractNum w:abstractNumId="45">
    <w:nsid w:val="354FE9F9"/>
    <w:multiLevelType w:val="hybridMultilevel"/>
    <w:lvl w:ilvl="0">
      <w:lvlJc w:val="left"/>
      <w:lvlText w:val="%1)"/>
      <w:numFmt w:val="decimal"/>
      <w:start w:val="8"/>
    </w:lvl>
  </w:abstractNum>
  <w:abstractNum w:abstractNumId="46">
    <w:nsid w:val="15B5AF5C"/>
    <w:multiLevelType w:val="hybridMultilevel"/>
    <w:lvl w:ilvl="0">
      <w:lvlJc w:val="left"/>
      <w:lvlText w:val="%1)"/>
      <w:numFmt w:val="decimal"/>
      <w:start w:val="9"/>
    </w:lvl>
  </w:abstractNum>
  <w:abstractNum w:abstractNumId="47">
    <w:nsid w:val="741226BB"/>
    <w:multiLevelType w:val="hybridMultilevel"/>
    <w:lvl w:ilvl="0">
      <w:lvlJc w:val="left"/>
      <w:lvlText w:val="%1)"/>
      <w:numFmt w:val="decimal"/>
      <w:start w:val="9"/>
    </w:lvl>
  </w:abstractNum>
  <w:abstractNum w:abstractNumId="48">
    <w:nsid w:val="D34B6A8"/>
    <w:multiLevelType w:val="hybridMultilevel"/>
    <w:lvl w:ilvl="0">
      <w:lvlJc w:val="left"/>
      <w:lvlText w:val="%1)"/>
      <w:numFmt w:val="decimal"/>
      <w:start w:val="10"/>
    </w:lvl>
  </w:abstractNum>
  <w:abstractNum w:abstractNumId="49">
    <w:nsid w:val="10233C99"/>
    <w:multiLevelType w:val="hybridMultilevel"/>
    <w:lvl w:ilvl="0">
      <w:lvlJc w:val="left"/>
      <w:lvlText w:val="%1)"/>
      <w:numFmt w:val="decimal"/>
      <w:start w:val="10"/>
    </w:lvl>
  </w:abstractNum>
  <w:abstractNum w:abstractNumId="50">
    <w:nsid w:val="3F6AB60F"/>
    <w:multiLevelType w:val="hybridMultilevel"/>
    <w:lvl w:ilvl="0">
      <w:lvlJc w:val="left"/>
      <w:lvlText w:val="%1)"/>
      <w:numFmt w:val="decimal"/>
      <w:start w:val="11"/>
    </w:lvl>
  </w:abstractNum>
  <w:abstractNum w:abstractNumId="51">
    <w:nsid w:val="61574095"/>
    <w:multiLevelType w:val="hybridMultilevel"/>
    <w:lvl w:ilvl="0">
      <w:lvlJc w:val="left"/>
      <w:lvlText w:val="%1)"/>
      <w:numFmt w:val="decimal"/>
      <w:start w:val="11"/>
    </w:lvl>
  </w:abstractNum>
  <w:abstractNum w:abstractNumId="52">
    <w:nsid w:val="7E0C57B1"/>
    <w:multiLevelType w:val="hybridMultilevel"/>
    <w:lvl w:ilvl="0">
      <w:lvlJc w:val="left"/>
      <w:lvlText w:val="%1)"/>
      <w:numFmt w:val="decimal"/>
      <w:start w:val="12"/>
    </w:lvl>
  </w:abstractNum>
  <w:abstractNum w:abstractNumId="53">
    <w:nsid w:val="77AE35EB"/>
    <w:multiLevelType w:val="hybridMultilevel"/>
    <w:lvl w:ilvl="0">
      <w:lvlJc w:val="left"/>
      <w:lvlText w:val="%1)"/>
      <w:numFmt w:val="decimal"/>
      <w:start w:val="13"/>
    </w:lvl>
  </w:abstractNum>
  <w:abstractNum w:abstractNumId="54">
    <w:nsid w:val="579BE4F1"/>
    <w:multiLevelType w:val="hybridMultilevel"/>
    <w:lvl w:ilvl="0">
      <w:lvlJc w:val="left"/>
      <w:lvlText w:val="%1)"/>
      <w:numFmt w:val="decimal"/>
      <w:start w:val="13"/>
    </w:lvl>
  </w:abstractNum>
  <w:abstractNum w:abstractNumId="55">
    <w:nsid w:val="310C50B3"/>
    <w:multiLevelType w:val="hybridMultilevel"/>
    <w:lvl w:ilvl="0">
      <w:lvlJc w:val="left"/>
      <w:lvlText w:val="%1)"/>
      <w:numFmt w:val="decimal"/>
      <w:start w:val="13"/>
    </w:lvl>
  </w:abstractNum>
  <w:abstractNum w:abstractNumId="56">
    <w:nsid w:val="5FF87E05"/>
    <w:multiLevelType w:val="hybridMultilevel"/>
    <w:lvl w:ilvl="0">
      <w:lvlJc w:val="left"/>
      <w:lvlText w:val="(%1)"/>
      <w:numFmt w:val="decimal"/>
      <w:start w:val="1"/>
    </w:lvl>
  </w:abstractNum>
  <w:abstractNum w:abstractNumId="57">
    <w:nsid w:val="2F305DEF"/>
    <w:multiLevelType w:val="hybridMultilevel"/>
    <w:lvl w:ilvl="0">
      <w:lvlJc w:val="left"/>
      <w:lvlText w:val="%1)"/>
      <w:numFmt w:val="decimal"/>
      <w:start w:val="15"/>
    </w:lvl>
  </w:abstractNum>
  <w:abstractNum w:abstractNumId="58">
    <w:nsid w:val="25A70BF7"/>
    <w:multiLevelType w:val="hybridMultilevel"/>
    <w:lvl w:ilvl="0">
      <w:lvlJc w:val="left"/>
      <w:lvlText w:val="%1)"/>
      <w:numFmt w:val="decimal"/>
      <w:start w:val="15"/>
    </w:lvl>
  </w:abstractNum>
  <w:abstractNum w:abstractNumId="59">
    <w:nsid w:val="1DBABF00"/>
    <w:multiLevelType w:val="hybridMultilevel"/>
    <w:lvl w:ilvl="0">
      <w:lvlJc w:val="left"/>
      <w:lvlText w:val="%1)"/>
      <w:numFmt w:val="decimal"/>
      <w:start w:val="15"/>
    </w:lvl>
  </w:abstractNum>
  <w:abstractNum w:abstractNumId="60">
    <w:nsid w:val="4AD084E9"/>
    <w:multiLevelType w:val="hybridMultilevel"/>
    <w:lvl w:ilvl="0">
      <w:lvlJc w:val="left"/>
      <w:lvlText w:val="%1)"/>
      <w:numFmt w:val="decimal"/>
      <w:start w:val="15"/>
    </w:lvl>
  </w:abstractNum>
  <w:abstractNum w:abstractNumId="61">
    <w:nsid w:val="1F48EAA1"/>
    <w:multiLevelType w:val="hybridMultilevel"/>
    <w:lvl w:ilvl="0">
      <w:lvlJc w:val="left"/>
      <w:lvlText w:val="(%1)"/>
      <w:numFmt w:val="decimal"/>
      <w:start w:val="1"/>
    </w:lvl>
  </w:abstractNum>
  <w:abstractNum w:abstractNumId="62">
    <w:nsid w:val="1381823A"/>
    <w:multiLevelType w:val="hybridMultilevel"/>
    <w:lvl w:ilvl="0">
      <w:lvlJc w:val="left"/>
      <w:lvlText w:val="%1)"/>
      <w:numFmt w:val="decimal"/>
      <w:start w:val="15"/>
    </w:lvl>
  </w:abstractNum>
  <w:abstractNum w:abstractNumId="63">
    <w:nsid w:val="5DB70AE5"/>
    <w:multiLevelType w:val="hybridMultilevel"/>
    <w:lvl w:ilvl="0">
      <w:lvlJc w:val="left"/>
      <w:lvlText w:val="%1)"/>
      <w:numFmt w:val="decimal"/>
      <w:start w:val="16"/>
    </w:lvl>
  </w:abstractNum>
  <w:abstractNum w:abstractNumId="64">
    <w:nsid w:val="100F8FCA"/>
    <w:multiLevelType w:val="hybridMultilevel"/>
    <w:lvl w:ilvl="0">
      <w:lvlJc w:val="left"/>
      <w:lvlText w:val="(%1)"/>
      <w:numFmt w:val="decimal"/>
      <w:start w:val="1"/>
    </w:lvl>
  </w:abstractNum>
  <w:abstractNum w:abstractNumId="65">
    <w:nsid w:val="6590700B"/>
    <w:multiLevelType w:val="hybridMultilevel"/>
    <w:lvl w:ilvl="0">
      <w:lvlJc w:val="left"/>
      <w:lvlText w:val="%1"/>
      <w:numFmt w:val="decimal"/>
      <w:start w:val="14"/>
    </w:lvl>
  </w:abstractNum>
  <w:abstractNum w:abstractNumId="66">
    <w:nsid w:val="15014ACB"/>
    <w:multiLevelType w:val="hybridMultilevel"/>
    <w:lvl w:ilvl="0">
      <w:lvlJc w:val="left"/>
      <w:lvlText w:val="%1"/>
      <w:numFmt w:val="decimal"/>
      <w:start w:val="21"/>
    </w:lvl>
  </w:abstractNum>
  <w:abstractNum w:abstractNumId="67">
    <w:nsid w:val="5F5E7FD0"/>
    <w:multiLevelType w:val="hybridMultilevel"/>
    <w:lvl w:ilvl="0">
      <w:lvlJc w:val="left"/>
      <w:lvlText w:val="(%1)"/>
      <w:numFmt w:val="decimal"/>
      <w:start w:val="1"/>
    </w:lvl>
  </w:abstractNum>
  <w:abstractNum w:abstractNumId="68">
    <w:nsid w:val="98A314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69">
    <w:nsid w:val="799D024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70">
    <w:nsid w:val="6B94764"/>
    <w:multiLevelType w:val="hybridMultilevel"/>
    <w:lvl w:ilvl="0">
      <w:lvlJc w:val="left"/>
      <w:lvlText w:val="(%1)"/>
      <w:numFmt w:val="decimal"/>
      <w:start w:val="1"/>
    </w:lvl>
  </w:abstractNum>
  <w:abstractNum w:abstractNumId="71">
    <w:nsid w:val="42C296B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32" Type="http://schemas.openxmlformats.org/officeDocument/2006/relationships/image" Target="media/image118.png"/><Relationship Id="rId133" Type="http://schemas.openxmlformats.org/officeDocument/2006/relationships/image" Target="media/image119.png"/><Relationship Id="rId134" Type="http://schemas.openxmlformats.org/officeDocument/2006/relationships/image" Target="media/image120.png"/><Relationship Id="rId135" Type="http://schemas.openxmlformats.org/officeDocument/2006/relationships/image" Target="media/image121.png"/><Relationship Id="rId136" Type="http://schemas.openxmlformats.org/officeDocument/2006/relationships/image" Target="media/image122.png"/><Relationship Id="rId137" Type="http://schemas.openxmlformats.org/officeDocument/2006/relationships/image" Target="media/image123.png"/><Relationship Id="rId138" Type="http://schemas.openxmlformats.org/officeDocument/2006/relationships/image" Target="media/image124.png"/><Relationship Id="rId139" Type="http://schemas.openxmlformats.org/officeDocument/2006/relationships/image" Target="media/image125.png"/><Relationship Id="rId140" Type="http://schemas.openxmlformats.org/officeDocument/2006/relationships/image" Target="media/image126.png"/><Relationship Id="rId141" Type="http://schemas.openxmlformats.org/officeDocument/2006/relationships/image" Target="media/image127.png"/><Relationship Id="rId142" Type="http://schemas.openxmlformats.org/officeDocument/2006/relationships/image" Target="media/image128.png"/><Relationship Id="rId143" Type="http://schemas.openxmlformats.org/officeDocument/2006/relationships/image" Target="media/image129.png"/><Relationship Id="rId144" Type="http://schemas.openxmlformats.org/officeDocument/2006/relationships/image" Target="media/image130.png"/><Relationship Id="rId145" Type="http://schemas.openxmlformats.org/officeDocument/2006/relationships/image" Target="media/image131.png"/><Relationship Id="rId125" Type="http://schemas.openxmlformats.org/officeDocument/2006/relationships/hyperlink" Target="https://www.sec.gov/Archives/edgar/data/318673/000109690617000214/exh3_1.pdf#www.sec.gov/Archives/edgar/data/318673/000109690617000214/exh3_1.pdf" TargetMode="External"/><Relationship Id="rId126" Type="http://schemas.openxmlformats.org/officeDocument/2006/relationships/hyperlink" Target="https://www.sec.gov/Archives/edgar/data/318673/000109690619000199/exh3_2.pdf" TargetMode="External"/><Relationship Id="rId127" Type="http://schemas.openxmlformats.org/officeDocument/2006/relationships/hyperlink" Target="https://www.sec.gov/Archives/edgar/data/318673/000109690616001835/exh10_4.htm" TargetMode="External"/><Relationship Id="rId128" Type="http://schemas.openxmlformats.org/officeDocument/2006/relationships/hyperlink" Target="https://www.sec.gov/Archives/edgar/data/318673/000144586620001192/snfca_ex10z3.htm" TargetMode="External"/><Relationship Id="rId129" Type="http://schemas.openxmlformats.org/officeDocument/2006/relationships/hyperlink" Target="https://www.sec.gov/Archives/edgar/data/318673/000109690615001153/exh108.htm" TargetMode="External"/><Relationship Id="rId130" Type="http://schemas.openxmlformats.org/officeDocument/2006/relationships/hyperlink" Target="https://www.sec.gov/Archives/edgar/data/318673/000109690618000639/exh10_9.htm" TargetMode="External"/><Relationship Id="rId131" Type="http://schemas.openxmlformats.org/officeDocument/2006/relationships/hyperlink" Target="https://www.sec.gov/Archives/edgar/data/318673/000109690619000199/exh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2023-08-14T10:57:31Z</dcterms:created>
  <dcterms:modified xsi:type="dcterms:W3CDTF">2023-08-14T10:57:31Z</dcterms:modified>
</cp:coreProperties>
</file>