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right="1860" w:firstLine="8"/>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2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87-0345941</w:t>
            </w:r>
          </w:p>
        </w:tc>
      </w:tr>
      <w:tr>
        <w:trPr>
          <w:trHeight w:val="236"/>
        </w:trPr>
        <w:tc>
          <w:tcPr>
            <w:tcW w:w="6980" w:type="dxa"/>
            <w:vAlign w:val="bottom"/>
            <w:gridSpan w:val="5"/>
          </w:tcPr>
          <w:p>
            <w:pPr>
              <w:jc w:val="center"/>
              <w:ind w:right="144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52"/>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433 Ascension Way, 6</w:t>
            </w:r>
            <w:r>
              <w:rPr>
                <w:rFonts w:ascii="Times New Roman" w:cs="Times New Roman" w:eastAsia="Times New Roman" w:hAnsi="Times New Roman"/>
                <w:sz w:val="29"/>
                <w:szCs w:val="29"/>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Salt Lake City, Utah</w:t>
            </w:r>
          </w:p>
        </w:tc>
        <w:tc>
          <w:tcPr>
            <w:tcW w:w="42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84123</w:t>
            </w:r>
          </w:p>
        </w:tc>
      </w:tr>
      <w:tr>
        <w:trPr>
          <w:trHeight w:val="236"/>
        </w:trPr>
        <w:tc>
          <w:tcPr>
            <w:tcW w:w="6980" w:type="dxa"/>
            <w:vAlign w:val="bottom"/>
            <w:gridSpan w:val="5"/>
          </w:tcPr>
          <w:p>
            <w:pPr>
              <w:jc w:val="center"/>
              <w:ind w:right="146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9"/>
        </w:trPr>
        <w:tc>
          <w:tcPr>
            <w:tcW w:w="3220" w:type="dxa"/>
            <w:vAlign w:val="bottom"/>
          </w:tcPr>
          <w:p>
            <w:pPr>
              <w:spacing w:after="0"/>
              <w:rPr>
                <w:sz w:val="24"/>
                <w:szCs w:val="24"/>
                <w:color w:val="auto"/>
              </w:rPr>
            </w:pPr>
          </w:p>
        </w:tc>
        <w:tc>
          <w:tcPr>
            <w:tcW w:w="3540" w:type="dxa"/>
            <w:vAlign w:val="bottom"/>
            <w:gridSpan w:val="3"/>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6"/>
        </w:trPr>
        <w:tc>
          <w:tcPr>
            <w:tcW w:w="3220" w:type="dxa"/>
            <w:vAlign w:val="bottom"/>
          </w:tcPr>
          <w:p>
            <w:pPr>
              <w:spacing w:after="0"/>
              <w:rPr>
                <w:sz w:val="20"/>
                <w:szCs w:val="20"/>
                <w:color w:val="auto"/>
              </w:rPr>
            </w:pPr>
          </w:p>
        </w:tc>
        <w:tc>
          <w:tcPr>
            <w:tcW w:w="8020" w:type="dxa"/>
            <w:vAlign w:val="bottom"/>
            <w:gridSpan w:val="5"/>
          </w:tcPr>
          <w:p>
            <w:pPr>
              <w:jc w:val="center"/>
              <w:ind w:right="311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32"/>
        </w:trPr>
        <w:tc>
          <w:tcPr>
            <w:tcW w:w="3220" w:type="dxa"/>
            <w:vAlign w:val="bottom"/>
          </w:tcPr>
          <w:p>
            <w:pPr>
              <w:spacing w:after="0"/>
              <w:rPr>
                <w:sz w:val="24"/>
                <w:szCs w:val="24"/>
                <w:color w:val="auto"/>
              </w:rPr>
            </w:pPr>
          </w:p>
        </w:tc>
        <w:tc>
          <w:tcPr>
            <w:tcW w:w="8020" w:type="dxa"/>
            <w:vAlign w:val="bottom"/>
            <w:gridSpan w:val="5"/>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45"/>
        </w:trPr>
        <w:tc>
          <w:tcPr>
            <w:tcW w:w="322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20" w:type="dxa"/>
            <w:vAlign w:val="bottom"/>
            <w:tcBorders>
              <w:top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Class A Common Stock</w:t>
            </w: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840" w:space="720"/>
            <w:col w:w="3680"/>
          </w:cols>
          <w:pgMar w:left="320" w:top="740" w:right="339" w:bottom="1440" w:gutter="0" w:footer="0" w:header="0"/>
          <w:type w:val="continuous"/>
        </w:sectPr>
      </w:pPr>
    </w:p>
    <w:p>
      <w:pPr>
        <w:spacing w:after="0" w:line="1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November 4, 2024, the registrant had 21,155,319 shares of Class A Common Stock, $2.00 par value, outstanding and 3,120,166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0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QUARTER ENDED SEPTEMBER 30, 2024</w:t>
            </w:r>
          </w:p>
        </w:tc>
        <w:tc>
          <w:tcPr>
            <w:tcW w:w="9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4"/>
                <w:szCs w:val="24"/>
                <w:color w:val="auto"/>
              </w:rPr>
            </w:pPr>
          </w:p>
        </w:tc>
      </w:tr>
      <w:tr>
        <w:trPr>
          <w:trHeight w:val="445"/>
        </w:trPr>
        <w:tc>
          <w:tcPr>
            <w:tcW w:w="8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 No.</w:t>
            </w:r>
          </w:p>
        </w:tc>
      </w:tr>
      <w:tr>
        <w:trPr>
          <w:trHeight w:val="190"/>
        </w:trPr>
        <w:tc>
          <w:tcPr>
            <w:tcW w:w="8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EE"/>
            </w:tcBorders>
            <w:gridSpan w:val="6"/>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540" w:type="dxa"/>
            <w:vAlign w:val="bottom"/>
            <w:tcBorders>
              <w:bottom w:val="single" w:sz="8" w:color="CCEEFF"/>
            </w:tcBorders>
            <w:gridSpan w:val="6"/>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8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7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2024 (unaudited) and December 31, 2023</w:t>
            </w:r>
          </w:p>
        </w:tc>
        <w:tc>
          <w:tcPr>
            <w:tcW w:w="196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8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for the three and nine month periods ended September 30, 2024 and 2023</w:t>
            </w:r>
          </w:p>
        </w:tc>
        <w:tc>
          <w:tcPr>
            <w:tcW w:w="98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88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580" w:type="dxa"/>
            <w:vAlign w:val="bottom"/>
            <w:gridSpan w:val="3"/>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for the three and nine month periods ended September 30, 2024</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96"/>
        </w:trPr>
        <w:tc>
          <w:tcPr>
            <w:tcW w:w="840" w:type="dxa"/>
            <w:vAlign w:val="bottom"/>
            <w:shd w:val="clear" w:color="auto" w:fill="CCEEFF"/>
          </w:tcPr>
          <w:p>
            <w:pPr>
              <w:spacing w:after="0"/>
              <w:rPr>
                <w:sz w:val="17"/>
                <w:szCs w:val="17"/>
                <w:color w:val="auto"/>
              </w:rPr>
            </w:pPr>
          </w:p>
        </w:tc>
        <w:tc>
          <w:tcPr>
            <w:tcW w:w="942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2023 (unaudited)</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as of September 30, 2024 and September 30, 2023 (unaudited)</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92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 periods ended September 30, 2024 and 2023 (unaudited)</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9-10</w:t>
            </w:r>
          </w:p>
        </w:tc>
      </w:tr>
      <w:tr>
        <w:trPr>
          <w:trHeight w:val="176"/>
        </w:trPr>
        <w:tc>
          <w:tcPr>
            <w:tcW w:w="8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60" w:type="dxa"/>
            <w:vAlign w:val="bottom"/>
            <w:tcBorders>
              <w:top w:val="single" w:sz="8" w:color="CCEEFF"/>
            </w:tcBorders>
            <w:gridSpan w:val="5"/>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760" w:type="dxa"/>
            <w:vAlign w:val="bottom"/>
            <w:tcBorders>
              <w:top w:val="single" w:sz="8" w:color="CCEEFF"/>
            </w:tcBorders>
            <w:gridSpan w:val="11"/>
          </w:tcPr>
          <w:p>
            <w:pPr>
              <w:jc w:val="center"/>
              <w:ind w:right="364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98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080" w:type="dxa"/>
            <w:vAlign w:val="bottom"/>
            <w:tcBorders>
              <w:bottom w:val="single" w:sz="8" w:color="CCEEFF"/>
            </w:tcBorders>
            <w:gridSpan w:val="17"/>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60" w:type="dxa"/>
            <w:vAlign w:val="bottom"/>
            <w:tcBorders>
              <w:bottom w:val="single" w:sz="8" w:color="CCEEFF"/>
            </w:tcBorders>
            <w:gridSpan w:val="9"/>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640" w:type="dxa"/>
            <w:vAlign w:val="bottom"/>
            <w:tcBorders>
              <w:bottom w:val="single" w:sz="8" w:color="CCEEFF"/>
            </w:tcBorders>
            <w:gridSpan w:val="1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8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453"/>
        </w:trPr>
        <w:tc>
          <w:tcPr>
            <w:tcW w:w="84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120" w:type="dxa"/>
            <w:vAlign w:val="bottom"/>
            <w:tcBorders>
              <w:bottom w:val="single" w:sz="8" w:color="auto"/>
            </w:tcBorders>
            <w:gridSpan w:val="13"/>
          </w:tcPr>
          <w:p>
            <w:pPr>
              <w:jc w:val="center"/>
              <w:ind w:left="3830"/>
              <w:spacing w:after="0"/>
              <w:rPr>
                <w:sz w:val="20"/>
                <w:szCs w:val="20"/>
                <w:color w:val="auto"/>
              </w:rPr>
            </w:pPr>
            <w:r>
              <w:rPr>
                <w:rFonts w:ascii="Times New Roman" w:cs="Times New Roman" w:eastAsia="Times New Roman" w:hAnsi="Times New Roman"/>
                <w:sz w:val="18"/>
                <w:szCs w:val="18"/>
                <w:color w:val="auto"/>
                <w:w w:val="88"/>
              </w:rPr>
              <w:t>2</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$347,143,698 and $390,884,441 for 2024 and 2023, respectively; net of allowance for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of $414,602 and $314,549 for 2024 and 2023, respectively)</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346,513,336</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381,535,986</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$11,357,095 and $10,571,505 for 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2023,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16,385,571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$1,579,746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$3,818,653 for 2024 and 2023,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281,734,182</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275,616,837</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$30,005,134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$29,307,791 for 2024 and 2023,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200,490,556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183,419,292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1,001,453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3,028,973</w:t>
            </w:r>
          </w:p>
        </w:tc>
        <w:tc>
          <w:tcPr>
            <w:tcW w:w="0" w:type="dxa"/>
            <w:vAlign w:val="bottom"/>
          </w:tcPr>
          <w:p>
            <w:pPr>
              <w:spacing w:after="0"/>
              <w:rPr>
                <w:sz w:val="1"/>
                <w:szCs w:val="1"/>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 for credit losses of $1,540,835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$1,553,836 for 2024 and 2023,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70,219,649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69,404,617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7,860,824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10,170,790</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924,205,571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936,812,566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170,706,542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142,897,741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126,549,190</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$1,566,150 and $1,897,887 for 2024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16,451,703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15,335,315</w:t>
            </w:r>
          </w:p>
        </w:tc>
        <w:tc>
          <w:tcPr>
            <w:tcW w:w="0" w:type="dxa"/>
            <w:vAlign w:val="bottom"/>
          </w:tcPr>
          <w:p>
            <w:pPr>
              <w:spacing w:after="0"/>
              <w:rPr>
                <w:sz w:val="1"/>
                <w:szCs w:val="1"/>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$11,608,495 and $9,239,063 for 2024 and 2023 respectively,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27,957,336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20,028,976</w:t>
            </w:r>
          </w:p>
        </w:tc>
        <w:tc>
          <w:tcPr>
            <w:tcW w:w="0" w:type="dxa"/>
            <w:vAlign w:val="bottom"/>
          </w:tcPr>
          <w:p>
            <w:pPr>
              <w:spacing w:after="0"/>
              <w:rPr>
                <w:sz w:val="1"/>
                <w:szCs w:val="1"/>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$5,844,356 and $4,969,005 for 2024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2023, respectively, at estimated fair value)</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8,945,781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8,082,917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14,299,734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14,857,059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9,786,769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9,163,691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121,827,365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116,351,067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3,051,805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3,461,146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17,745,106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19,175,099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7,643,791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8,467,613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5,253,783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24,051,168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20,072,195</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1,494,824,195</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8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937,811,456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916,038,616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2,054,164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2,543,822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106,989,925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105,555,137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19,493,005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18,237,246</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5,565,003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5,326,196</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3,245,452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2,936,968</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56,994,869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53,266,090</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16,348,255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13,752,981</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1,148,502,129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1,117,657,056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 - $1.00 par value; 5,000,000 shares authorized; none issued or</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21,117,986 shares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September 30, 2024 and 21,052,883 (1) shares issued and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42,235,972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40,096,004</w:t>
            </w:r>
          </w:p>
        </w:tc>
      </w:tr>
      <w:tr>
        <w:trPr>
          <w:trHeight w:val="198"/>
        </w:trPr>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3,120,166 shares issued and outstanding as of September 30, 2024 and 3,120,432 (1) shares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2023</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6,240,332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5,943,708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78,977,933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72,424,429</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(6,885,558)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225,400,933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206,978,373</w:t>
            </w: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- 938,919 Class A shares and 37,503 Class C shares as of September</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and 852,338 (1) Class A shares and 37,503 (1) Class C shares as of December 31,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(6,490,559)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(5,661,737)</w:t>
            </w:r>
          </w:p>
        </w:tc>
      </w:tr>
      <w:tr>
        <w:trPr>
          <w:trHeight w:val="223"/>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346,322,066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312,895,219</w:t>
            </w:r>
          </w:p>
        </w:tc>
      </w:tr>
      <w:tr>
        <w:trPr>
          <w:trHeight w:val="210"/>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1,494,824,195</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1,430,552,275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(1)Issued and outstanding shares have been adjusted retroactively for the effect of annual stock dividends.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68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7"/>
          </w:tcPr>
          <w:p>
            <w:pPr>
              <w:jc w:val="right"/>
              <w:ind w:right="9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30,224,092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24,936,019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81,675,278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77,003,778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30,011,081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28,906,803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89,823,732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85,687,394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17,799,096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19,248,463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55,790,472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57,195,320</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6,814,331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7,234,031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21,531,769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20,874,174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1,347,656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(932,414)</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2,639,843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(4,676)</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2,077,431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848,825</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3,792,127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2,832,630</w:t>
            </w:r>
          </w:p>
        </w:tc>
        <w:tc>
          <w:tcPr>
            <w:tcW w:w="80" w:type="dxa"/>
            <w:vAlign w:val="bottom"/>
            <w:shd w:val="clear" w:color="auto" w:fill="CCEEFF"/>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88,273,687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80,241,727</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255,253,221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243,588,620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13,570,336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14,678,251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43,354,254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46,811,922</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Surrenders and other policy benefits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1,194,692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1,467,066</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3,453,425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3,550,416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future policy benefits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8,589,354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9,476,678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27,148,178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26,031,421</w:t>
            </w:r>
          </w:p>
        </w:tc>
        <w:tc>
          <w:tcPr>
            <w:tcW w:w="80" w:type="dxa"/>
            <w:vAlign w:val="bottom"/>
            <w:shd w:val="clear" w:color="auto" w:fill="CCEEFF"/>
          </w:tcPr>
          <w:p>
            <w:pPr>
              <w:spacing w:after="0"/>
              <w:rPr>
                <w:sz w:val="18"/>
                <w:szCs w:val="18"/>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2,287,003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4,480,457</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11,332,305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13,615,359</w:t>
            </w:r>
          </w:p>
        </w:tc>
        <w:tc>
          <w:tcPr>
            <w:tcW w:w="8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13,204,406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10,467,796</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34,638,464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30,877,232</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21,249,554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20,234,106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61,907,265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62,705,033</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907,528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994,433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2,381,400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2,863,597</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1,380,076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1,677,701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4,078,792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5,285,492</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611,475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590,168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1,791,823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1,765,797</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1,694,791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1,563,172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4,677,767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5,246,881</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6,191,624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7,124,347</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19,476,918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22,308,291</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1,060,653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1,151,534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3,161,943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4,019,669</w:t>
            </w:r>
          </w:p>
        </w:tc>
        <w:tc>
          <w:tcPr>
            <w:tcW w:w="8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sold-mortuaries and cemeteries</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1,117,513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1,177,328</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3,627,101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3,614,599</w:t>
            </w:r>
          </w:p>
        </w:tc>
        <w:tc>
          <w:tcPr>
            <w:tcW w:w="8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73,059,005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75,083,037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221,029,635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228,695,709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15,214,682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5,158,690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34,223,586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14,892,911</w:t>
            </w:r>
          </w:p>
        </w:tc>
        <w:tc>
          <w:tcPr>
            <w:tcW w:w="80" w:type="dxa"/>
            <w:vAlign w:val="bottom"/>
            <w:shd w:val="clear" w:color="auto" w:fill="CCEEFF"/>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(3,383,238)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(1,117,397)</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(7,646,071)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(3,258,740)</w:t>
            </w:r>
          </w:p>
        </w:tc>
      </w:tr>
      <w:tr>
        <w:trPr>
          <w:trHeight w:val="210"/>
        </w:trPr>
        <w:tc>
          <w:tcPr>
            <w:tcW w:w="5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11,831,444</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4,041,293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26,577,515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11,634,171</w:t>
            </w:r>
          </w:p>
        </w:tc>
        <w:tc>
          <w:tcPr>
            <w:tcW w:w="8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4"/>
        </w:trPr>
        <w:tc>
          <w:tcPr>
            <w:tcW w:w="5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earnings per Class A Equivalent common share-assuming</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5"/>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dilution (1)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80" w:type="dxa"/>
            <w:vAlign w:val="bottom"/>
          </w:tcPr>
          <w:p>
            <w:pPr>
              <w:spacing w:after="0"/>
              <w:rPr>
                <w:sz w:val="24"/>
                <w:szCs w:val="24"/>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 outstanding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23,240,725</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23,169,141</w:t>
            </w:r>
          </w:p>
        </w:tc>
        <w:tc>
          <w:tcPr>
            <w:tcW w:w="20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23,287,707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23,171,889</w:t>
            </w:r>
          </w:p>
        </w:tc>
        <w:tc>
          <w:tcPr>
            <w:tcW w:w="8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Class A equivalent common shares outstanding-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assuming dilution (1)</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24,053,486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23,975,784</w:t>
            </w:r>
          </w:p>
        </w:tc>
        <w:tc>
          <w:tcPr>
            <w:tcW w:w="2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23,984,233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23,837,693</w:t>
            </w:r>
          </w:p>
        </w:tc>
        <w:tc>
          <w:tcPr>
            <w:tcW w:w="8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80" w:hanging="209"/>
        <w:spacing w:after="0" w:line="266" w:lineRule="auto"/>
        <w:rPr>
          <w:sz w:val="20"/>
          <w:szCs w:val="20"/>
          <w:color w:val="auto"/>
        </w:rPr>
      </w:pPr>
      <w:r>
        <w:rPr>
          <w:rFonts w:ascii="Times New Roman" w:cs="Times New Roman" w:eastAsia="Times New Roman" w:hAnsi="Times New Roman"/>
          <w:sz w:val="18"/>
          <w:szCs w:val="18"/>
          <w:color w:val="auto"/>
        </w:rPr>
        <w:t>(1)Net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6"/>
          </w:tcPr>
          <w:p>
            <w:pPr>
              <w:jc w:val="right"/>
              <w:ind w:right="921"/>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6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4,041,293</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26,577,515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11,634,171</w:t>
            </w:r>
          </w:p>
        </w:tc>
        <w:tc>
          <w:tcPr>
            <w:tcW w:w="100" w:type="dxa"/>
            <w:vAlign w:val="bottom"/>
            <w:shd w:val="clear" w:color="auto" w:fill="CCEEFF"/>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10,443,490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(6,805,602)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8,661,351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(6,580,750)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(12,284)</w:t>
            </w:r>
          </w:p>
        </w:tc>
        <w:tc>
          <w:tcPr>
            <w:tcW w:w="2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(14,340)</w:t>
            </w: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(1)</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4,263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(2,487)</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10"/>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10,457,106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(6,820,373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8,669,559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(6,598,389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(2,201,866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1,432,846</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(1,826,546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1,386,368</w:t>
            </w:r>
          </w:p>
        </w:tc>
        <w:tc>
          <w:tcPr>
            <w:tcW w:w="100" w:type="dxa"/>
            <w:vAlign w:val="bottom"/>
            <w:shd w:val="clear" w:color="auto" w:fill="CCEEFF"/>
          </w:tcPr>
          <w:p>
            <w:pPr>
              <w:spacing w:after="0"/>
              <w:rPr>
                <w:sz w:val="18"/>
                <w:szCs w:val="18"/>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8,255,240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(5,387,527</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(5,212,021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20,086,684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(1,346,234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33,420,528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6,422,150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$40,096,004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$ 5,943,708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$72,424,429</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(6,885,558)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$ 206,978,373</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(5,661,737)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$ 312,895,219</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7,474,522</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7,474,522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(895,098)</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(895,098)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366,733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470,521</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(41,077)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(41,077)</w:t>
            </w:r>
          </w:p>
        </w:tc>
      </w:tr>
      <w:tr>
        <w:trPr>
          <w:trHeight w:val="22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40,097,162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$ 5,943,360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72,727,294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(7,780,656</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214,452,895</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(5,336,081</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320,103,974</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7,271,549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7,271,549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(517,129)</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(517,129)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184,066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184,066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64,164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46,182</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252,208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265,409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(1,588,058)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(1,588,058)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2,009,442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297,156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5,847,226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(8,153,824)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42,171,872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78,752,885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(8,297,785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213,570,620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(6,671,931</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325,765,993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11,831,444</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11,831,444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8,255,240</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8,255,240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196,326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62,860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70,410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224,469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245,750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(43,097)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(43,097)</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(1,131)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42,235,972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$ 6,240,332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78,977,933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(42,545</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225,400,933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(6,490,559</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346,322,066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center"/>
              <w:ind w:right="61"/>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Class C</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Paid-in</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Treasury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Stock</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20"/>
                <w:szCs w:val="20"/>
                <w:color w:val="auto"/>
              </w:rPr>
            </w:pPr>
          </w:p>
        </w:tc>
        <w:tc>
          <w:tcPr>
            <w:tcW w:w="13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Stock</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$37,516,062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$ 5,779,718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$64,767,769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(13,070,277)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$ 202,160,306</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 (4,366,651)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$ 292,786,927</w:t>
            </w:r>
          </w:p>
        </w:tc>
      </w:tr>
      <w:tr>
        <w:trPr>
          <w:trHeight w:val="216"/>
        </w:trPr>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Adoption of ASU 2016-13</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(671,506)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(671,506)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1,240,172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1,240,172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4,127,558</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4,127,558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143,671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143,671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96,092</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(43,493)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620,651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577,158</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(1,204,357)</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(1,204,357)</w:t>
            </w:r>
          </w:p>
        </w:tc>
      </w:tr>
      <w:tr>
        <w:trPr>
          <w:trHeight w:val="229"/>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1,872</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37,614,026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$ 5,777,846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64,805,874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(8,942,719</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202,728,972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(4,950,357</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297,033,642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6,352,706</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6,352,706</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(3,952,052)</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(3,952,052)</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141,954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159,284</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(154,424)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623,056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568,706</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126,990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(1,514,049)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(1,387,059)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113,930</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(113,930)</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1,899,350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283,188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6,820,431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(9,002,969)</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39,787,400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$ 5,947,104</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71,685,665</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(12,894,771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200,078,709</w:t>
            </w:r>
          </w:p>
        </w:tc>
        <w:tc>
          <w:tcPr>
            <w:tcW w:w="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(5,841,350</w:t>
            </w:r>
          </w:p>
        </w:tc>
        <w:tc>
          <w:tcPr>
            <w:tcW w:w="26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298,762,757</w:t>
            </w:r>
          </w:p>
        </w:tc>
        <w:tc>
          <w:tcPr>
            <w:tcW w:w="100" w:type="dxa"/>
            <w:vAlign w:val="bottom"/>
            <w:tcBorders>
              <w:bottom w:val="single" w:sz="8" w:color="CCEEFF"/>
            </w:tcBorders>
          </w:tcPr>
          <w:p>
            <w:pPr>
              <w:spacing w:after="0"/>
              <w:rPr>
                <w:sz w:val="22"/>
                <w:szCs w:val="22"/>
                <w:color w:val="auto"/>
              </w:rPr>
            </w:pPr>
          </w:p>
        </w:tc>
      </w:tr>
      <w:tr>
        <w:trPr>
          <w:trHeight w:val="197"/>
        </w:trPr>
        <w:tc>
          <w:tcPr>
            <w:tcW w:w="2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4,041,293</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4,041,293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(5,387,527)</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(5,387,527)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145,973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145,973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223,006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458,530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556,917</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456,166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(708,115)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(251,949)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3,396</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(2,516)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40,015,222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$ 5,943,708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72,190,361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(18,282,298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$ 204,117,486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(6,090,935</w:t>
            </w:r>
          </w:p>
        </w:tc>
        <w:tc>
          <w:tcPr>
            <w:tcW w:w="26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297,893,544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34,894,323</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18,383,768</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(45,346,681)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(50,158,586)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89,829,379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33,160,924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(2,769,612)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(6,464,200)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2,018,249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5,891,964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(2,536,814)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(1,836,290)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1,171,707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387,049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(2,487,924)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(493,833)</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calls and maturities of perpetual care trust investments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2,383,653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177,932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(549,027,246)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(467,172,350)</w:t>
            </w:r>
          </w:p>
        </w:tc>
      </w:tr>
      <w:tr>
        <w:trPr>
          <w:trHeight w:val="198"/>
        </w:trPr>
        <w:tc>
          <w:tcPr>
            <w:tcW w:w="6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540,583,700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532,511,486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(575,648)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(791,569)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365,693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real estate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(46,189,096)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(17,219,245)</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real estate</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28,385,283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25,727,541</w:t>
            </w:r>
          </w:p>
        </w:tc>
      </w:tr>
      <w:tr>
        <w:trPr>
          <w:trHeight w:val="209"/>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15,804,643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53,720,823</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contract receipts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10,193,442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9,323,700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contract withdrawals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(11,520,918)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(11,657,189)</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116,592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64,959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(1,672,232)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(2,843,365)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bank loans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(1,423,826)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(69,133,305)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loans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68,500,000</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2,622,976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(52,720,401)</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(1,683,966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(58,465,601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49,015,000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13,638,990</w:t>
            </w:r>
          </w:p>
        </w:tc>
        <w:tc>
          <w:tcPr>
            <w:tcW w:w="100" w:type="dxa"/>
            <w:vAlign w:val="bottom"/>
            <w:tcBorders>
              <w:bottom w:val="single" w:sz="8" w:color="CCEEFF"/>
            </w:tcBorders>
          </w:tcPr>
          <w:p>
            <w:pPr>
              <w:spacing w:after="0"/>
              <w:rPr>
                <w:sz w:val="18"/>
                <w:szCs w:val="18"/>
                <w:color w:val="auto"/>
              </w:rPr>
            </w:pP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period</w:t>
            </w:r>
          </w:p>
        </w:tc>
        <w:tc>
          <w:tcPr>
            <w:tcW w:w="1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139,923,399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133,483,817</w:t>
            </w:r>
          </w:p>
        </w:tc>
        <w:tc>
          <w:tcPr>
            <w:tcW w:w="100" w:type="dxa"/>
            <w:vAlign w:val="bottom"/>
            <w:shd w:val="clear" w:color="auto" w:fill="CCEEFF"/>
          </w:tcPr>
          <w:p>
            <w:pPr>
              <w:spacing w:after="0"/>
              <w:rPr>
                <w:sz w:val="18"/>
                <w:szCs w:val="18"/>
                <w:color w:val="auto"/>
              </w:rPr>
            </w:pPr>
          </w:p>
        </w:tc>
      </w:tr>
      <w:tr>
        <w:trPr>
          <w:trHeight w:val="263"/>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period</w:t>
            </w:r>
          </w:p>
        </w:tc>
        <w:tc>
          <w:tcPr>
            <w:tcW w:w="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188,938,399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147,122,807</w:t>
            </w:r>
          </w:p>
        </w:tc>
        <w:tc>
          <w:tcPr>
            <w:tcW w:w="100" w:type="dxa"/>
            <w:vAlign w:val="bottom"/>
            <w:tcBorders>
              <w:bottom w:val="single" w:sz="8" w:color="CCEEFF"/>
            </w:tcBorders>
          </w:tcPr>
          <w:p>
            <w:pPr>
              <w:spacing w:after="0"/>
              <w:rPr>
                <w:sz w:val="22"/>
                <w:szCs w:val="22"/>
                <w:color w:val="auto"/>
              </w:rPr>
            </w:pPr>
          </w:p>
        </w:tc>
      </w:tr>
      <w:tr>
        <w:trPr>
          <w:trHeight w:val="197"/>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3,124,591</w:t>
            </w:r>
          </w:p>
        </w:tc>
        <w:tc>
          <w:tcPr>
            <w:tcW w:w="80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4,182,368</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6,877,342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18,911,907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Cash Operating, Investing and Financing Activities: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1,130,610</w:t>
            </w:r>
          </w:p>
        </w:tc>
        <w:tc>
          <w:tcPr>
            <w:tcW w:w="8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139,095</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981,680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1,702,781</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176,040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12,332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Transfer of loans held for sale to mortgage loans held for investment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3,017,626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mortgage loans held for investment to restricted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1,625,961</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from mortgage loans held for investment to cemetery perpetual care trust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1,611,550</w:t>
            </w:r>
          </w:p>
        </w:tc>
      </w:tr>
      <w:tr>
        <w:trPr>
          <w:trHeight w:val="432"/>
        </w:trPr>
        <w:tc>
          <w:tcPr>
            <w:tcW w:w="682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condensed consolidated statements of cash flows are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69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170,706,542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134,751,854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15,232,601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10,946,379</w:t>
            </w: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2,999,256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1,424,574</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188,938,399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2023, included in the Company’s Annual Report on Form 10-K (File Number 000-09341). In the opinion of management, all adjustments (consisting of normal recurring accruals) considered necessary for a fair presentation have been included. Operating results for the three and nine month periods ended September 30, 2024 are not necessarily indicative of the results that may be expected for the year ending December 31,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the value of loans held for sale;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2023</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2016-13: “Financial Instruments – Credit Losses (Topic 326)”</w:t>
      </w:r>
      <w:r>
        <w:rPr>
          <w:rFonts w:ascii="Times New Roman" w:cs="Times New Roman" w:eastAsia="Times New Roman" w:hAnsi="Times New Roman"/>
          <w:sz w:val="18"/>
          <w:szCs w:val="18"/>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an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(192,607)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301,830</w:t>
            </w:r>
          </w:p>
        </w:tc>
      </w:tr>
      <w:tr>
        <w:trPr>
          <w:trHeight w:val="229"/>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555,807</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Restriced assets - mortgage loans held for investment: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r>
      <w:tr>
        <w:trPr>
          <w:trHeight w:val="223"/>
        </w:trPr>
        <w:tc>
          <w:tcPr>
            <w:tcW w:w="73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 mortgage loans held for investment: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3,013</w:t>
            </w:r>
          </w:p>
        </w:tc>
      </w:tr>
      <w:tr>
        <w:trPr>
          <w:trHeight w:val="223"/>
        </w:trPr>
        <w:tc>
          <w:tcPr>
            <w:tcW w:w="7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671,506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ASU No. 2018-12 is effective for annual reporting periods beginning after December 15, 2024 and interim reporting periods beginning after December 15, 2025. The Company will adopt the standard commencing with its annual reporting period ending December 31, 2025. The Company is nearing completion of its analysis and implementation of the new standard, including the identification of cohorts, system updates, and design. The Company has engaged its team of actuaries, accountants, and systems specialists and consulted external system providers as part of the implementation. The Company is in the process of estimating the impact of the new guidance on the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Recent Accounting Pronouncements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ASU 2023-09 is effective for the Company beginning on January 1, 2025. The Company is in the process of estimating the impact of the new guidance on the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2023-07: “Segment Reporting (Topic 280): Improvements to Reportable Segment Disclosures”</w:t>
      </w:r>
      <w:r>
        <w:rPr>
          <w:rFonts w:ascii="Times New Roman" w:cs="Times New Roman" w:eastAsia="Times New Roman" w:hAnsi="Times New Roman"/>
          <w:sz w:val="18"/>
          <w:szCs w:val="18"/>
          <w:color w:val="auto"/>
        </w:rPr>
        <w:t xml:space="preserve"> — Issued in November 2023, ASU 2023-07 requires enhanced disclosures about significant segment expenses. The key amendments include: (i) disclosures on significant segment expenses that are regularly provided to the chief operating decision maker (CODM) and included within each reported measure of segment profit or loss on an annual and interim basis; (ii) disclosures on an amount for other segment items by reportable segment and a description of its composition on an annual and interim basis. The other segment items category is the difference between segment revenue less the significant expenses disclosed and each reported measure of segment profit or loss; (iii) providing all annual disclosures on a reportable segment’s profit or loss and assets currently required by FASB ASC Topic 280, Segment Reporting in interim periods; and (iv) specifying the title and position of the CODM. ASU 2023-07 is effective for the Company for annual periods beginning January 1, 2024 and interim periods beginning January 1, 2025. The Company is in the process of estimating the impact of the new guidance on the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September 30,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Losses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0"/>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76,328,048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1,233,362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(451,493)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77,109,917</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5,940,034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5,813,821</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230,885,585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6,223,923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(3,885,889)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(402,553)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232,821,066</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33,740,031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361,640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(3,571,090)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30,518,532</w:t>
            </w: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09"/>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347,143,698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7,838,153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(8,053,913)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(414,602)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346,513,336</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11,357,095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5,299,178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(270,702)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16,385,571</w:t>
            </w:r>
          </w:p>
        </w:tc>
      </w:tr>
      <w:tr>
        <w:trPr>
          <w:trHeight w:val="209"/>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11,357,095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5,299,178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(270,702)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16,385,571</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88,452,336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130,683,596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66,462,554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(1,978,564)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(305,994)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15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281,734,182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73,610,520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126,880,036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200,490,556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1,001,453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13,735,282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45,954,394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2,378,200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9,692,608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7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(1,540,835)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500" w:type="dxa"/>
            <w:vAlign w:val="bottom"/>
            <w:tcBorders>
              <w:top w:val="single" w:sz="8" w:color="CCEEFF"/>
            </w:tcBorders>
            <w:shd w:val="clear" w:color="auto" w:fill="CCEEFF"/>
          </w:tcPr>
          <w:p>
            <w:pPr>
              <w:spacing w:after="0"/>
              <w:rPr>
                <w:sz w:val="19"/>
                <w:szCs w:val="19"/>
                <w:color w:val="auto"/>
              </w:rPr>
            </w:pPr>
          </w:p>
        </w:tc>
        <w:tc>
          <w:tcPr>
            <w:tcW w:w="3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investments and 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70,219,649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500" w:type="dxa"/>
            <w:vAlign w:val="bottom"/>
            <w:tcBorders>
              <w:top w:val="single" w:sz="8" w:color="CCEEFF"/>
            </w:tcBorders>
            <w:shd w:val="clear" w:color="auto" w:fill="CCEEFF"/>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7,860,824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500" w:type="dxa"/>
            <w:vAlign w:val="bottom"/>
            <w:tcBorders>
              <w:top w:val="single" w:sz="8" w:color="CCEEFF"/>
            </w:tcBorders>
            <w:shd w:val="clear" w:color="auto" w:fill="CCEEFF"/>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bl>
    <w:p>
      <w:pPr>
        <w:sectPr>
          <w:pgSz w:w="11900" w:h="16838" w:orient="portrait"/>
          <w:cols w:equalWidth="0" w:num="1">
            <w:col w:w="11240"/>
          </w:cols>
          <w:pgMar w:left="320" w:top="688"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$ 924,205,571</w:t>
            </w:r>
          </w:p>
        </w:tc>
      </w:tr>
      <w:tr>
        <w:trPr>
          <w:trHeight w:val="27"/>
        </w:trPr>
        <w:tc>
          <w:tcPr>
            <w:tcW w:w="4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(1)Gross unrealized losses are net of allowance for credit losses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(2)Includes $553,900 of Membership stock and $1,824,300 of Activity stock attributable to short-term borrowings and letters of credit.</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line="84"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for Credit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Losses (1)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111,450,753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344,425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(1,416,448)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110,378,730</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6,524,083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(319,260)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6,205,323</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232,299,727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3,688,642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(7,145,507)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228,534,362</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40,359,878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506,647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(4,702,905)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36,157,571</w:t>
            </w: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w:t>
            </w:r>
          </w:p>
        </w:tc>
      </w:tr>
      <w:tr>
        <w:trPr>
          <w:trHeight w:val="223"/>
        </w:trPr>
        <w:tc>
          <w:tcPr>
            <w:tcW w:w="1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390,884,441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4,550,214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(13,584,120)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(314,549)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381,535,986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(439,575)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10"/>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10,571,505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3,504,141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(439,575)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13,636,071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103,153,587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104,052,748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74,176,538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(3,818,653)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(324,157)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275,616,837</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40,924,865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142,494,427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183,419,292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3,028,973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45,605,322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2,279,800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9,809,148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7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(1,553,836)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69,404,617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10,170,790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936,812,566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923" w:orient="portrait"/>
          <w:cols w:equalWidth="0" w:num="1">
            <w:col w:w="11240"/>
          </w:cols>
          <w:pgMar w:left="320" w:top="688" w:right="339" w:bottom="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3208655</wp:posOffset>
            </wp:positionH>
            <wp:positionV relativeFrom="page">
              <wp:posOffset>97790</wp:posOffset>
            </wp:positionV>
            <wp:extent cx="659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page">
              <wp:posOffset>3208655</wp:posOffset>
            </wp:positionH>
            <wp:positionV relativeFrom="page">
              <wp:posOffset>114935</wp:posOffset>
            </wp:positionV>
            <wp:extent cx="659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t>(1)Gross unrealized losses are net of allowance for credit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(2)Includes $530,900 of Membership stock and $1,748,900 of Activity stock due to short-term advances and letters of credit.</w:t>
      </w:r>
    </w:p>
    <w:p>
      <w:pPr>
        <w:spacing w:after="0" w:line="3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418" w:right="1440" w:bottom="1440" w:gutter="0" w:footer="0" w:header="0"/>
        </w:sectPr>
      </w:pPr>
    </w:p>
    <w:bookmarkStart w:id="17" w:name="page18"/>
    <w:bookmarkEnd w:id="1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investments, aggregated by issuer, of more than 10% of shareholders’ equity (before net unrealized gains and losses on equity securities and fixed maturity securities) as of September 30, 2024, other than investments issued or guaranteed by the United States Government.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2024 and December 31, 2023.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Losses for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More than</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Twelve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w:t>
            </w: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2024</w:t>
            </w: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37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4,411,131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450,959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22,087,838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26,498,969</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145,441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4,162,052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4,162,052</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15,096,035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3,714,178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83,653,386</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3,885,889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98,749,421</w:t>
            </w:r>
          </w:p>
        </w:tc>
      </w:tr>
      <w:tr>
        <w:trPr>
          <w:trHeight w:val="230"/>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695,868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3,565,378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19,827,317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3,571,090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20,523,185</w:t>
            </w:r>
          </w:p>
        </w:tc>
      </w:tr>
      <w:tr>
        <w:trPr>
          <w:trHeight w:val="263"/>
        </w:trPr>
        <w:tc>
          <w:tcPr>
            <w:tcW w:w="3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177,957</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20,203,034</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7,875,956</w:t>
            </w:r>
          </w:p>
        </w:tc>
        <w:tc>
          <w:tcPr>
            <w:tcW w:w="3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129,730,593</w:t>
            </w: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8,053,913</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149,933,627</w:t>
            </w:r>
          </w:p>
        </w:tc>
        <w:tc>
          <w:tcPr>
            <w:tcW w:w="100" w:type="dxa"/>
            <w:vAlign w:val="bottom"/>
            <w:tcBorders>
              <w:bottom w:val="single" w:sz="8" w:color="CCEEFF"/>
            </w:tcBorders>
          </w:tcPr>
          <w:p>
            <w:pPr>
              <w:spacing w:after="0"/>
              <w:rPr>
                <w:sz w:val="22"/>
                <w:szCs w:val="22"/>
                <w:color w:val="auto"/>
              </w:rPr>
            </w:pPr>
          </w:p>
        </w:tc>
      </w:tr>
      <w:tr>
        <w:trPr>
          <w:trHeight w:val="196"/>
        </w:trPr>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7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37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9,436,090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1,387,054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70,885,403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1,416,448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80,321,493</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470,325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308,155</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5,284,498</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5,754,823</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32,507,773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6,615,847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107,556,216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7,145,507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140,063,989</w:t>
            </w:r>
          </w:p>
        </w:tc>
      </w:tr>
      <w:tr>
        <w:trPr>
          <w:trHeight w:val="230"/>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2,260,445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4,673,106</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22,184,174</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4,702,905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24,444,619</w:t>
            </w:r>
          </w:p>
        </w:tc>
      </w:tr>
      <w:tr>
        <w:trPr>
          <w:trHeight w:val="223"/>
        </w:trPr>
        <w:tc>
          <w:tcPr>
            <w:tcW w:w="3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44,674,633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12,984,162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205,910,291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13,584,120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250,584,924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Relevant holdings were comprised of 433 securities with fair values aggregating 94.9% of the aggregate amortized cost as of September 30, 2024. Relevant holdings were comprised of 606 securities with fair values aggregating 94.9% of the aggregate amortized cost as of December 31, 2023. Credit loss provision of $20,342 and credit loss release of $1,741 have been recognized for the three month periods ended September 30, 2024 and 2023, respectively. Credit loss provision of $100,053 and $222,264 have been recognized for the nine month periods ended September 30, 2024 and 2023, respectively. Credit losses are included in gains (losses) on investments and other assets on the condensed consolidated statements of earnings. Other unrealized losses for which no credit loss was recognized are primarily the result of increases in interest rates.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and other industry rating agencies. Securities with a rating of 1 or 2 are considered investment grade and are not reviewed for credit loss unless current market data or recent company news could lead to a credit downgrade. Securities with ratings of 3 to 5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debt security and it is less likely than not that the Company will be required to sell the debt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line="39"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97.9% and 98.2% of its fixed maturity securities rated investment grade as of September 30, 2024 and December 31, 2023, respectively. The following table summarizes the credit quality, by NAIC designation, of the Company’s fixed maturity securities available for sale, excluding redeemable preferred stock.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September 30, 2024</w:t>
            </w: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191"/>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6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Fair</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3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NAIC Designation</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$176,865,129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$176,303,283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$221,933,425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$216,975,288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162,142,176</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162,728,124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161,062,016</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157,346,803</w:t>
            </w:r>
          </w:p>
        </w:tc>
      </w:tr>
      <w:tr>
        <w:trPr>
          <w:trHeight w:val="216"/>
        </w:trPr>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6,534,603</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6,134,808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6,418,829</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5,953,542</w:t>
            </w: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1,104,422</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1,048,370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982,290</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948,478</w:t>
            </w:r>
          </w:p>
        </w:tc>
      </w:tr>
      <w:tr>
        <w:trPr>
          <w:trHeight w:val="216"/>
        </w:trPr>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246,186</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48,750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236,648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51,875</w:t>
            </w:r>
          </w:p>
        </w:tc>
      </w:tr>
      <w:tr>
        <w:trPr>
          <w:trHeight w:val="229"/>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0" w:type="dxa"/>
            <w:vAlign w:val="bottom"/>
            <w:tcBorders>
              <w:top w:val="single" w:sz="8" w:color="CCEEFF"/>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Total</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346,893,698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346,263,336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390,634,441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381,275,986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three month periods ended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Treasury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Obligations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of states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and</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including</w:t>
            </w:r>
          </w:p>
        </w:tc>
        <w:tc>
          <w:tcPr>
            <w:tcW w:w="1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Government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political</w:t>
            </w:r>
          </w:p>
        </w:tc>
        <w:tc>
          <w:tcPr>
            <w:tcW w:w="1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public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backed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agencies</w:t>
            </w:r>
          </w:p>
        </w:tc>
        <w:tc>
          <w:tcPr>
            <w:tcW w:w="1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0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utilities</w:t>
            </w:r>
          </w:p>
        </w:tc>
        <w:tc>
          <w:tcPr>
            <w:tcW w:w="140" w:type="dxa"/>
            <w:vAlign w:val="bottom"/>
          </w:tcPr>
          <w:p>
            <w:pPr>
              <w:spacing w:after="0"/>
              <w:rPr>
                <w:sz w:val="20"/>
                <w:szCs w:val="20"/>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7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June 30,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382,211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394,260</w:t>
            </w:r>
          </w:p>
        </w:tc>
      </w:tr>
      <w:tr>
        <w:trPr>
          <w:trHeight w:val="216"/>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(4,658)</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402,553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414,602</w:t>
            </w:r>
          </w:p>
        </w:tc>
      </w:tr>
      <w:tr>
        <w:trPr>
          <w:trHeight w:val="20"/>
        </w:trPr>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p>
      <w:pPr>
        <w:sectPr>
          <w:pgSz w:w="11900" w:h="16877"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June 30, 2023</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September 30, 2023</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1"/>
        </w:trPr>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of 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including</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9"/>
              </w:rPr>
              <w:t>Mortgage-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Government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public</w:t>
            </w: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agencies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securities</w:t>
            </w:r>
          </w:p>
        </w:tc>
        <w:tc>
          <w:tcPr>
            <w:tcW w:w="140" w:type="dxa"/>
            <w:vAlign w:val="bottom"/>
          </w:tcPr>
          <w:p>
            <w:pPr>
              <w:spacing w:after="0"/>
              <w:rPr>
                <w:sz w:val="20"/>
                <w:szCs w:val="20"/>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Total</w:t>
            </w: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224,005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224,005</w:t>
            </w:r>
          </w:p>
        </w:tc>
        <w:tc>
          <w:tcPr>
            <w:tcW w:w="60" w:type="dxa"/>
            <w:vAlign w:val="bottom"/>
          </w:tcPr>
          <w:p>
            <w:pPr>
              <w:spacing w:after="0"/>
              <w:rPr>
                <w:sz w:val="24"/>
                <w:szCs w:val="24"/>
                <w:color w:val="auto"/>
              </w:rPr>
            </w:pPr>
          </w:p>
        </w:tc>
      </w:tr>
      <w:tr>
        <w:trPr>
          <w:trHeight w:val="414"/>
        </w:trPr>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16"/>
        </w:trPr>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(10,764)</w:t>
            </w:r>
          </w:p>
        </w:tc>
      </w:tr>
      <w:tr>
        <w:trPr>
          <w:trHeight w:val="216"/>
        </w:trPr>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48"/>
        </w:trPr>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211,500</w:t>
            </w:r>
          </w:p>
        </w:tc>
        <w:tc>
          <w:tcPr>
            <w:tcW w:w="60" w:type="dxa"/>
            <w:vAlign w:val="bottom"/>
          </w:tcPr>
          <w:p>
            <w:pPr>
              <w:spacing w:after="0"/>
              <w:rPr>
                <w:sz w:val="24"/>
                <w:szCs w:val="2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-1439545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-1165225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-890905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-616585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-333375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ectPr>
          <w:pgSz w:w="11900" w:h="16877" w:orient="portrait"/>
          <w:cols w:equalWidth="0" w:num="2">
            <w:col w:w="4820" w:space="720"/>
            <w:col w:w="5700"/>
          </w:cols>
          <w:pgMar w:left="320" w:top="688" w:right="339" w:bottom="0" w:gutter="0" w:footer="0" w:header="0"/>
          <w:type w:val="continuous"/>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 for the nine month periods ended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of 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including</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8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public</w:t>
            </w:r>
          </w:p>
        </w:tc>
        <w:tc>
          <w:tcPr>
            <w:tcW w:w="12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backed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agencies</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2024</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6,049</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61,000</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2024</w:t>
            </w:r>
          </w:p>
        </w:tc>
        <w:tc>
          <w:tcPr>
            <w:tcW w:w="62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402,553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414,602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Treasury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of 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16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including</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68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Government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public</w:t>
            </w:r>
          </w:p>
        </w:tc>
        <w:tc>
          <w:tcPr>
            <w:tcW w:w="12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backed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agencies</w:t>
            </w: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utilities</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securities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179,500</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on securities with previous allowance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42,764</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42,764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(10,764)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 for securities with credit losses due to intent to sell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the estimated fair value of fixed maturity securities available for sale as of September 30, 2024, by contractual maturity. Actual or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7,981,489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7,842,911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136,017,903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136,085,053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103,303,678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106,137,140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65,850,597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65,679,700</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33,740,031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30,518,532</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250,000</w:t>
            </w:r>
          </w:p>
        </w:tc>
      </w:tr>
      <w:tr>
        <w:trPr>
          <w:trHeight w:val="223"/>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347,143,698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346,513,336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w w:val="99"/>
              </w:rPr>
              <w:t>Three Months Ended September</w:t>
            </w:r>
          </w:p>
        </w:tc>
        <w:tc>
          <w:tcPr>
            <w:tcW w:w="100" w:type="dxa"/>
            <w:vAlign w:val="bottom"/>
          </w:tcPr>
          <w:p>
            <w:pPr>
              <w:spacing w:after="0"/>
              <w:rPr>
                <w:sz w:val="18"/>
                <w:szCs w:val="18"/>
                <w:color w:val="auto"/>
              </w:rPr>
            </w:pPr>
          </w:p>
        </w:tc>
        <w:tc>
          <w:tcPr>
            <w:tcW w:w="24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9"/>
              </w:rPr>
              <w:t>Nine Months Ended September</w:t>
            </w:r>
          </w:p>
        </w:tc>
        <w:tc>
          <w:tcPr>
            <w:tcW w:w="114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1,163,132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11,257</w:t>
            </w:r>
          </w:p>
        </w:tc>
        <w:tc>
          <w:tcPr>
            <w:tcW w:w="1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(20,666)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(57,472)</w:t>
            </w:r>
          </w:p>
        </w:tc>
        <w:tc>
          <w:tcPr>
            <w:tcW w:w="1140" w:type="dxa"/>
            <w:vAlign w:val="bottom"/>
          </w:tcPr>
          <w:p>
            <w:pPr>
              <w:spacing w:after="0"/>
              <w:rPr>
                <w:sz w:val="18"/>
                <w:szCs w:val="18"/>
                <w:color w:val="auto"/>
              </w:rPr>
            </w:pPr>
          </w:p>
        </w:tc>
      </w:tr>
      <w:tr>
        <w:trPr>
          <w:trHeight w:val="432"/>
        </w:trPr>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3" w:name="page24"/>
    <w:bookmarkEnd w:id="23"/>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77"/>
        <w:spacing w:after="0" w:line="261" w:lineRule="auto"/>
        <w:rPr>
          <w:sz w:val="20"/>
          <w:szCs w:val="20"/>
          <w:color w:val="auto"/>
        </w:rPr>
      </w:pPr>
      <w:r>
        <w:rPr>
          <w:rFonts w:ascii="Times New Roman" w:cs="Times New Roman" w:eastAsia="Times New Roman" w:hAnsi="Times New Roman"/>
          <w:sz w:val="18"/>
          <w:szCs w:val="18"/>
          <w:color w:val="auto"/>
        </w:rPr>
        <w:t>Fixed maturity securities available for sale at estimated fair value 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0039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570039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on deposit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ind w:left="803" w:hanging="803"/>
        <w:spacing w:after="0"/>
        <w:tabs>
          <w:tab w:leader="none" w:pos="8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6,402,068</w:t>
      </w:r>
    </w:p>
    <w:p>
      <w:pPr>
        <w:spacing w:after="0" w:line="22" w:lineRule="exact"/>
        <w:rPr>
          <w:rFonts w:ascii="Times New Roman" w:cs="Times New Roman" w:eastAsia="Times New Roman" w:hAnsi="Times New Roman"/>
          <w:sz w:val="18"/>
          <w:szCs w:val="18"/>
          <w:color w:val="auto"/>
        </w:rPr>
      </w:pPr>
    </w:p>
    <w:p>
      <w:pPr>
        <w:ind w:left="9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400,000</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1,385,229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803" w:hanging="803"/>
        <w:spacing w:after="0"/>
        <w:tabs>
          <w:tab w:leader="none" w:pos="8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8,187,297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ind w:left="801" w:hanging="801"/>
        <w:spacing w:after="0"/>
        <w:tabs>
          <w:tab w:leader="none" w:pos="8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6,206,650</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400,000</w:t>
      </w:r>
    </w:p>
    <w:p>
      <w:pPr>
        <w:spacing w:after="0" w:line="21" w:lineRule="exact"/>
        <w:rPr>
          <w:sz w:val="20"/>
          <w:szCs w:val="20"/>
          <w:color w:val="auto"/>
        </w:rPr>
      </w:pPr>
    </w:p>
    <w:p>
      <w:pPr>
        <w:jc w:val="right"/>
        <w:ind w:right="2340"/>
        <w:spacing w:after="0"/>
        <w:rPr>
          <w:sz w:val="20"/>
          <w:szCs w:val="20"/>
          <w:color w:val="auto"/>
        </w:rPr>
      </w:pPr>
      <w:r>
        <w:rPr>
          <w:rFonts w:ascii="Times New Roman" w:cs="Times New Roman" w:eastAsia="Times New Roman" w:hAnsi="Times New Roman"/>
          <w:sz w:val="18"/>
          <w:szCs w:val="18"/>
          <w:color w:val="auto"/>
        </w:rPr>
        <w:t>1,909,215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801" w:hanging="801"/>
        <w:spacing w:after="0"/>
        <w:tabs>
          <w:tab w:leader="none" w:pos="8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8,515,865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877" w:space="720"/>
            <w:col w:w="1523" w:space="259"/>
            <w:col w:w="3861"/>
          </w:cols>
          <w:pgMar w:left="320" w:top="68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26,907,601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27,903,952</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3,427,980</w:t>
            </w:r>
          </w:p>
        </w:tc>
        <w:tc>
          <w:tcPr>
            <w:tcW w:w="1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2,101,052</w:t>
            </w:r>
          </w:p>
        </w:tc>
      </w:tr>
      <w:tr>
        <w:trPr>
          <w:trHeight w:val="223"/>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30,335,581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member of the Federal Home Loan Bank of Des Moines and Dallas (“FHLB”). Assets pledged as collateral with the FHLB are presented below. These pledged securities are used as collateral for any FHLB cash advances.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66,564,387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93,903,089</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and manages commercial real estate assets as a means of both generating investment income and providing workspace for its employees.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4" w:name="page25"/>
    <w:bookmarkEnd w:id="2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will generally acquire assets as a result of company acquisitions or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two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aggregated net book value of commercial real estate serving as collateral for bank loans was $120,756,194 and $124,381,467 as of September 30, 2024 and December 31, 2023, respectively. The associated bank loan carrying values totaled $96,470,650 and $97,807,614 as of September 30, 2024 and December 31,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 periods ended September 30, 2024 and 2023,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September 30, 2024 and 2023, the Company recorded depreciation expense on commercial real estate held for investment of $1,420,367 and $1,572,494, respectively, and of $4,366,462 and $4,715,322 during the nine month periods ended September 30, 2024 and 2023,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Book Value</w:t>
            </w:r>
          </w:p>
        </w:tc>
        <w:tc>
          <w:tcPr>
            <w:tcW w:w="26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r>
      <w:tr>
        <w:trPr>
          <w:trHeight w:val="191"/>
        </w:trPr>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126,861,284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142,475,177</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625,920</w:t>
            </w:r>
          </w:p>
        </w:tc>
        <w:tc>
          <w:tcPr>
            <w:tcW w:w="8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Louisiana</w:t>
            </w: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19,250</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r>
      <w:tr>
        <w:trPr>
          <w:trHeight w:val="209"/>
        </w:trPr>
        <w:tc>
          <w:tcPr>
            <w:tcW w:w="28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2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126,880,036</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142,494,427</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548,563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627,542</w:t>
            </w:r>
          </w:p>
        </w:tc>
      </w:tr>
      <w:tr>
        <w:trPr>
          <w:trHeight w:val="20"/>
        </w:trPr>
        <w:tc>
          <w:tcPr>
            <w:tcW w:w="2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4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Includes Center53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Net Book Value</w:t>
            </w:r>
          </w:p>
        </w:tc>
        <w:tc>
          <w:tcPr>
            <w:tcW w:w="26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Total Square Footage</w:t>
            </w:r>
          </w:p>
        </w:tc>
        <w:tc>
          <w:tcPr>
            <w:tcW w:w="2260" w:type="dxa"/>
            <w:vAlign w:val="bottom"/>
          </w:tcPr>
          <w:p>
            <w:pPr>
              <w:spacing w:after="0"/>
              <w:rPr>
                <w:sz w:val="20"/>
                <w:szCs w:val="20"/>
                <w:color w:val="auto"/>
              </w:rPr>
            </w:pPr>
          </w:p>
        </w:tc>
      </w:tr>
      <w:tr>
        <w:trPr>
          <w:trHeight w:val="191"/>
        </w:trPr>
        <w:tc>
          <w:tcPr>
            <w:tcW w:w="2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7"/>
              </w:rPr>
              <w:t>December 31,</w:t>
            </w: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 (1)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3,028,973</w:t>
            </w:r>
          </w:p>
        </w:tc>
        <w:tc>
          <w:tcPr>
            <w:tcW w:w="2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28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151,553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3,028,973</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w:t>
            </w:r>
          </w:p>
        </w:tc>
        <w:tc>
          <w:tcPr>
            <w:tcW w:w="2260" w:type="dxa"/>
            <w:vAlign w:val="bottom"/>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194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4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Consists of approximately 93 acres of undeveloped land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 periods ended September 30, 2024 and 2023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 periods ended September 30, 2024 and 2023, the Company recorded depreciation expense on residential real estate held for investment of $2,653 and $2,648, respectively, and $7,958 and $7,944 during the nine month periods ended September 30, 2024 and 2023,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420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2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73,610,520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40,924,865</w:t>
            </w:r>
          </w:p>
        </w:tc>
        <w:tc>
          <w:tcPr>
            <w:tcW w:w="40" w:type="dxa"/>
            <w:vAlign w:val="bottom"/>
            <w:tcBorders>
              <w:top w:val="single" w:sz="8" w:color="CCEEFF"/>
            </w:tcBorders>
            <w:shd w:val="clear" w:color="auto" w:fill="CCEEFF"/>
          </w:tcPr>
          <w:p>
            <w:pPr>
              <w:spacing w:after="0"/>
              <w:rPr>
                <w:sz w:val="18"/>
                <w:szCs w:val="18"/>
                <w:color w:val="auto"/>
              </w:rPr>
            </w:pPr>
          </w:p>
        </w:tc>
      </w:tr>
    </w:tbl>
    <w:p>
      <w:pPr>
        <w:ind w:left="4540" w:hanging="347"/>
        <w:spacing w:after="0"/>
        <w:tabs>
          <w:tab w:leader="none" w:pos="4540" w:val="left"/>
        </w:tabs>
        <w:numPr>
          <w:ilvl w:val="1"/>
          <w:numId w:val="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73,610,520  $   40,924,865</w:t>
      </w:r>
    </w:p>
    <w:p>
      <w:pPr>
        <w:spacing w:after="0" w:line="287" w:lineRule="exact"/>
        <w:rPr>
          <w:rFonts w:ascii="Times New Roman" w:cs="Times New Roman" w:eastAsia="Times New Roman" w:hAnsi="Times New Roman"/>
          <w:sz w:val="18"/>
          <w:szCs w:val="18"/>
          <w:u w:val="single" w:color="auto"/>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-281940</wp:posOffset>
            </wp:positionV>
            <wp:extent cx="1585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invests in residential subdivision developments. The following table presents additional information regarding the Company’s residential subdivision development projects in Utah:</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2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CCEEFF"/>
            </w:tcBorders>
          </w:tcPr>
          <w:p>
            <w:pPr>
              <w:spacing w:after="0"/>
              <w:rPr>
                <w:sz w:val="20"/>
                <w:szCs w:val="20"/>
                <w:color w:val="auto"/>
              </w:rPr>
            </w:pP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developed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73,432,813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40,739,201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Net Book Value</w:t>
            </w:r>
          </w:p>
        </w:tc>
      </w:tr>
      <w:tr>
        <w:trPr>
          <w:trHeight w:val="191"/>
        </w:trPr>
        <w:tc>
          <w:tcPr>
            <w:tcW w:w="4520" w:type="dxa"/>
            <w:vAlign w:val="bottom"/>
          </w:tcPr>
          <w:p>
            <w:pPr>
              <w:spacing w:after="0"/>
              <w:rPr>
                <w:sz w:val="16"/>
                <w:szCs w:val="16"/>
                <w:color w:val="auto"/>
              </w:rPr>
            </w:pPr>
          </w:p>
        </w:tc>
        <w:tc>
          <w:tcPr>
            <w:tcW w:w="1460" w:type="dxa"/>
            <w:vAlign w:val="bottom"/>
            <w:tcBorders>
              <w:top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8"/>
              </w:rPr>
              <w:t>December 31,</w:t>
            </w:r>
          </w:p>
        </w:tc>
        <w:tc>
          <w:tcPr>
            <w:tcW w:w="60" w:type="dxa"/>
            <w:vAlign w:val="bottom"/>
            <w:gridSpan w:val="2"/>
          </w:tcPr>
          <w:p>
            <w:pPr>
              <w:spacing w:after="0"/>
              <w:rPr>
                <w:sz w:val="16"/>
                <w:szCs w:val="16"/>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sale was $849,900 and nil as of September 30, 2024 and December 31, 2023,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real estate owned by the Company. As of September 30, 2024,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Approximate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Square Footage</w:t>
            </w:r>
          </w:p>
        </w:tc>
      </w:tr>
      <w:tr>
        <w:trPr>
          <w:trHeight w:val="216"/>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Square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Occupied by</w:t>
            </w: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w:t>
            </w: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Footage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 Company</w:t>
            </w:r>
          </w:p>
        </w:tc>
      </w:tr>
      <w:tr>
        <w:trPr>
          <w:trHeight w:val="191"/>
        </w:trPr>
        <w:tc>
          <w:tcPr>
            <w:tcW w:w="3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City, UT - Center53 Building 2 (1)</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Operations and Sales</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221,000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1818 Marshall Street, Shreveport, LA (2)</w:t>
            </w: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12,274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812 Sheppard Street, Minden, LA (2) (3)</w:t>
            </w: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Sales</w:t>
            </w: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condensed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September 30, 2024, the Company had 53%, 9%, 7%, 7% and 5%, of its mortgage loans from borrowers located in the states of Utah, Florida, Texas, Arizona, and California, respectively. As of December 31, 2023, the Company had 44%, 11%, 10%, 7% and 6% of its mortgage loans from borrowers located in the states of Utah, Florida, California, Texas, and Arizona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adoption of ASU 2016-13.</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$297,000 and $237,000 as of September 30, 2024 and December 31, 2023, respectively.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the life events and the general economic condition of the region. Where loan to value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loan to value, payment status, age, and current property values. Analyzing the information from the various sources allows the Company to arrive at the allowance for credit losses.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for subsequent draws. The per loan basis point is reviewed at least annually or as loan losses or market trends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right="940" w:hanging="179"/>
        <w:spacing w:after="0" w:line="257" w:lineRule="auto"/>
        <w:rPr>
          <w:sz w:val="20"/>
          <w:szCs w:val="20"/>
          <w:color w:val="auto"/>
        </w:rPr>
      </w:pPr>
      <w:r>
        <w:rPr>
          <w:rFonts w:ascii="Times New Roman" w:cs="Times New Roman" w:eastAsia="Times New Roman" w:hAnsi="Times New Roman"/>
          <w:sz w:val="18"/>
          <w:szCs w:val="18"/>
          <w:color w:val="auto"/>
        </w:rPr>
        <w:t>Beginning balance - June 30, 2024 Change in provision for credit losses (2) Charge-offs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Construction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849,323</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1,779,386</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225,143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2,853,852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(87,611)</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(127,239)</w:t>
            </w: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(178,621)</w:t>
            </w:r>
          </w:p>
        </w:tc>
      </w:tr>
      <w:tr>
        <w:trPr>
          <w:trHeight w:val="248"/>
        </w:trPr>
        <w:tc>
          <w:tcPr>
            <w:tcW w:w="16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(1,095,485)</w:t>
            </w:r>
          </w:p>
        </w:tc>
        <w:tc>
          <w:tcPr>
            <w:tcW w:w="14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761,712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556,662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1,579,746</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-608330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7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June 30, 2023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831,055</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1,589,860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242,645</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2,663,560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(20,873)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10,310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(50,616)</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4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810,182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0" w:right="940" w:hanging="179"/>
        <w:spacing w:after="0" w:line="257" w:lineRule="auto"/>
        <w:rPr>
          <w:sz w:val="20"/>
          <w:szCs w:val="20"/>
          <w:color w:val="auto"/>
        </w:rPr>
      </w:pPr>
      <w:r>
        <w:rPr>
          <w:rFonts w:ascii="Times New Roman" w:cs="Times New Roman" w:eastAsia="Times New Roman" w:hAnsi="Times New Roman"/>
          <w:sz w:val="18"/>
          <w:szCs w:val="18"/>
          <w:color w:val="auto"/>
        </w:rPr>
        <w:t>Beginning balance - January 1, 2024 Change in provision for credit losses (2) Charge-offs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ind w:left="246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8"/>
              </w:rPr>
              <w:t>Residential</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Construction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1,219,653</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2,390,894</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208,106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3,818,653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(457,941)</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(738,747)</w:t>
            </w: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53,266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(1,143,422)</w:t>
            </w:r>
          </w:p>
        </w:tc>
      </w:tr>
      <w:tr>
        <w:trPr>
          <w:trHeight w:val="248"/>
        </w:trPr>
        <w:tc>
          <w:tcPr>
            <w:tcW w:w="16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(1,095,485)</w:t>
            </w:r>
          </w:p>
        </w:tc>
        <w:tc>
          <w:tcPr>
            <w:tcW w:w="14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761,712</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556,662</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1,579,746</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-608330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7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187,129</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1,739,980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43,202</w:t>
            </w: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1,970,311</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ASU 2016-13 (1)</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555,807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(192,607)</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301,830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665,030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(2)</w:t>
            </w:r>
          </w:p>
        </w:tc>
        <w:tc>
          <w:tcPr>
            <w:tcW w:w="4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67,246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52,797</w:t>
            </w:r>
          </w:p>
        </w:tc>
        <w:tc>
          <w:tcPr>
            <w:tcW w:w="3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(142,440)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(22,397)</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1,600,170</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2,612,944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of the notes to the condensed consolidated financial statements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9" w:name="page30"/>
    <w:bookmarkEnd w:id="2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2024</w:t>
            </w:r>
          </w:p>
        </w:tc>
        <w:tc>
          <w:tcPr>
            <w:tcW w:w="33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6,252,738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6,252,738</w:t>
            </w:r>
          </w:p>
        </w:tc>
      </w:tr>
      <w:tr>
        <w:trPr>
          <w:trHeight w:val="216"/>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1,299,663</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1,299,663</w:t>
            </w:r>
          </w:p>
        </w:tc>
      </w:tr>
      <w:tr>
        <w:trPr>
          <w:trHeight w:val="216"/>
        </w:trPr>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2,183,008</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5,738,008</w:t>
            </w:r>
          </w:p>
        </w:tc>
      </w:tr>
      <w:tr>
        <w:trPr>
          <w:trHeight w:val="229"/>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191,508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3,516,610</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3,708,118</w:t>
            </w:r>
          </w:p>
        </w:tc>
      </w:tr>
      <w:tr>
        <w:trPr>
          <w:trHeight w:val="210"/>
        </w:trPr>
        <w:tc>
          <w:tcPr>
            <w:tcW w:w="48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3,746,508</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13,252,019</w:t>
            </w:r>
          </w:p>
        </w:tc>
        <w:tc>
          <w:tcPr>
            <w:tcW w:w="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16,998,527</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62,716,046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75,200,317</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130,683,596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268,599,959</w:t>
            </w:r>
          </w:p>
        </w:tc>
        <w:tc>
          <w:tcPr>
            <w:tcW w:w="100" w:type="dxa"/>
            <w:vAlign w:val="bottom"/>
            <w:shd w:val="clear" w:color="auto" w:fill="CCEEFF"/>
          </w:tcPr>
          <w:p>
            <w:pPr>
              <w:spacing w:after="0"/>
              <w:rPr>
                <w:sz w:val="18"/>
                <w:szCs w:val="18"/>
                <w:color w:val="auto"/>
              </w:rPr>
            </w:pPr>
          </w:p>
        </w:tc>
      </w:tr>
      <w:tr>
        <w:trPr>
          <w:trHeight w:val="210"/>
        </w:trPr>
        <w:tc>
          <w:tcPr>
            <w:tcW w:w="48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66,462,554</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88,452,336</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130,683,596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285,598,486</w:t>
            </w:r>
          </w:p>
        </w:tc>
        <w:tc>
          <w:tcPr>
            <w:tcW w:w="100" w:type="dxa"/>
            <w:vAlign w:val="bottom"/>
            <w:tcBorders>
              <w:bottom w:val="single" w:sz="8" w:color="CCEEFF"/>
            </w:tcBorders>
          </w:tcPr>
          <w:p>
            <w:pPr>
              <w:spacing w:after="0"/>
              <w:rPr>
                <w:sz w:val="18"/>
                <w:szCs w:val="18"/>
                <w:color w:val="auto"/>
              </w:rPr>
            </w:pPr>
          </w:p>
        </w:tc>
      </w:tr>
      <w:tr>
        <w:trPr>
          <w:trHeight w:val="209"/>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(1,579,746)</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(1,194,377)</w:t>
            </w: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(689,339)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(1,978,564)</w:t>
            </w:r>
          </w:p>
        </w:tc>
      </w:tr>
      <w:tr>
        <w:trPr>
          <w:trHeight w:val="230"/>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(152,838)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(153,156)</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(305,994)</w:t>
            </w:r>
          </w:p>
        </w:tc>
      </w:tr>
      <w:tr>
        <w:trPr>
          <w:trHeight w:val="263"/>
        </w:trPr>
        <w:tc>
          <w:tcPr>
            <w:tcW w:w="48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65,453,156</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86,548,141</w:t>
            </w:r>
          </w:p>
        </w:tc>
        <w:tc>
          <w:tcPr>
            <w:tcW w:w="4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129,732,885</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281,734,182</w:t>
            </w:r>
          </w:p>
        </w:tc>
        <w:tc>
          <w:tcPr>
            <w:tcW w:w="100" w:type="dxa"/>
            <w:vAlign w:val="bottom"/>
            <w:tcBorders>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3,387,673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3,387,673</w:t>
            </w:r>
          </w:p>
        </w:tc>
      </w:tr>
      <w:tr>
        <w:trPr>
          <w:trHeight w:val="216"/>
        </w:trPr>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3,472,760</w:t>
            </w: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3,472,760</w:t>
            </w:r>
          </w:p>
        </w:tc>
      </w:tr>
      <w:tr>
        <w:trPr>
          <w:trHeight w:val="216"/>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3,480,931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3,885,931</w:t>
            </w:r>
          </w:p>
        </w:tc>
      </w:tr>
      <w:tr>
        <w:trPr>
          <w:trHeight w:val="230"/>
        </w:trPr>
        <w:tc>
          <w:tcPr>
            <w:tcW w:w="4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1,241,508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1,021,790</w:t>
            </w:r>
          </w:p>
        </w:tc>
        <w:tc>
          <w:tcPr>
            <w:tcW w:w="1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2,263,298</w:t>
            </w:r>
          </w:p>
        </w:tc>
      </w:tr>
      <w:tr>
        <w:trPr>
          <w:trHeight w:val="210"/>
        </w:trPr>
        <w:tc>
          <w:tcPr>
            <w:tcW w:w="484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1,646,508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11,363,154</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8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72,530,030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91,790,433</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268,373,211</w:t>
            </w:r>
          </w:p>
        </w:tc>
        <w:tc>
          <w:tcPr>
            <w:tcW w:w="100" w:type="dxa"/>
            <w:vAlign w:val="bottom"/>
            <w:tcBorders>
              <w:bottom w:val="single" w:sz="8" w:color="CCEEFF"/>
            </w:tcBorders>
          </w:tcPr>
          <w:p>
            <w:pPr>
              <w:spacing w:after="0"/>
              <w:rPr>
                <w:sz w:val="18"/>
                <w:szCs w:val="18"/>
                <w:color w:val="auto"/>
              </w:rPr>
            </w:pPr>
          </w:p>
        </w:tc>
      </w:tr>
      <w:tr>
        <w:trPr>
          <w:trHeight w:val="210"/>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74,176,538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103,153,587</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104,052,748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281,382,873</w:t>
            </w: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146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(1,219,653)</w:t>
            </w:r>
          </w:p>
        </w:tc>
        <w:tc>
          <w:tcPr>
            <w:tcW w:w="260" w:type="dxa"/>
            <w:vAlign w:val="bottom"/>
          </w:tcPr>
          <w:p>
            <w:pPr>
              <w:spacing w:after="0"/>
              <w:rPr>
                <w:sz w:val="17"/>
                <w:szCs w:val="17"/>
                <w:color w:val="auto"/>
              </w:rPr>
            </w:pPr>
          </w:p>
        </w:tc>
        <w:tc>
          <w:tcPr>
            <w:tcW w:w="142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(2,390,894)</w:t>
            </w:r>
          </w:p>
        </w:tc>
        <w:tc>
          <w:tcPr>
            <w:tcW w:w="166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(208,106)</w:t>
            </w:r>
          </w:p>
        </w:tc>
        <w:tc>
          <w:tcPr>
            <w:tcW w:w="130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(3,818,653)</w:t>
            </w:r>
          </w:p>
        </w:tc>
      </w:tr>
      <w:tr>
        <w:trPr>
          <w:trHeight w:val="216"/>
        </w:trPr>
        <w:tc>
          <w:tcPr>
            <w:tcW w:w="2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(172,989)</w:t>
            </w:r>
          </w:p>
        </w:tc>
        <w:tc>
          <w:tcPr>
            <w:tcW w:w="26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(1,135,491)</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(314,746)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(1,623,226)</w:t>
            </w:r>
          </w:p>
        </w:tc>
      </w:tr>
      <w:tr>
        <w:trPr>
          <w:trHeight w:val="248"/>
        </w:trPr>
        <w:tc>
          <w:tcPr>
            <w:tcW w:w="260" w:type="dxa"/>
            <w:vAlign w:val="bottom"/>
          </w:tcPr>
          <w:p>
            <w:pPr>
              <w:spacing w:after="0"/>
              <w:rPr>
                <w:sz w:val="21"/>
                <w:szCs w:val="21"/>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(216,705)</w:t>
            </w:r>
          </w:p>
        </w:tc>
        <w:tc>
          <w:tcPr>
            <w:tcW w:w="260" w:type="dxa"/>
            <w:vAlign w:val="bottom"/>
          </w:tcPr>
          <w:p>
            <w:pPr>
              <w:spacing w:after="0"/>
              <w:rPr>
                <w:sz w:val="21"/>
                <w:szCs w:val="21"/>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(107,452)</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(324,157)</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72,567,191</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99,519,750</w:t>
            </w:r>
          </w:p>
        </w:tc>
        <w:tc>
          <w:tcPr>
            <w:tcW w:w="4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103,529,896</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275,616,837</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-462280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-179070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688" w:right="339" w:bottom="1440" w:gutter="0" w:footer="0" w:header="0"/>
          <w:type w:val="continuous"/>
        </w:sectPr>
      </w:pPr>
    </w:p>
    <w:p>
      <w:pPr>
        <w:spacing w:after="0" w:line="25" w:lineRule="exact"/>
        <w:rPr>
          <w:sz w:val="20"/>
          <w:szCs w:val="20"/>
          <w:color w:val="auto"/>
        </w:rPr>
      </w:pPr>
    </w:p>
    <w:p>
      <w:pPr>
        <w:ind w:left="5540" w:right="3840" w:hanging="5532"/>
        <w:spacing w:after="0" w:line="532" w:lineRule="auto"/>
        <w:tabs>
          <w:tab w:leader="none" w:pos="3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0" w:name="page31"/>
    <w:bookmarkEnd w:id="3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right="9260" w:firstLine="8"/>
        <w:spacing w:after="0" w:line="500" w:lineRule="auto"/>
        <w:tabs>
          <w:tab w:leader="none" w:pos="1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Credit Quality Indicators</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Prior</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of Total</w:t>
            </w:r>
          </w:p>
        </w:tc>
      </w:tr>
      <w:tr>
        <w:trPr>
          <w:trHeight w:val="190"/>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5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5,604,700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$27,454,450</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$ 2,828,743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3,020,636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$ 9,138,597</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$48,047,126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72.29%</w:t>
            </w: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10,432,942</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1,840,776</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823,397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18,010,428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27.10%</w:t>
            </w: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405,000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16,037,642</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29,295,226</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$ 3,652,140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3,425,636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$ 9,138,597</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66,462,554</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1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15,604,700</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$ 5,459,400</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$47,967,413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432,942</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8,305,226</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2,652,140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3,425,636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3,679,197</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18,495,141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27.83%</w:t>
            </w:r>
          </w:p>
        </w:tc>
      </w:tr>
      <w:tr>
        <w:trPr>
          <w:trHeight w:val="229"/>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16,037,642</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29,295,226</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$ 3,652,140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3,425,636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$ 9,138,597</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66,462,554</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Prior</w:t>
            </w:r>
          </w:p>
        </w:tc>
        <w:tc>
          <w:tcPr>
            <w:tcW w:w="16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of Total</w:t>
            </w:r>
          </w:p>
        </w:tc>
      </w:tr>
      <w:tr>
        <w:trPr>
          <w:trHeight w:val="190"/>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4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$34,304,954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13,555,737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3,778,248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$ 2,964,740</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$ 6,565,389</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$61,169,068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r>
      <w:tr>
        <w:trPr>
          <w:trHeight w:val="216"/>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5,115,231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1,050,000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12,602,470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w:t>
            </w:r>
          </w:p>
        </w:tc>
      </w:tr>
      <w:tr>
        <w:trPr>
          <w:trHeight w:val="230"/>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405,000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0.55%</w:t>
            </w:r>
          </w:p>
        </w:tc>
      </w:tr>
      <w:tr>
        <w:trPr>
          <w:trHeight w:val="209"/>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35,828,880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18,670,968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5,233,248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$ 2,964,740</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$ 6,565,389</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5"/>
        </w:trPr>
        <w:tc>
          <w:tcPr>
            <w:tcW w:w="18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$ 2,964,740</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$ 2,612,625</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$33,180,678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44.73%</w:t>
            </w:r>
          </w:p>
        </w:tc>
      </w:tr>
      <w:tr>
        <w:trPr>
          <w:trHeight w:val="216"/>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8,338,880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8,496,127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3,483,248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3,952,764</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24,271,019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32.72%</w:t>
            </w:r>
          </w:p>
        </w:tc>
      </w:tr>
      <w:tr>
        <w:trPr>
          <w:trHeight w:val="230"/>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9,174,841(1)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1,050,000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16,724,841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22.55%</w:t>
            </w:r>
          </w:p>
        </w:tc>
      </w:tr>
      <w:tr>
        <w:trPr>
          <w:trHeight w:val="210"/>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35,828,880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18,670,968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5,233,248</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4,913,313</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$ 2,964,740</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$ 6,565,389</w:t>
            </w: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74,176,538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(1) Commercial construction loan</w:t>
            </w:r>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4"/>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1" w:name="page32"/>
    <w:bookmarkEnd w:id="3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September 30,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 of Total</w:t>
            </w:r>
          </w:p>
        </w:tc>
        <w:tc>
          <w:tcPr>
            <w:tcW w:w="0" w:type="dxa"/>
            <w:vAlign w:val="bottom"/>
          </w:tcPr>
          <w:p>
            <w:pPr>
              <w:spacing w:after="0"/>
              <w:rPr>
                <w:sz w:val="1"/>
                <w:szCs w:val="1"/>
                <w:color w:val="auto"/>
              </w:rPr>
            </w:pPr>
          </w:p>
        </w:tc>
      </w:tr>
      <w:tr>
        <w:trPr>
          <w:trHeight w:val="190"/>
        </w:trPr>
        <w:tc>
          <w:tcPr>
            <w:tcW w:w="19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gridSpan w:val="6"/>
          </w:tcPr>
          <w:p>
            <w:pPr>
              <w:jc w:val="right"/>
              <w:ind w:right="280"/>
              <w:spacing w:after="0"/>
              <w:rPr>
                <w:sz w:val="20"/>
                <w:szCs w:val="20"/>
                <w:color w:val="auto"/>
              </w:rPr>
            </w:pPr>
            <w:r>
              <w:rPr>
                <w:rFonts w:ascii="Times New Roman" w:cs="Times New Roman" w:eastAsia="Times New Roman" w:hAnsi="Times New Roman"/>
                <w:sz w:val="18"/>
                <w:szCs w:val="18"/>
                <w:color w:val="auto"/>
              </w:rPr>
              <w:t>$ 8,179,852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11,232,976</w:t>
            </w:r>
          </w:p>
        </w:tc>
        <w:tc>
          <w:tcPr>
            <w:tcW w:w="2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8"/>
              </w:rPr>
              <w:t>44,202,986</w:t>
            </w: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$ 3,379,192</w:t>
            </w: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$ 5,902,895</w:t>
            </w: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9,854,817</w:t>
            </w: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$82,752,718</w:t>
            </w: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93.56%</w:t>
            </w:r>
          </w:p>
        </w:tc>
        <w:tc>
          <w:tcPr>
            <w:tcW w:w="0" w:type="dxa"/>
            <w:vAlign w:val="bottom"/>
          </w:tcPr>
          <w:p>
            <w:pPr>
              <w:spacing w:after="0"/>
              <w:rPr>
                <w:sz w:val="1"/>
                <w:szCs w:val="1"/>
                <w:color w:val="auto"/>
              </w:rPr>
            </w:pPr>
          </w:p>
        </w:tc>
      </w:tr>
      <w:tr>
        <w:trPr>
          <w:trHeight w:val="229"/>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28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2,819,075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541,333</w:t>
            </w:r>
          </w:p>
        </w:tc>
        <w:tc>
          <w:tcPr>
            <w:tcW w:w="1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684,478</w:t>
            </w:r>
          </w:p>
        </w:tc>
        <w:tc>
          <w:tcPr>
            <w:tcW w:w="14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588,864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1,065,868</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5,699,618</w:t>
            </w:r>
          </w:p>
        </w:tc>
        <w:tc>
          <w:tcPr>
            <w:tcW w:w="2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spacing w:after="0"/>
              <w:rPr>
                <w:sz w:val="21"/>
                <w:szCs w:val="21"/>
                <w:color w:val="auto"/>
              </w:rPr>
            </w:pPr>
          </w:p>
        </w:tc>
        <w:tc>
          <w:tcPr>
            <w:tcW w:w="11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$ 8,179,852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14,052,051</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44,744,319</w:t>
            </w:r>
          </w:p>
        </w:tc>
        <w:tc>
          <w:tcPr>
            <w:tcW w:w="14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$ 4,063,670</w:t>
            </w:r>
          </w:p>
        </w:tc>
        <w:tc>
          <w:tcPr>
            <w:tcW w:w="14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$ 6,491,759</w:t>
            </w:r>
          </w:p>
        </w:tc>
        <w:tc>
          <w:tcPr>
            <w:tcW w:w="1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10,920,685</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88,452,336</w:t>
            </w:r>
          </w:p>
        </w:tc>
        <w:tc>
          <w:tcPr>
            <w:tcW w:w="2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40" w:type="dxa"/>
            <w:vAlign w:val="bottom"/>
            <w:gridSpan w:val="3"/>
          </w:tcPr>
          <w:p>
            <w:pPr>
              <w:spacing w:after="0"/>
              <w:rPr>
                <w:sz w:val="17"/>
                <w:szCs w:val="17"/>
                <w:color w:val="auto"/>
              </w:rPr>
            </w:pPr>
          </w:p>
        </w:tc>
        <w:tc>
          <w:tcPr>
            <w:tcW w:w="3700" w:type="dxa"/>
            <w:vAlign w:val="bottom"/>
            <w:gridSpan w:val="15"/>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in the process of foreclosure of $3,516,610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(1) Includes residential mortgage loans</w:t>
            </w:r>
          </w:p>
        </w:tc>
        <w:tc>
          <w:tcPr>
            <w:tcW w:w="80" w:type="dxa"/>
            <w:vAlign w:val="bottom"/>
          </w:tcPr>
          <w:p>
            <w:pPr>
              <w:spacing w:after="0"/>
              <w:rPr>
                <w:sz w:val="19"/>
                <w:szCs w:val="19"/>
                <w:color w:val="auto"/>
              </w:rPr>
            </w:pPr>
          </w:p>
        </w:tc>
        <w:tc>
          <w:tcPr>
            <w:tcW w:w="3700" w:type="dxa"/>
            <w:vAlign w:val="bottom"/>
            <w:gridSpan w:val="15"/>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$ 2,624,800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5,055,179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5,981,284</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$ 1,796,124</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$ 2,452,998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5,348,470</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$23,258,855</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16"/>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8,806,209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37,672,607</w:t>
            </w:r>
          </w:p>
        </w:tc>
        <w:tc>
          <w:tcPr>
            <w:tcW w:w="11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1,948,129</w:t>
            </w:r>
          </w:p>
        </w:tc>
        <w:tc>
          <w:tcPr>
            <w:tcW w:w="11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3,351,111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5,504,578</w:t>
            </w:r>
          </w:p>
        </w:tc>
        <w:tc>
          <w:tcPr>
            <w:tcW w:w="13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62,837,686</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190,663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1,090,428</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319,417</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687,650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67,637</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2,355,795</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$ 8,179,852</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14,052,051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44,744,319</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$ 4,063,670</w:t>
            </w: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$ 6,491,759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10,920,685</w:t>
            </w:r>
          </w:p>
        </w:tc>
        <w:tc>
          <w:tcPr>
            <w:tcW w:w="13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88,452,336</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Credit Quality Indicator</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 of Total</w:t>
            </w:r>
          </w:p>
        </w:tc>
      </w:tr>
      <w:tr>
        <w:trPr>
          <w:trHeight w:val="190"/>
        </w:trPr>
        <w:tc>
          <w:tcPr>
            <w:tcW w:w="19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$15,337,828</w:t>
            </w:r>
          </w:p>
        </w:tc>
        <w:tc>
          <w:tcPr>
            <w:tcW w:w="1200" w:type="dxa"/>
            <w:vAlign w:val="bottom"/>
            <w:tcBorders>
              <w:top w:val="single" w:sz="8" w:color="CCEEFF"/>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$53,875,389</w:t>
            </w:r>
          </w:p>
        </w:tc>
        <w:tc>
          <w:tcPr>
            <w:tcW w:w="1020" w:type="dxa"/>
            <w:vAlign w:val="bottom"/>
            <w:tcBorders>
              <w:top w:val="single" w:sz="8" w:color="CCEEFF"/>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$ 7,156,934</w:t>
            </w:r>
          </w:p>
        </w:tc>
        <w:tc>
          <w:tcPr>
            <w:tcW w:w="1100" w:type="dxa"/>
            <w:vAlign w:val="bottom"/>
            <w:tcBorders>
              <w:top w:val="single" w:sz="8" w:color="CCEEFF"/>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$ 7,453,796</w:t>
            </w:r>
          </w:p>
        </w:tc>
        <w:tc>
          <w:tcPr>
            <w:tcW w:w="26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2,786,562</w:t>
            </w: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$12,040,357</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98,650,866</w:t>
            </w: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95.63%</w:t>
            </w:r>
          </w:p>
        </w:tc>
      </w:tr>
      <w:tr>
        <w:trPr>
          <w:trHeight w:val="230"/>
        </w:trPr>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3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2,202,114</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365,061</w:t>
            </w:r>
          </w:p>
        </w:tc>
        <w:tc>
          <w:tcPr>
            <w:tcW w:w="11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613,101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1,322,445</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4,502,721</w:t>
            </w:r>
          </w:p>
        </w:tc>
        <w:tc>
          <w:tcPr>
            <w:tcW w:w="2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r>
        <w:trPr>
          <w:trHeight w:val="210"/>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15,337,828</w:t>
            </w: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56,077,503</w:t>
            </w:r>
          </w:p>
        </w:tc>
        <w:tc>
          <w:tcPr>
            <w:tcW w:w="10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$ 7,521,995</w:t>
            </w:r>
          </w:p>
        </w:tc>
        <w:tc>
          <w:tcPr>
            <w:tcW w:w="11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$ 8,066,897</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2,786,562</w:t>
            </w:r>
          </w:p>
        </w:tc>
        <w:tc>
          <w:tcPr>
            <w:tcW w:w="260" w:type="dxa"/>
            <w:vAlign w:val="bottom"/>
            <w:shd w:val="clear" w:color="auto" w:fill="CCEEFF"/>
          </w:tcPr>
          <w:p>
            <w:pPr>
              <w:spacing w:after="0"/>
              <w:rPr>
                <w:sz w:val="21"/>
                <w:szCs w:val="21"/>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13,362,802</w:t>
            </w:r>
          </w:p>
        </w:tc>
        <w:tc>
          <w:tcPr>
            <w:tcW w:w="28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103,153,587</w:t>
            </w:r>
          </w:p>
        </w:tc>
        <w:tc>
          <w:tcPr>
            <w:tcW w:w="2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spacing w:after="0"/>
              <w:rPr>
                <w:sz w:val="17"/>
                <w:szCs w:val="17"/>
                <w:color w:val="auto"/>
              </w:rPr>
            </w:pPr>
          </w:p>
        </w:tc>
        <w:tc>
          <w:tcPr>
            <w:tcW w:w="1120" w:type="dxa"/>
            <w:vAlign w:val="bottom"/>
            <w:gridSpan w:val="4"/>
          </w:tcPr>
          <w:p>
            <w:pPr>
              <w:spacing w:after="0"/>
              <w:rPr>
                <w:sz w:val="17"/>
                <w:szCs w:val="17"/>
                <w:color w:val="auto"/>
              </w:rPr>
            </w:pPr>
          </w:p>
        </w:tc>
        <w:tc>
          <w:tcPr>
            <w:tcW w:w="300" w:type="dxa"/>
            <w:vAlign w:val="bottom"/>
            <w:gridSpan w:val="3"/>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65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$1,021,790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15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$ 3,280,144</w:t>
            </w:r>
          </w:p>
        </w:tc>
        <w:tc>
          <w:tcPr>
            <w:tcW w:w="2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$ 7,049,522</w:t>
            </w:r>
          </w:p>
        </w:tc>
        <w:tc>
          <w:tcPr>
            <w:tcW w:w="2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$ 1,843,286</w:t>
            </w:r>
          </w:p>
        </w:tc>
        <w:tc>
          <w:tcPr>
            <w:tcW w:w="14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$ 1,746,970</w:t>
            </w:r>
          </w:p>
        </w:tc>
        <w:tc>
          <w:tcPr>
            <w:tcW w:w="12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446,675</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5,206,095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19,572,692</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1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1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10,962,770</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44,371,320</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4,269,894</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4,222,170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2,339,887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5,711,440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71,877,481</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69.68%</w:t>
            </w:r>
          </w:p>
        </w:tc>
      </w:tr>
      <w:tr>
        <w:trPr>
          <w:trHeight w:val="229"/>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1,094,914</w:t>
            </w:r>
          </w:p>
        </w:tc>
        <w:tc>
          <w:tcPr>
            <w:tcW w:w="20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4,656,661</w:t>
            </w:r>
          </w:p>
        </w:tc>
        <w:tc>
          <w:tcPr>
            <w:tcW w:w="22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1,408,815</w:t>
            </w:r>
          </w:p>
        </w:tc>
        <w:tc>
          <w:tcPr>
            <w:tcW w:w="140" w:type="dxa"/>
            <w:vAlign w:val="bottom"/>
          </w:tcPr>
          <w:p>
            <w:pPr>
              <w:spacing w:after="0"/>
              <w:rPr>
                <w:sz w:val="19"/>
                <w:szCs w:val="19"/>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2,097,757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2,445,267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11,703,414</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15,337,828</w:t>
            </w:r>
          </w:p>
        </w:tc>
        <w:tc>
          <w:tcPr>
            <w:tcW w:w="20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56,077,503</w:t>
            </w:r>
          </w:p>
        </w:tc>
        <w:tc>
          <w:tcPr>
            <w:tcW w:w="220" w:type="dxa"/>
            <w:vAlign w:val="bottom"/>
          </w:tcPr>
          <w:p>
            <w:pPr>
              <w:spacing w:after="0"/>
              <w:rPr>
                <w:sz w:val="21"/>
                <w:szCs w:val="2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$ 7,521,995</w:t>
            </w:r>
          </w:p>
        </w:tc>
        <w:tc>
          <w:tcPr>
            <w:tcW w:w="14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$ 8,066,897</w:t>
            </w:r>
          </w:p>
        </w:tc>
        <w:tc>
          <w:tcPr>
            <w:tcW w:w="12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2,786,562</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6"/>
              </w:rPr>
              <w:t>13,362,802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w w:val="99"/>
              </w:rPr>
              <w:t>103,153,587</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2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 of Total</w:t>
            </w:r>
          </w:p>
        </w:tc>
      </w:tr>
      <w:tr>
        <w:trPr>
          <w:trHeight w:val="190"/>
        </w:trPr>
        <w:tc>
          <w:tcPr>
            <w:tcW w:w="32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4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$93,115,744</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$24,076,981</w:t>
            </w:r>
          </w:p>
        </w:tc>
        <w:tc>
          <w:tcPr>
            <w:tcW w:w="108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$2,084,366</w:t>
            </w:r>
          </w:p>
        </w:tc>
        <w:tc>
          <w:tcPr>
            <w:tcW w:w="11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$11,406,505</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130,683,596</w:t>
            </w:r>
          </w:p>
        </w:tc>
        <w:tc>
          <w:tcPr>
            <w:tcW w:w="9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93,115,744</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24,076,981</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2,084,366</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11,406,505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130,683,596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282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$35,065,417</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$22,918,540</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$1,630,488</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$11,406,505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71,020,950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54.35%</w:t>
            </w:r>
          </w:p>
        </w:tc>
      </w:tr>
      <w:tr>
        <w:trPr>
          <w:trHeight w:val="216"/>
        </w:trPr>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57,429,690</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1,158,441</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453,878</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59,042,009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30"/>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620,637</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620,637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09"/>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93,115,744</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24,076,981</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2,084,366</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11,406,505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130,683,596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of Total</w:t>
            </w:r>
          </w:p>
        </w:tc>
        <w:tc>
          <w:tcPr>
            <w:tcW w:w="1140" w:type="dxa"/>
            <w:vAlign w:val="bottom"/>
          </w:tcPr>
          <w:p>
            <w:pPr>
              <w:spacing w:after="0"/>
              <w:rPr>
                <w:sz w:val="20"/>
                <w:szCs w:val="20"/>
                <w:color w:val="auto"/>
              </w:rPr>
            </w:pPr>
          </w:p>
        </w:tc>
      </w:tr>
      <w:tr>
        <w:trPr>
          <w:trHeight w:val="190"/>
        </w:trPr>
        <w:tc>
          <w:tcPr>
            <w:tcW w:w="354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18"/>
                <w:szCs w:val="18"/>
                <w:color w:val="auto"/>
              </w:rPr>
            </w:pPr>
          </w:p>
        </w:tc>
      </w:tr>
      <w:tr>
        <w:trPr>
          <w:trHeight w:val="230"/>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9"/>
                <w:szCs w:val="19"/>
                <w:color w:val="auto"/>
              </w:rPr>
            </w:pPr>
          </w:p>
        </w:tc>
      </w:tr>
      <w:tr>
        <w:trPr>
          <w:trHeight w:val="209"/>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6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40,215,360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8,732,500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20,442,302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69,390,162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20,096,319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7,891,682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6,674,585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34,662,586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140" w:type="dxa"/>
            <w:vAlign w:val="bottom"/>
          </w:tcPr>
          <w:p>
            <w:pPr>
              <w:spacing w:after="0"/>
              <w:rPr>
                <w:sz w:val="18"/>
                <w:szCs w:val="18"/>
                <w:color w:val="auto"/>
              </w:rPr>
            </w:pPr>
          </w:p>
        </w:tc>
      </w:tr>
      <w:tr>
        <w:trPr>
          <w:trHeight w:val="230"/>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9"/>
                <w:szCs w:val="19"/>
                <w:color w:val="auto"/>
              </w:rPr>
            </w:pP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60,311,679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16,624,182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27,116,887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104,052,748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5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10,829,629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4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3,593,162</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3,709,754</w:t>
            </w:r>
          </w:p>
        </w:tc>
        <w:tc>
          <w:tcPr>
            <w:tcW w:w="60" w:type="dxa"/>
            <w:vAlign w:val="bottom"/>
          </w:tcPr>
          <w:p>
            <w:pPr>
              <w:spacing w:after="0"/>
              <w:rPr>
                <w:sz w:val="18"/>
                <w:szCs w:val="18"/>
                <w:color w:val="auto"/>
              </w:rPr>
            </w:pP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5,430,234</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4,329,468</w:t>
            </w:r>
          </w:p>
        </w:tc>
        <w:tc>
          <w:tcPr>
            <w:tcW w:w="60" w:type="dxa"/>
            <w:vAlign w:val="bottom"/>
            <w:shd w:val="clear" w:color="auto" w:fill="CCEEFF"/>
          </w:tcPr>
          <w:p>
            <w:pPr>
              <w:spacing w:after="0"/>
              <w:rPr>
                <w:sz w:val="19"/>
                <w:szCs w:val="19"/>
                <w:color w:val="auto"/>
              </w:rPr>
            </w:pPr>
          </w:p>
        </w:tc>
      </w:tr>
      <w:tr>
        <w:trPr>
          <w:trHeight w:val="20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18,594,469</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18,868,851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27,359,925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26,736,471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45,954,394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45,605,322</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(1,540,835</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(1,553,836</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44,413,559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44,051,486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recorded at that time. See Note 2 regarding the adoption of ASU 2016-13.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 as of the dates indicated:</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0039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801" w:hanging="801"/>
        <w:spacing w:after="0"/>
        <w:tabs>
          <w:tab w:leader="none" w:pos="8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1,535,324</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259,643</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(254,132)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801" w:hanging="801"/>
        <w:spacing w:after="0"/>
        <w:tabs>
          <w:tab w:leader="none" w:pos="8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1,540,835</w:t>
      </w:r>
    </w:p>
    <w:p>
      <w:pPr>
        <w:spacing w:after="0" w:line="27" w:lineRule="exact"/>
        <w:rPr>
          <w:sz w:val="20"/>
          <w:szCs w:val="20"/>
          <w:color w:val="auto"/>
        </w:rPr>
      </w:pPr>
    </w:p>
    <w:p>
      <w:pPr>
        <w:sectPr>
          <w:pgSz w:w="11900" w:h="16838" w:orient="portrait"/>
          <w:cols w:equalWidth="0" w:num="2">
            <w:col w:w="6659" w:space="720"/>
            <w:col w:w="3861"/>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3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June 30, 2023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1,690,693</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214,934</w:t>
            </w: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4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(350,366)</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0039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Nine Months</w:t>
      </w:r>
    </w:p>
    <w:p>
      <w:pPr>
        <w:spacing w:after="0" w:line="27" w:lineRule="exact"/>
        <w:rPr>
          <w:sz w:val="20"/>
          <w:szCs w:val="20"/>
          <w:color w:val="auto"/>
        </w:rPr>
      </w:pPr>
    </w:p>
    <w:p>
      <w:pPr>
        <w:jc w:val="center"/>
        <w:ind w:right="2339"/>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801" w:hanging="801"/>
        <w:spacing w:after="0"/>
        <w:tabs>
          <w:tab w:leader="none" w:pos="8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1,553,836</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752,256</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(765,257)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801" w:hanging="801"/>
        <w:spacing w:after="0"/>
        <w:tabs>
          <w:tab w:leader="none" w:pos="8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1,540,835</w:t>
      </w:r>
    </w:p>
    <w:p>
      <w:pPr>
        <w:spacing w:after="0" w:line="27" w:lineRule="exact"/>
        <w:rPr>
          <w:sz w:val="20"/>
          <w:szCs w:val="20"/>
          <w:color w:val="auto"/>
        </w:rPr>
      </w:pPr>
    </w:p>
    <w:p>
      <w:pPr>
        <w:sectPr>
          <w:pgSz w:w="11900" w:h="16838" w:orient="portrait"/>
          <w:cols w:equalWidth="0" w:num="2">
            <w:col w:w="6659" w:space="720"/>
            <w:col w:w="3861"/>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3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1,609,951</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667,260</w:t>
            </w: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4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(721,950)</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5080" w:hanging="5532"/>
        <w:spacing w:after="0" w:line="409" w:lineRule="auto"/>
        <w:tabs>
          <w:tab w:leader="none" w:pos="33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4" w:name="page35"/>
    <w:bookmarkEnd w:id="3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realized gains and losses from sales, calls, and maturities, and unrealized gains and losses on equity securities from investments and other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8"/>
                <w:szCs w:val="18"/>
                <w:color w:val="auto"/>
              </w:rPr>
            </w:pPr>
          </w:p>
        </w:tc>
        <w:tc>
          <w:tcPr>
            <w:tcW w:w="2820" w:type="dxa"/>
            <w:vAlign w:val="bottom"/>
            <w:gridSpan w:val="6"/>
          </w:tcPr>
          <w:p>
            <w:pPr>
              <w:jc w:val="right"/>
              <w:ind w:right="821"/>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7,929</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37,565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13,120</w:t>
            </w: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54,619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(43,184)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(10,383)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(61,539)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(102,182)</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release (provision)</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(20,342)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1,740</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(100,053)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(222,264)</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securities sold</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324,009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277,057</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on securities held at the end of</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2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2,415,881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(1,321,511)</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3,534,285</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(423,448)</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(1,161,364)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(1,161,364)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36,166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360,474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197,194</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95,690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92,095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214,348</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(20,513)</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realized gains and losses includes gains and losses by the cemetery perpetual care trust investments and the restricted assets and of the cemeteries and mortuaries of $1,140,136 and $452,115 in net gains for the three month periods ended September 30, 2024 and 2023, respectively, and of $1,519,487 and $200,605 in net gains for the nine month periods ended September 30, 2024 and 2023,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Investments (Continued)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4,301,241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13,050,503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12,398,685</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171,767</w:t>
            </w: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167,348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516,363</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448,564</w:t>
            </w: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7,032,201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9,842,845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22,867,797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27,797,908</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3,093,459</w:t>
            </w: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3,291,047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9,893,539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11,553,643</w:t>
            </w: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225,393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191,843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715,791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599,498</w:t>
            </w: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5,009,043</w:t>
            </w:r>
          </w:p>
        </w:tc>
        <w:tc>
          <w:tcPr>
            <w:tcW w:w="4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4,340,644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14,971,607</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13,570,659</w:t>
            </w: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272,062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213,560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672,363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555,720</w:t>
            </w:r>
          </w:p>
        </w:tc>
      </w:tr>
      <w:tr>
        <w:trPr>
          <w:trHeight w:val="230"/>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1,700,898</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1,083,241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5,107,765</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2,651,148</w:t>
            </w:r>
          </w:p>
        </w:tc>
      </w:tr>
      <w:tr>
        <w:trPr>
          <w:trHeight w:val="209"/>
        </w:trPr>
        <w:tc>
          <w:tcPr>
            <w:tcW w:w="44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21,806,064</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23,372,713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67,795,728</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69,575,825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(4,006,968)</w:t>
            </w:r>
          </w:p>
        </w:tc>
        <w:tc>
          <w:tcPr>
            <w:tcW w:w="4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(4,124,250)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(12,005,256)</w:t>
            </w:r>
          </w:p>
        </w:tc>
        <w:tc>
          <w:tcPr>
            <w:tcW w:w="3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(12,380,505)</w:t>
            </w:r>
          </w:p>
        </w:tc>
      </w:tr>
      <w:tr>
        <w:trPr>
          <w:trHeight w:val="223"/>
        </w:trPr>
        <w:tc>
          <w:tcPr>
            <w:tcW w:w="4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17,799,096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19,248,463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55,790,472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57,195,320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investment income includes income earned by the cemetery perpetual care trust investments and the restricted assets of the cemeteries and mortuaries of $393,811 and $372,277 for the three month periods ended September 30, 2024 and 2023, respectively, and of $1,798,170 and $2,224,629 for the nine month periods ended September 30, 2024 and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As of</w:t>
            </w:r>
          </w:p>
        </w:tc>
        <w:tc>
          <w:tcPr>
            <w:tcW w:w="18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2260" w:type="dxa"/>
            <w:vAlign w:val="bottom"/>
          </w:tcPr>
          <w:p>
            <w:pPr>
              <w:spacing w:after="0"/>
              <w:rPr>
                <w:sz w:val="24"/>
                <w:szCs w:val="24"/>
                <w:color w:val="auto"/>
              </w:rPr>
            </w:pPr>
          </w:p>
        </w:tc>
      </w:t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2260" w:type="dxa"/>
            <w:vAlign w:val="bottom"/>
          </w:tcPr>
          <w:p>
            <w:pPr>
              <w:spacing w:after="0"/>
              <w:rPr>
                <w:sz w:val="18"/>
                <w:szCs w:val="18"/>
                <w:color w:val="auto"/>
              </w:rPr>
            </w:pPr>
          </w:p>
        </w:tc>
      </w:tr>
      <w:tr>
        <w:trPr>
          <w:trHeight w:val="234"/>
        </w:trPr>
        <w:tc>
          <w:tcPr>
            <w:tcW w:w="47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3,798,114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3,984,695</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9,437</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20,451</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949,979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2,661,092</w:t>
            </w: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3,011,035</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3,486,115</w:t>
            </w:r>
          </w:p>
        </w:tc>
        <w:tc>
          <w:tcPr>
            <w:tcW w:w="2260" w:type="dxa"/>
            <w:vAlign w:val="bottom"/>
          </w:tcPr>
          <w:p>
            <w:pPr>
              <w:spacing w:after="0"/>
              <w:rPr>
                <w:sz w:val="18"/>
                <w:szCs w:val="18"/>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92,259</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18,437</w:t>
            </w:r>
          </w:p>
        </w:tc>
        <w:tc>
          <w:tcPr>
            <w:tcW w:w="2260" w:type="dxa"/>
            <w:vAlign w:val="bottom"/>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8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7,860,824</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10,170,790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4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33</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condensed consolidated statement of earnings. Included in loans held for sale are loans in the process of foreclosure with an aggregate unpaid principal balance of $332,848 and $1,636,090 as of September 30, 2024 and December 31, 2023, respectively. See Note 8 to the condensed consolidated financial statements for additional disclosures regarding loans held for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142,897,741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126,549,190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1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139,678,479</w:t>
            </w: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127,185,867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3,219,262</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(636,677)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5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7,358,830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6,033,227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20,245,527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16,408,443</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2,357,379</w:t>
            </w:r>
          </w:p>
        </w:tc>
        <w:tc>
          <w:tcPr>
            <w:tcW w:w="4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2,637,971</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6,104,113</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7,265,516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17,982,124</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17,625,394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51,387,693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54,884,965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2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(179,836)</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(1,504,286)</w:t>
            </w: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811,765</w:t>
            </w: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(977,716)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2,959,729</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(108,676)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3,855,914</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(715,799)</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2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(254,134)</w:t>
            </w:r>
          </w:p>
        </w:tc>
        <w:tc>
          <w:tcPr>
            <w:tcW w:w="4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252,389</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(729,734)</w:t>
            </w: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138,369</w:t>
            </w: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30,224,092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24,936,019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81,675,278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77,003,778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Loss Reserve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can resolve the issues relating to the repurchase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88" w:right="339" w:bottom="6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on current loan originations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Charge-offs, net of recaptured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mortgage fee income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43"/>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5715</wp:posOffset>
            </wp:positionV>
            <wp:extent cx="570039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943" w:hanging="943"/>
        <w:spacing w:after="0"/>
        <w:tabs>
          <w:tab w:leader="none" w:pos="9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547,233</w:t>
      </w:r>
    </w:p>
    <w:p>
      <w:pPr>
        <w:spacing w:after="0" w:line="22" w:lineRule="exact"/>
        <w:rPr>
          <w:rFonts w:ascii="Times New Roman" w:cs="Times New Roman" w:eastAsia="Times New Roman" w:hAnsi="Times New Roman"/>
          <w:sz w:val="18"/>
          <w:szCs w:val="18"/>
          <w:color w:val="auto"/>
        </w:rPr>
      </w:pPr>
    </w:p>
    <w:p>
      <w:pPr>
        <w:ind w:left="94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729,734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-3548380</wp:posOffset>
            </wp:positionH>
            <wp:positionV relativeFrom="paragraph">
              <wp:posOffset>5715</wp:posOffset>
            </wp:positionV>
            <wp:extent cx="570039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(444,882)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943" w:hanging="943"/>
        <w:spacing w:after="0"/>
        <w:tabs>
          <w:tab w:leader="none" w:pos="9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832,085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8"/>
          <w:szCs w:val="18"/>
          <w:color w:val="auto"/>
        </w:rPr>
        <w:t>As of</w:t>
      </w:r>
    </w:p>
    <w:p>
      <w:pPr>
        <w:spacing w:after="0" w:line="27" w:lineRule="exact"/>
        <w:rPr>
          <w:sz w:val="20"/>
          <w:szCs w:val="20"/>
          <w:color w:val="auto"/>
        </w:rPr>
      </w:pPr>
    </w:p>
    <w:p>
      <w:pPr>
        <w:ind w:left="261"/>
        <w:spacing w:after="0"/>
        <w:rPr>
          <w:sz w:val="20"/>
          <w:szCs w:val="20"/>
          <w:color w:val="auto"/>
        </w:rPr>
      </w:pPr>
      <w:r>
        <w:rPr>
          <w:rFonts w:ascii="Times New Roman" w:cs="Times New Roman" w:eastAsia="Times New Roman" w:hAnsi="Times New Roman"/>
          <w:sz w:val="18"/>
          <w:szCs w:val="18"/>
          <w:color w:val="auto"/>
        </w:rPr>
        <w:t>December 31,</w:t>
      </w:r>
    </w:p>
    <w:p>
      <w:pPr>
        <w:spacing w:after="0" w:line="9" w:lineRule="exact"/>
        <w:rPr>
          <w:sz w:val="20"/>
          <w:szCs w:val="20"/>
          <w:color w:val="auto"/>
        </w:rPr>
      </w:pPr>
    </w:p>
    <w:p>
      <w:pPr>
        <w:ind w:left="581"/>
        <w:spacing w:after="0"/>
        <w:rPr>
          <w:sz w:val="20"/>
          <w:szCs w:val="20"/>
          <w:color w:val="auto"/>
        </w:rPr>
      </w:pP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ind w:left="801" w:hanging="801"/>
        <w:spacing w:after="0"/>
        <w:tabs>
          <w:tab w:leader="none" w:pos="80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1,725,667</w:t>
      </w:r>
    </w:p>
    <w:p>
      <w:pPr>
        <w:spacing w:after="0" w:line="22"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27,164</w:t>
      </w:r>
    </w:p>
    <w:p>
      <w:pPr>
        <w:spacing w:after="0" w:line="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(1,205,598)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941" w:hanging="941"/>
        <w:spacing w:after="0"/>
        <w:tabs>
          <w:tab w:leader="none" w:pos="9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68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3">
            <w:col w:w="4877" w:space="720"/>
            <w:col w:w="1583" w:space="199"/>
            <w:col w:w="3861"/>
          </w:cols>
          <w:pgMar w:left="320" w:top="688" w:right="339" w:bottom="65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the nine month period ended September 30, 2024, $729,734 in reserves were added at a rate of 4.2 basis points per loan, the equivalent of $420 per $1,000,000 in loans originated. This is a decrease over the nine month period ended September 30, 2023, when reserves of $770,220 were added at a rate of 4.5 basis points per loan originated, the equivalent of $450 per $1,000,000 in loans originated. The Company monitors market data and trends, economic conditions (including forecasts), and its own experience to maintain adequate loss reserves on current production.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650" w:gutter="0" w:footer="0" w:header="0"/>
          <w:type w:val="continuous"/>
        </w:sectPr>
      </w:pPr>
    </w:p>
    <w:bookmarkStart w:id="37" w:name="page38"/>
    <w:bookmarkEnd w:id="3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equity incentive plans (the “2013 Plan”, the “2014 Director Plan” and the “2022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$195,431 and $145,973 has been recognized for these plans for the three month periods ended September 30, 2024 and 2023, respectively, and $577,613 and $430,856 has been recognized for these plans for the nine month periods ended September 30, 2024 and 2023, respectively, and is included in personnel expenses on the condensed consolidated statements of earnings. As of September 30, 2024, the total unrecognized compensation expense related to the options issued was $134,239, which is expected to be recognized over the remaining vesting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nine month period ended September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Class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Exercise</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Class 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Exercise</w:t>
            </w:r>
          </w:p>
        </w:tc>
      </w:tr>
      <w:tr>
        <w:trPr>
          <w:trHeight w:val="234"/>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Price (2)</w:t>
            </w:r>
          </w:p>
        </w:tc>
        <w:tc>
          <w:tcPr>
            <w:tcW w:w="12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Price (2)</w:t>
            </w:r>
          </w:p>
        </w:tc>
      </w:tr>
      <w:tr>
        <w:trPr>
          <w:trHeight w:val="210"/>
        </w:trPr>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833,570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1,520,062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76,005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782,747</w:t>
            </w: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1,596,067</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197"/>
        </w:trPr>
        <w:tc>
          <w:tcPr>
            <w:tcW w:w="3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751,872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1,519,817</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September 30, 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556,238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5.74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5.63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3,165,305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5,793,310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 (1)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3,119,776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5,676,723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$9.20 as of September 30, 2024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stock option plans during the nine month period ended September 30, 2023,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for the effect of stock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September 30,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options for future grant</w:t>
      </w:r>
    </w:p>
    <w:p>
      <w:pPr>
        <w:spacing w:after="0" w:line="27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outstanding at September 30, 2023</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Weighted average contractual term of options exercisable at September 30, 2023</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outstanding at September 30, 2023 (1)</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Aggregated intrinsic value of options exercisable at September 30,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c>
          <w:tcPr>
            <w:tcW w:w="0" w:type="dxa"/>
            <w:vAlign w:val="bottom"/>
          </w:tcPr>
          <w:p>
            <w:pPr>
              <w:spacing w:after="0"/>
              <w:rPr>
                <w:sz w:val="1"/>
                <w:szCs w:val="1"/>
                <w:color w:val="auto"/>
              </w:rPr>
            </w:pPr>
          </w:p>
        </w:tc>
      </w:tr>
      <w:tr>
        <w:trPr>
          <w:trHeight w:val="234"/>
        </w:trPr>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Class A Shares</w:t>
            </w:r>
          </w:p>
        </w:tc>
        <w:tc>
          <w:tcPr>
            <w:tcW w:w="1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07"/>
        </w:trPr>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976,605</w:t>
            </w:r>
          </w:p>
        </w:tc>
        <w:tc>
          <w:tcPr>
            <w:tcW w:w="1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797,691</w:t>
            </w:r>
          </w:p>
        </w:tc>
        <w:tc>
          <w:tcPr>
            <w:tcW w:w="14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line="20" w:lineRule="exact"/>
              <w:rPr>
                <w:sz w:val="1"/>
                <w:szCs w:val="1"/>
                <w:color w:val="auto"/>
              </w:rPr>
            </w:pPr>
          </w:p>
        </w:tc>
      </w:tr>
      <w:tr>
        <w:trPr>
          <w:trHeight w:val="655"/>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770,066</w:t>
            </w:r>
          </w:p>
        </w:tc>
        <w:tc>
          <w:tcPr>
            <w:tcW w:w="140" w:type="dxa"/>
            <w:vAlign w:val="bottom"/>
          </w:tcPr>
          <w:p>
            <w:pPr>
              <w:spacing w:after="0"/>
              <w:rPr>
                <w:sz w:val="24"/>
                <w:szCs w:val="24"/>
                <w:color w:val="auto"/>
              </w:rPr>
            </w:pPr>
          </w:p>
        </w:tc>
        <w:tc>
          <w:tcPr>
            <w:tcW w:w="24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4.69 years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4.53 years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2,438,675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2,398,360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-3514090</wp:posOffset>
            </wp:positionV>
            <wp:extent cx="570039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-3239770</wp:posOffset>
            </wp:positionV>
            <wp:extent cx="570039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-2965450</wp:posOffset>
            </wp:positionV>
            <wp:extent cx="5700395"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-2656840</wp:posOffset>
            </wp:positionV>
            <wp:extent cx="570039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-2365375</wp:posOffset>
            </wp:positionV>
            <wp:extent cx="570039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-2047875</wp:posOffset>
            </wp:positionV>
            <wp:extent cx="570039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-1748155</wp:posOffset>
            </wp:positionV>
            <wp:extent cx="570039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-1319530</wp:posOffset>
            </wp:positionV>
            <wp:extent cx="570039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-908050</wp:posOffset>
            </wp:positionV>
            <wp:extent cx="570039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-471170</wp:posOffset>
            </wp:positionV>
            <wp:extent cx="570039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34"/>
        </w:trPr>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Class C Shares</w:t>
            </w:r>
          </w:p>
        </w:tc>
        <w:tc>
          <w:tcPr>
            <w:tcW w:w="1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407"/>
        </w:trPr>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57,859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1,215,062</w:t>
            </w:r>
          </w:p>
        </w:tc>
        <w:tc>
          <w:tcPr>
            <w:tcW w:w="120" w:type="dxa"/>
            <w:vAlign w:val="bottom"/>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line="20" w:lineRule="exact"/>
              <w:rPr>
                <w:sz w:val="1"/>
                <w:szCs w:val="1"/>
                <w:color w:val="auto"/>
              </w:rPr>
            </w:pPr>
          </w:p>
        </w:tc>
      </w:tr>
      <w:tr>
        <w:trPr>
          <w:trHeight w:val="655"/>
        </w:trPr>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1,141,312</w:t>
            </w:r>
          </w:p>
        </w:tc>
        <w:tc>
          <w:tcPr>
            <w:tcW w:w="12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834,750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6.15 years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20" w:type="dxa"/>
            <w:vAlign w:val="bottom"/>
          </w:tcPr>
          <w:p>
            <w:pPr>
              <w:spacing w:after="0"/>
              <w:rPr>
                <w:sz w:val="24"/>
                <w:szCs w:val="24"/>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6.03 years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3,074,037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2,955,012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580" w:space="220"/>
            <w:col w:w="2440" w:space="240"/>
            <w:col w:w="4760"/>
          </w:cols>
          <w:pgMar w:left="320" w:top="688" w:right="339"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$7.84 as of September 30, 2023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the nine month periods ended September 30, 2024 and 2023 was $290,159 and $454,923,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39" w:name="page40"/>
    <w:bookmarkEnd w:id="3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based compensation expense for RSUs issued of $895 and nil has been recognized under these plans for the three month periods ended September 30, 2024 and 2023, respectively, and of $2,666 and $742 has been recognized under these plans for the nine month periods ended September 30, 2024 and 2023, respectively, and is included in personnel expenses on the condensed consolidated statements of earnings. The fair value of each RSU granted is determined by the Company’s stock price on the date of the grant. As of September 30, 2024, the total unrecognized compensation expense related to the RSUs issued was $598, which is expected to be recognized over the remaining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nine month period ended September 30, 2024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600" w:type="dxa"/>
            <w:vAlign w:val="bottom"/>
          </w:tcPr>
          <w:p>
            <w:pPr>
              <w:spacing w:after="0"/>
              <w:rPr>
                <w:sz w:val="18"/>
                <w:szCs w:val="18"/>
                <w:color w:val="auto"/>
              </w:rPr>
            </w:pPr>
          </w:p>
        </w:tc>
        <w:tc>
          <w:tcPr>
            <w:tcW w:w="1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Average Grant</w:t>
            </w:r>
          </w:p>
        </w:tc>
      </w:tr>
      <w:tr>
        <w:trPr>
          <w:trHeight w:val="234"/>
        </w:trPr>
        <w:tc>
          <w:tcPr>
            <w:tcW w:w="5600" w:type="dxa"/>
            <w:vAlign w:val="bottom"/>
          </w:tcPr>
          <w:p>
            <w:pPr>
              <w:spacing w:after="0"/>
              <w:rPr>
                <w:sz w:val="20"/>
                <w:szCs w:val="20"/>
                <w:color w:val="auto"/>
              </w:rPr>
            </w:pPr>
          </w:p>
        </w:tc>
        <w:tc>
          <w:tcPr>
            <w:tcW w:w="17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Class A Shares</w:t>
            </w:r>
          </w:p>
        </w:tc>
        <w:tc>
          <w:tcPr>
            <w:tcW w:w="14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6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7.99</w:t>
            </w:r>
          </w:p>
        </w:tc>
      </w:tr>
      <w:tr>
        <w:trPr>
          <w:trHeight w:val="196"/>
        </w:trPr>
        <w:tc>
          <w:tcPr>
            <w:tcW w:w="5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16,540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of the RSUs during the nine month period ended September 30,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226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Grant Date Fair</w:t>
            </w:r>
          </w:p>
        </w:tc>
        <w:tc>
          <w:tcPr>
            <w:tcW w:w="226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c>
          <w:tcPr>
            <w:tcW w:w="2260" w:type="dxa"/>
            <w:vAlign w:val="bottom"/>
          </w:tcPr>
          <w:p>
            <w:pPr>
              <w:spacing w:after="0"/>
              <w:rPr>
                <w:sz w:val="20"/>
                <w:szCs w:val="20"/>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5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6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Non-vested at September 30, 2023</w:t>
            </w:r>
          </w:p>
        </w:tc>
        <w:tc>
          <w:tcPr>
            <w:tcW w:w="158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2260" w:type="dxa"/>
            <w:vAlign w:val="bottom"/>
          </w:tcPr>
          <w:p>
            <w:pPr>
              <w:spacing w:after="0"/>
              <w:rPr>
                <w:sz w:val="22"/>
                <w:szCs w:val="22"/>
                <w:color w:val="auto"/>
              </w:rPr>
            </w:pPr>
          </w:p>
        </w:tc>
      </w:tr>
      <w:tr>
        <w:trPr>
          <w:trHeight w:val="197"/>
        </w:trPr>
        <w:tc>
          <w:tcPr>
            <w:tcW w:w="40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58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4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0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0" w:name="page41"/>
    <w:bookmarkEnd w:id="4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11,831,444</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4,041,293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26,577,515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11,634,171</w:t>
            </w:r>
          </w:p>
        </w:tc>
      </w:tr>
      <w:tr>
        <w:trPr>
          <w:trHeight w:val="197"/>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23,240,725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23,169,141</w:t>
            </w: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23,287,707</w:t>
            </w: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23,171,889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812,761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806,643</w:t>
            </w: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696,526</w:t>
            </w:r>
          </w:p>
        </w:tc>
        <w:tc>
          <w:tcPr>
            <w:tcW w:w="4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665,804</w:t>
            </w:r>
          </w:p>
        </w:tc>
      </w:tr>
      <w:tr>
        <w:trPr>
          <w:trHeight w:val="223"/>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24,053,486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23,975,784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23,984,233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23,837,693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earnings per share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 periods ended September 30, 2024 and 2023, there were nil and 55,125 anti-dilutive stock option shares, respectively, that were not included in the computation of diluted net earnings per common share as their effect would be anti-dilutive. Basic and diluted earnings per share amounts are the same for each class of common stock.</w:t>
      </w:r>
    </w:p>
    <w:p>
      <w:pPr>
        <w:sectPr>
          <w:pgSz w:w="11900" w:h="16838" w:orient="portrait"/>
          <w:cols w:equalWidth="0" w:num="1">
            <w:col w:w="11240"/>
          </w:cols>
          <w:pgMar w:left="320" w:top="688"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in shares of capital stock.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34924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492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4924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492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4924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4924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34924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 A</w:t>
            </w: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Class C</w:t>
            </w:r>
          </w:p>
        </w:tc>
      </w:tr>
      <w:tr>
        <w:trPr>
          <w:trHeight w:val="228"/>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19,708,011</w:t>
            </w:r>
          </w:p>
        </w:tc>
        <w:tc>
          <w:tcPr>
            <w:tcW w:w="24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3,031,453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239,191</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(59,599)</w:t>
            </w:r>
          </w:p>
        </w:tc>
      </w:tr>
      <w:tr>
        <w:trPr>
          <w:trHeight w:val="453"/>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20,007,611</w:t>
            </w:r>
          </w:p>
        </w:tc>
        <w:tc>
          <w:tcPr>
            <w:tcW w:w="240" w:type="dxa"/>
            <w:vAlign w:val="bottom"/>
          </w:tcPr>
          <w:p>
            <w:pPr>
              <w:spacing w:after="0"/>
              <w:rPr>
                <w:sz w:val="24"/>
                <w:szCs w:val="24"/>
                <w:color w:val="auto"/>
              </w:rPr>
            </w:pP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2,971,854</w:t>
            </w:r>
          </w:p>
        </w:tc>
        <w:tc>
          <w:tcPr>
            <w:tcW w:w="40" w:type="dxa"/>
            <w:vAlign w:val="bottom"/>
          </w:tcPr>
          <w:p>
            <w:pPr>
              <w:spacing w:after="0"/>
              <w:rPr>
                <w:sz w:val="24"/>
                <w:szCs w:val="24"/>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21,052,883</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3,120,432</w:t>
            </w:r>
          </w:p>
        </w:tc>
        <w:tc>
          <w:tcPr>
            <w:tcW w:w="40" w:type="dxa"/>
            <w:vAlign w:val="bottom"/>
          </w:tcPr>
          <w:p>
            <w:pPr>
              <w:spacing w:after="0"/>
              <w:rPr>
                <w:sz w:val="24"/>
                <w:szCs w:val="24"/>
                <w:color w:val="auto"/>
              </w:rPr>
            </w:pPr>
          </w:p>
        </w:tc>
      </w:tr>
      <w:tr>
        <w:trPr>
          <w:trHeight w:val="414"/>
        </w:trPr>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63,512</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r>
        <w:trPr>
          <w:trHeight w:val="216"/>
        </w:trPr>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48"/>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52"/>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21,117,986</w:t>
            </w:r>
          </w:p>
        </w:tc>
        <w:tc>
          <w:tcPr>
            <w:tcW w:w="240" w:type="dxa"/>
            <w:vAlign w:val="bottom"/>
          </w:tcPr>
          <w:p>
            <w:pPr>
              <w:spacing w:after="0"/>
              <w:rPr>
                <w:sz w:val="24"/>
                <w:szCs w:val="24"/>
                <w:color w:val="auto"/>
              </w:rPr>
            </w:pP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3,120,166</w:t>
            </w:r>
          </w:p>
        </w:tc>
        <w:tc>
          <w:tcPr>
            <w:tcW w:w="40" w:type="dxa"/>
            <w:vAlign w:val="bottom"/>
          </w:tcPr>
          <w:p>
            <w:pPr>
              <w:spacing w:after="0"/>
              <w:rPr>
                <w:sz w:val="24"/>
                <w:szCs w:val="24"/>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40" w:space="200"/>
            <w:col w:w="6000"/>
          </w:cols>
          <w:pgMar w:left="320" w:top="688" w:right="33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(1)Adjusted retroactively for the effect of annual stock dividends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1" w:name="page42"/>
    <w:bookmarkEnd w:id="4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policyholders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 of residential mortgage loans and interest earned and interest expenses from warehousing loans held for sale.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the Significant Accounting Principles of the Form 10-K for the year ended December 31, 2023. Intersegment revenues are recorded at cost plus an agreed upon intercompany profit, and are eliminated upon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Cemetery/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7"/>
              </w:rPr>
              <w:t>Intercompany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Life Insurance</w:t>
            </w:r>
          </w:p>
        </w:tc>
        <w:tc>
          <w:tcPr>
            <w:tcW w:w="1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Mortuary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Mortgage</w:t>
            </w:r>
          </w:p>
        </w:tc>
        <w:tc>
          <w:tcPr>
            <w:tcW w:w="100" w:type="dxa"/>
            <w:vAlign w:val="bottom"/>
          </w:tcPr>
          <w:p>
            <w:pPr>
              <w:spacing w:after="0"/>
              <w:rPr>
                <w:sz w:val="20"/>
                <w:szCs w:val="20"/>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Eliminations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r>
      <w:tr>
        <w:trPr>
          <w:trHeight w:val="210"/>
        </w:trPr>
        <w:tc>
          <w:tcPr>
            <w:tcW w:w="3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5"/>
        </w:trPr>
        <w:tc>
          <w:tcPr>
            <w:tcW w:w="3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48,853,356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8,542,677</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30,877,654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88,273,687</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2,066,052</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137,946</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(2,289,697)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12,358,186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2,840,346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15,214,682</w:t>
            </w:r>
          </w:p>
        </w:tc>
      </w:tr>
      <w:tr>
        <w:trPr>
          <w:trHeight w:val="216"/>
        </w:trPr>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146,061,306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25,608,123</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83,583,792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255,253,221</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5,351,600</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255,234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429,541</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(6,036,375)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28,052,410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7,984,287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(1,813,111)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34,223,586</w:t>
            </w:r>
          </w:p>
        </w:tc>
      </w:tr>
      <w:tr>
        <w:trPr>
          <w:trHeight w:val="216"/>
        </w:trPr>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1,379,914,778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103,403,799</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99,663,509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(93,411,674)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1,489,570,412</w:t>
            </w:r>
          </w:p>
        </w:tc>
      </w:tr>
      <w:tr>
        <w:trPr>
          <w:trHeight w:val="22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2,765,570</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23"/>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1,382,680,348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105,892,012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99,663,509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(93,411,674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1,494,824,195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47,199,169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7,416,423</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25,626,135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80,241,727</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2,330,292</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85,699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133,639</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(2,549,630)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7,175,181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1,469,592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(3,486,083)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5,158,690</w:t>
            </w:r>
          </w:p>
        </w:tc>
      </w:tr>
      <w:tr>
        <w:trPr>
          <w:trHeight w:val="216"/>
        </w:trPr>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Nine Months Ended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September 30, 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140,685,555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23,427,327</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79,475,738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243,588,620</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6,357,810</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254,302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393,145</w:t>
            </w:r>
          </w:p>
        </w:tc>
        <w:tc>
          <w:tcPr>
            <w:tcW w:w="10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(7,005,257)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 (loss) before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20,017,102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6,082,343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(11,206,534)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14,892,911</w:t>
            </w:r>
          </w:p>
        </w:tc>
      </w:tr>
      <w:tr>
        <w:trPr>
          <w:trHeight w:val="216"/>
        </w:trPr>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1,299,027,212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92,299,022</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107,800,781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(90,608,563)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1,408,518,452</w:t>
            </w:r>
          </w:p>
        </w:tc>
      </w:tr>
      <w:tr>
        <w:trPr>
          <w:trHeight w:val="22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2,765,570</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2,488,213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5,253,783</w:t>
            </w:r>
          </w:p>
        </w:tc>
      </w:tr>
      <w:tr>
        <w:trPr>
          <w:trHeight w:val="223"/>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1,301,792,782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94,787,235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107,800,781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(90,608,563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1,413,772,235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disclosures related to significant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 that are used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that have quoted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right="7340" w:firstLine="8"/>
        <w:spacing w:after="0" w:line="499" w:lineRule="auto"/>
        <w:tabs>
          <w:tab w:leader="none" w:pos="1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 The items shown under Level 3 are valued as follows: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in volatile markets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loan commitments with potential borrowers and 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commitments to sell loans with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the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The Company believes that in an orderly market, fair value will approximate the replacement cost of a home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conditions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Mortgage Servicing Rights (“MSRs”) at their estimated fair values derived from the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associated with the servicing contracts, where the Company assumes the obligation to service the loan in the sale transaction.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5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346,513,336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345,281,782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1,231,554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16,385,571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16,385,571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142,897,741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142,897,741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1,747,584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1,747,584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9,860,911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9,860,911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771,935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771,935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5,072,421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5,072,421</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5,563,882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5,563,882</w:t>
            </w:r>
          </w:p>
        </w:tc>
      </w:tr>
      <w:tr>
        <w:trPr>
          <w:trHeight w:val="178"/>
        </w:trPr>
        <w:tc>
          <w:tcPr>
            <w:tcW w:w="52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528,813,381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31,318,903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347,801,301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149,693,177</w:t>
            </w: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ind w:right="1460"/>
        <w:spacing w:after="0" w:line="250" w:lineRule="auto"/>
        <w:rPr>
          <w:sz w:val="20"/>
          <w:szCs w:val="20"/>
          <w:color w:val="auto"/>
        </w:rPr>
      </w:pPr>
      <w:r>
        <w:rPr>
          <w:rFonts w:ascii="Times New Roman" w:cs="Times New Roman" w:eastAsia="Times New Roman" w:hAnsi="Times New Roman"/>
          <w:sz w:val="18"/>
          <w:szCs w:val="18"/>
          <w:color w:val="auto"/>
        </w:rPr>
        <w:t>Liabilities accounted for at fair value on a recurring basis</w:t>
      </w:r>
    </w:p>
    <w:p>
      <w:pPr>
        <w:spacing w:after="0" w:line="1" w:lineRule="exact"/>
        <w:rPr>
          <w:sz w:val="20"/>
          <w:szCs w:val="20"/>
          <w:color w:val="auto"/>
        </w:rPr>
      </w:pPr>
    </w:p>
    <w:p>
      <w:pPr>
        <w:ind w:right="1460"/>
        <w:spacing w:after="0" w:line="263" w:lineRule="auto"/>
        <w:rPr>
          <w:sz w:val="20"/>
          <w:szCs w:val="20"/>
          <w:color w:val="auto"/>
        </w:rPr>
      </w:pPr>
      <w:r>
        <w:rPr>
          <w:rFonts w:ascii="Times New Roman" w:cs="Times New Roman" w:eastAsia="Times New Roman" w:hAnsi="Times New Roman"/>
          <w:sz w:val="18"/>
          <w:szCs w:val="18"/>
          <w:color w:val="auto"/>
        </w:rPr>
        <w:t>Derivatives - loan commitments (4) Total liabilities accounted for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830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(3,168,855)</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(3,168,855)</w:t>
            </w:r>
          </w:p>
        </w:tc>
      </w:tr>
      <w:tr>
        <w:trPr>
          <w:trHeight w:val="20"/>
        </w:trPr>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(3,168,855)</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(3,168,855)</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688" w:right="339"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liabilities and accrued expenses on the consolidated balance sheets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6" w:name="page47"/>
    <w:bookmarkEnd w:id="4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Level 1, 2 and 3 financial assets and financial liabilities measured at fair value on a recurring basis by their classification in the condensed consolidated balance sheet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Quoted 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178"/>
        </w:trPr>
        <w:tc>
          <w:tcPr>
            <w:tcW w:w="5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Assets accounted for at fair value on a</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381,535,986</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380,297,330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13,636,071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13,636,071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126,549,190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1,853,860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1,853,860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7,385,203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7,385,203</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641,704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4,327,301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4,327,301</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4,995,486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4,995,486</w:t>
            </w:r>
          </w:p>
        </w:tc>
        <w:tc>
          <w:tcPr>
            <w:tcW w:w="100" w:type="dxa"/>
            <w:vAlign w:val="bottom"/>
            <w:shd w:val="clear" w:color="auto" w:fill="CCEEFF"/>
          </w:tcPr>
          <w:p>
            <w:pPr>
              <w:spacing w:after="0"/>
              <w:rPr>
                <w:sz w:val="19"/>
                <w:szCs w:val="19"/>
                <w:color w:val="auto"/>
              </w:rPr>
            </w:pPr>
          </w:p>
        </w:tc>
      </w:tr>
      <w:tr>
        <w:trPr>
          <w:trHeight w:val="178"/>
        </w:trPr>
        <w:tc>
          <w:tcPr>
            <w:tcW w:w="52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assets accounted for at fair value on a</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540,924,801</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25,348,575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382,792,894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132,783,332</w:t>
            </w:r>
          </w:p>
        </w:tc>
        <w:tc>
          <w:tcPr>
            <w:tcW w:w="100" w:type="dxa"/>
            <w:vAlign w:val="bottom"/>
          </w:tcPr>
          <w:p>
            <w:pPr>
              <w:spacing w:after="0"/>
              <w:rPr>
                <w:sz w:val="24"/>
                <w:szCs w:val="24"/>
                <w:color w:val="auto"/>
              </w:rPr>
            </w:pPr>
          </w:p>
        </w:tc>
      </w:tr>
      <w:tr>
        <w:trPr>
          <w:trHeight w:val="197"/>
        </w:trPr>
        <w:tc>
          <w:tcPr>
            <w:tcW w:w="5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accounted for at fair value on a</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recurring basis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(3,412,224)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178"/>
        </w:trPr>
        <w:tc>
          <w:tcPr>
            <w:tcW w:w="52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liabilities accounted for at fair value</w:t>
            </w: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on a recurring basis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(3,412,224)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(3,412,224)</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September 30, 2024,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rPr>
              <w:t>September</w:t>
            </w:r>
          </w:p>
        </w:tc>
        <w:tc>
          <w:tcPr>
            <w:tcW w:w="178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178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20" w:type="dxa"/>
            <w:vAlign w:val="bottom"/>
          </w:tcPr>
          <w:p>
            <w:pPr>
              <w:spacing w:after="0"/>
              <w:rPr>
                <w:sz w:val="20"/>
                <w:szCs w:val="20"/>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30, 2024</w:t>
            </w:r>
          </w:p>
        </w:tc>
        <w:tc>
          <w:tcPr>
            <w:tcW w:w="3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Technique</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as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unpaid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$ 142,897,741</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2,395,027</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 bps</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1,231,554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2023, the significant unobservable inputs used in the fair value measurements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Fair Value at</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right="320"/>
              <w:spacing w:after="0" w:line="205" w:lineRule="exact"/>
              <w:rPr>
                <w:sz w:val="20"/>
                <w:szCs w:val="20"/>
                <w:color w:val="auto"/>
              </w:rPr>
            </w:pPr>
            <w:r>
              <w:rPr>
                <w:rFonts w:ascii="Times New Roman" w:cs="Times New Roman" w:eastAsia="Times New Roman" w:hAnsi="Times New Roman"/>
                <w:sz w:val="18"/>
                <w:szCs w:val="18"/>
                <w:color w:val="auto"/>
                <w:w w:val="99"/>
              </w:rPr>
              <w:t>December</w:t>
            </w:r>
          </w:p>
        </w:tc>
        <w:tc>
          <w:tcPr>
            <w:tcW w:w="15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220" w:type="dxa"/>
            <w:vAlign w:val="bottom"/>
          </w:tcPr>
          <w:p>
            <w:pPr>
              <w:spacing w:after="0"/>
              <w:rPr>
                <w:sz w:val="17"/>
                <w:szCs w:val="17"/>
                <w:color w:val="auto"/>
              </w:rPr>
            </w:pPr>
          </w:p>
        </w:tc>
        <w:tc>
          <w:tcPr>
            <w:tcW w:w="15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20"/>
              <w:spacing w:after="0" w:line="205" w:lineRule="exact"/>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Weighted</w:t>
            </w:r>
          </w:p>
        </w:tc>
      </w:tr>
      <w:tr>
        <w:trPr>
          <w:trHeight w:val="234"/>
        </w:trPr>
        <w:tc>
          <w:tcPr>
            <w:tcW w:w="2120" w:type="dxa"/>
            <w:vAlign w:val="bottom"/>
          </w:tcPr>
          <w:p>
            <w:pPr>
              <w:spacing w:after="0"/>
              <w:rPr>
                <w:sz w:val="20"/>
                <w:szCs w:val="20"/>
                <w:color w:val="auto"/>
              </w:rPr>
            </w:pPr>
          </w:p>
        </w:tc>
        <w:tc>
          <w:tcPr>
            <w:tcW w:w="13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31, 2023</w:t>
            </w:r>
          </w:p>
        </w:tc>
        <w:tc>
          <w:tcPr>
            <w:tcW w:w="3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 contract</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as 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unpaid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$ 126,549,190</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1,583,262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approach</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 bps</w:t>
            </w:r>
          </w:p>
        </w:tc>
      </w:tr>
      <w:tr>
        <w:trPr>
          <w:trHeight w:val="216"/>
        </w:trPr>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1,238,656</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quotes</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99.86</w:t>
            </w:r>
          </w:p>
        </w:tc>
      </w:tr>
      <w:tr>
        <w:trPr>
          <w:trHeight w:val="432"/>
        </w:trPr>
        <w:tc>
          <w:tcPr>
            <w:tcW w:w="2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8" w:name="page49"/>
    <w:bookmarkEnd w:id="4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3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Net Loan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w:t>
            </w:r>
          </w:p>
        </w:tc>
      </w:tr>
      <w:tr>
        <w:trPr>
          <w:trHeight w:val="234"/>
        </w:trPr>
        <w:tc>
          <w:tcPr>
            <w:tcW w:w="3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Commitments</w:t>
            </w: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2,574,863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150,196,416</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1,237,469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633,213,359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(655,088,969)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(179,836)(1)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14,576,935(1)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(5,915)</w:t>
            </w:r>
          </w:p>
        </w:tc>
      </w:tr>
      <w:tr>
        <w:trPr>
          <w:trHeight w:val="209"/>
        </w:trPr>
        <w:tc>
          <w:tcPr>
            <w:tcW w:w="3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2,395,027</w:t>
            </w:r>
          </w:p>
        </w:tc>
        <w:tc>
          <w:tcPr>
            <w:tcW w:w="200" w:type="dxa"/>
            <w:vAlign w:val="bottom"/>
          </w:tcPr>
          <w:p>
            <w:pPr>
              <w:spacing w:after="0"/>
              <w:rPr>
                <w:sz w:val="21"/>
                <w:szCs w:val="21"/>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142,897,741</w:t>
            </w:r>
          </w:p>
        </w:tc>
        <w:tc>
          <w:tcPr>
            <w:tcW w:w="200" w:type="dxa"/>
            <w:vAlign w:val="bottom"/>
          </w:tcPr>
          <w:p>
            <w:pPr>
              <w:spacing w:after="0"/>
              <w:rPr>
                <w:sz w:val="21"/>
                <w:szCs w:val="21"/>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1,231,554</w:t>
            </w:r>
          </w:p>
        </w:tc>
        <w:tc>
          <w:tcPr>
            <w:tcW w:w="280" w:type="dxa"/>
            <w:vAlign w:val="bottom"/>
          </w:tcPr>
          <w:p>
            <w:pPr>
              <w:spacing w:after="0"/>
              <w:rPr>
                <w:sz w:val="21"/>
                <w:szCs w:val="21"/>
                <w:color w:val="auto"/>
              </w:rPr>
            </w:pPr>
          </w:p>
        </w:tc>
      </w:tr>
      <w:tr>
        <w:trPr>
          <w:trHeight w:val="20"/>
        </w:trPr>
        <w:tc>
          <w:tcPr>
            <w:tcW w:w="3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three month period ended September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Net Loan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3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Commitments</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2023</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3,233,447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161,310,060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1,431,874</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569,095,944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(585,545,472)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(129,521)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(1,867,552)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(1,504,286)(1)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9,553,586(1)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(70,057)</w:t>
            </w:r>
          </w:p>
        </w:tc>
      </w:tr>
      <w:tr>
        <w:trPr>
          <w:trHeight w:val="210"/>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1,729,161</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152,546,566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1,232,187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 month period ended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Fixed Maturity</w:t>
            </w:r>
          </w:p>
        </w:tc>
      </w:tr>
      <w:tr>
        <w:trPr>
          <w:trHeight w:val="216"/>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Net Loan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w:t>
            </w:r>
          </w:p>
        </w:tc>
      </w:tr>
      <w:tr>
        <w:trPr>
          <w:trHeight w:val="234"/>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for Sale</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1,723,036,874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(1,742,693,113)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(858,977)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811,765(1)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36,863,767(1)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(7,102)</w:t>
            </w:r>
          </w:p>
        </w:tc>
      </w:tr>
      <w:tr>
        <w:trPr>
          <w:trHeight w:val="209"/>
        </w:trPr>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2,395,027</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142,897,741</w:t>
            </w:r>
          </w:p>
        </w:tc>
        <w:tc>
          <w:tcPr>
            <w:tcW w:w="200" w:type="dxa"/>
            <w:vAlign w:val="bottom"/>
          </w:tcPr>
          <w:p>
            <w:pPr>
              <w:spacing w:after="0"/>
              <w:rPr>
                <w:sz w:val="21"/>
                <w:szCs w:val="21"/>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1,231,554</w:t>
            </w:r>
          </w:p>
        </w:tc>
        <w:tc>
          <w:tcPr>
            <w:tcW w:w="200" w:type="dxa"/>
            <w:vAlign w:val="bottom"/>
          </w:tcPr>
          <w:p>
            <w:pPr>
              <w:spacing w:after="0"/>
              <w:rPr>
                <w:sz w:val="21"/>
                <w:szCs w:val="21"/>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changes in the condensed consolidated balance sheet line items measured using level 3 inputs for the nine month period ended September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rPr>
              <w:t>Net Loan</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Securities Available</w:t>
            </w:r>
          </w:p>
        </w:tc>
      </w:tr>
      <w:tr>
        <w:trPr>
          <w:trHeight w:val="234"/>
        </w:trPr>
        <w:tc>
          <w:tcPr>
            <w:tcW w:w="3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Commitments</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Sale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2,706,877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141,179,620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1,435,519</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1,708,831,185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(1,726,023,095)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(129,521)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mortgage loans held for investment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(3,017,626)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(977,716)(1)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31,576,482(1)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(73,702)</w:t>
            </w:r>
          </w:p>
        </w:tc>
      </w:tr>
      <w:tr>
        <w:trPr>
          <w:trHeight w:val="210"/>
        </w:trPr>
        <w:tc>
          <w:tcPr>
            <w:tcW w:w="3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1,729,161</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152,546,566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1,232,187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condensed consolidated statements of earnings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September 30, 2024 and as of December 31,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September 30, 2024 and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September 30,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86,548,141</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88,394,509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88,394,509</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129,732,885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129,732,885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129,732,885</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65,453,156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66,238,958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66,238,958</w:t>
            </w:r>
          </w:p>
        </w:tc>
      </w:tr>
      <w:tr>
        <w:trPr>
          <w:trHeight w:val="20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281,734,182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284,366,352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284,366,352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13,735,282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13,735,282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13,735,282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44,413,559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44,413,559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44,413,559</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1,111,073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1,111,073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1,111,073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99,800</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99,800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99,800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3,051,805</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4,170,880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4,170,880</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(106,989,925)</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(92,105,403)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(92,105,403)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(37,305,721)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(38,150,732)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(38,150,732)</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(106,361,533)</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(105,136,015)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(105,136,015)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condensed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condensed consolidated balance sheets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3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99,519,750</w:t>
            </w:r>
          </w:p>
        </w:tc>
        <w:tc>
          <w:tcPr>
            <w:tcW w:w="11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96,998,106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96,998,106</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103,529,896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103,529,896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103,529,896</w:t>
            </w:r>
          </w:p>
        </w:tc>
      </w:tr>
      <w:tr>
        <w:trPr>
          <w:trHeight w:val="229"/>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72,567,191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72,149,530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72,149,530</w:t>
            </w: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275,616,837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272,677,532</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272,677,532</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13,264,183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13,264,183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13,264,183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44,051,486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44,051,486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44,051,486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675,219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675,219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675,219</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246,865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246,865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246,865</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3,461,146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4,543,657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4,543,657</w:t>
            </w:r>
          </w:p>
        </w:tc>
      </w:tr>
      <w:tr>
        <w:trPr>
          <w:trHeight w:val="216"/>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(105,555,137)</w:t>
            </w:r>
          </w:p>
        </w:tc>
        <w:tc>
          <w:tcPr>
            <w:tcW w:w="1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(105,555,137)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(105,555,137)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(39,245,123)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(48,920,691)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(48,920,691)</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 annuities (3)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(106,285,010)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(102,177,585)</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(102,177,585)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future policy benefits and unpaid claims on the consolidated balance sheets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these financial instruments are summarized as follows: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Residential – The estimated fair value is determined through a combination of discounted cash flows (estimating expected future cash flows of payments and discounting them using current interest rates from single-family mortgages) and considering pricing of similar loans that were sold recently.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are primarily short in maturity. Accordingly, the estimated fair value is determined to be the carrying value.</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 carrying amounts reported in the accompanying condensed consolidated balance sheet for these financial instruments approximate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because they are fully collateralized by the cash surrender value of the underlying insurance policies.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are primarily short in maturity, accordingly, the carrying amounts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for these financial instruments approximate their fair values.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00" w:hanging="192"/>
        <w:spacing w:after="0"/>
        <w:tabs>
          <w:tab w:leader="none" w:pos="2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condensed consolidated balance sheet for warehouse lines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 and Future Policy Benefits-Annuities</w:t>
      </w:r>
      <w:r>
        <w:rPr>
          <w:rFonts w:ascii="Times New Roman" w:cs="Times New Roman" w:eastAsia="Times New Roman" w:hAnsi="Times New Roman"/>
          <w:sz w:val="18"/>
          <w:szCs w:val="18"/>
          <w:color w:val="auto"/>
        </w:rPr>
        <w:t>: Future policy benefit reserves for interest-sensitive insurance products are computed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retrospective deposit method and represent policy account balances before applicable surrender charges. Policy benefits and claims that are charged to expense include benefit claims incurred in the period of more than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85" w:lineRule="exact"/>
        <w:rPr>
          <w:sz w:val="20"/>
          <w:szCs w:val="20"/>
          <w:color w:val="auto"/>
        </w:rPr>
      </w:pPr>
    </w:p>
    <w:p>
      <w:pPr>
        <w:ind w:left="200" w:hanging="192"/>
        <w:spacing w:after="0"/>
        <w:tabs>
          <w:tab w:leader="none" w:pos="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be funded within the terms of the commitments.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right="8460" w:firstLine="8"/>
        <w:spacing w:after="0" w:line="500" w:lineRule="auto"/>
        <w:tabs>
          <w:tab w:leader="none" w:pos="1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Forward Sale Commitments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Balance Sheet</w:t>
            </w:r>
          </w:p>
        </w:tc>
        <w:tc>
          <w:tcPr>
            <w:tcW w:w="180" w:type="dxa"/>
            <w:vAlign w:val="bottom"/>
          </w:tcPr>
          <w:p>
            <w:pPr>
              <w:spacing w:after="0"/>
              <w:rPr>
                <w:sz w:val="20"/>
                <w:szCs w:val="20"/>
                <w:color w:val="auto"/>
              </w:rPr>
            </w:pPr>
          </w:p>
        </w:tc>
        <w:tc>
          <w:tcPr>
            <w:tcW w:w="240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8"/>
                <w:szCs w:val="18"/>
                <w:color w:val="auto"/>
              </w:rPr>
              <w:t>September 30, 2024</w:t>
            </w:r>
          </w:p>
        </w:tc>
        <w:tc>
          <w:tcPr>
            <w:tcW w:w="8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8"/>
              </w:rPr>
              <w:t>Notional</w:t>
            </w:r>
          </w:p>
        </w:tc>
        <w:tc>
          <w:tcPr>
            <w:tcW w:w="112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rPr>
              <w:t>Asset Fair</w:t>
            </w:r>
          </w:p>
        </w:tc>
        <w:tc>
          <w:tcPr>
            <w:tcW w:w="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280" w:type="dxa"/>
            <w:vAlign w:val="bottom"/>
          </w:tcPr>
          <w:p>
            <w:pPr>
              <w:spacing w:after="0"/>
              <w:rPr>
                <w:sz w:val="16"/>
                <w:szCs w:val="16"/>
                <w:color w:val="auto"/>
              </w:rPr>
            </w:pPr>
          </w:p>
        </w:tc>
        <w:tc>
          <w:tcPr>
            <w:tcW w:w="114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8"/>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Asset Fair</w:t>
            </w:r>
          </w:p>
        </w:tc>
        <w:tc>
          <w:tcPr>
            <w:tcW w:w="2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2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78"/>
        </w:trPr>
        <w:tc>
          <w:tcPr>
            <w:tcW w:w="2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 instruments:</w:t>
            </w: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assets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liabilities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270,461,098</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$ 5,563,882</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$ 3,168,855</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161,832,250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$ 4,995,486</w:t>
            </w: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$ 3,412,224</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270,461,098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$ 5,563,882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$ 3,168,855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161,832,250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$ 4,995,486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$ 3,412,224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Net Amount Gain (Loss)</w:t>
            </w:r>
          </w:p>
        </w:tc>
        <w:tc>
          <w:tcPr>
            <w:tcW w:w="18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 Amount Gain (Loss)</w:t>
            </w:r>
          </w:p>
        </w:tc>
        <w:tc>
          <w:tcPr>
            <w:tcW w:w="11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22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140" w:type="dxa"/>
            <w:vAlign w:val="bottom"/>
          </w:tcPr>
          <w:p>
            <w:pPr>
              <w:spacing w:after="0"/>
              <w:rPr>
                <w:sz w:val="20"/>
                <w:szCs w:val="20"/>
                <w:color w:val="auto"/>
              </w:rPr>
            </w:pPr>
          </w:p>
        </w:tc>
      </w:tr>
      <w:tr>
        <w:trPr>
          <w:trHeight w:val="223"/>
        </w:trPr>
        <w:tc>
          <w:tcPr>
            <w:tcW w:w="35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Derivative</w:t>
            </w:r>
          </w:p>
        </w:tc>
        <w:tc>
          <w:tcPr>
            <w:tcW w:w="200" w:type="dxa"/>
            <w:vAlign w:val="bottom"/>
          </w:tcPr>
          <w:p>
            <w:pPr>
              <w:spacing w:after="0"/>
              <w:rPr>
                <w:sz w:val="19"/>
                <w:szCs w:val="19"/>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Classification</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1"/>
        </w:trPr>
        <w:tc>
          <w:tcPr>
            <w:tcW w:w="3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Mortgage fee</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61"/>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(179,836)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(1,504,286)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811,765</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(977,716)</w:t>
            </w:r>
          </w:p>
        </w:tc>
        <w:tc>
          <w:tcPr>
            <w:tcW w:w="1140" w:type="dxa"/>
            <w:vAlign w:val="bottom"/>
          </w:tcPr>
          <w:p>
            <w:pPr>
              <w:spacing w:after="0"/>
              <w:rPr>
                <w:sz w:val="22"/>
                <w:szCs w:val="22"/>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3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a specified limit, which ranges from $25,000 to $100,000 on newly issued policies. The Company has also assumed various reinsurance agreements through acquisition of life companies. The Company is ultimately liable for these reinsured amounts in the event such reinsurers are unable to pay their portion of the claims. The Company evaluates the financial condition of reinsurers and monitors the concentration of credit risk. The Company is also a reinsurer of insurance with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Mortgage Warehouse Lines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two lines of credit for the purpose of funding mortgage loans.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agreement with U.S. Bank allows SecurityNational Mortgage to borrow up to $15,000,000. The agreement charges interest at 2.10% plus the greater of (i) 0%, and (ii) the one-month forward-looking term rate based on SOFR and matures on June 20, 2025.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agreement with Western Alliance Bank allows SecurityNational Mortgage to borrow up to $25,000,000. The agreement charges interest at the 1-Month SOFR rate plus 2.0% and matures on August 27, 2025. The Company is required to comply with covenants for adjusted tangible net worth, unrestricted cash balance, and minimum combined pre-tax income of at least $1.00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for both warehouse lines of credit include cross default provisions where certain events of default under other of SecurityNational Mortgage’s obligations constitute events of default under the warehouse lines of credit. As of September 30, 2024, the Company was in compliance with the net income covenant of the warehouse lines of credit and its operating cash flow covenant for its standby letter of credit with its primary bank. The Company has performed an internal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 Commitments and Contingencies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 for Revolving Lines of Credit and Bank Loans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has debt covenants on its revolving lines of credit and is required to comply with minimum operating cash flow ratios and minimum net worth for each of its business segments. The Company also has debt covenants for one of its loans on real estate for a minimum consolidated operating cash flow ratio, minimum liquidity, and consolidated net worth. In addition to these financial debt covenants, the Company is required to provide segment specific financial statements and building specific financial statements on all bank loans. As of September 30, 2024, the Company was in compliance with all these debt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September 30, 2024, the Company’s commitments were approximately $193,870,000 for these loans, of which $131,896,896 had been funded.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members.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other legal actions arising from the normal conduct of business. The Company believes that none of the actions, if adversely determined, will have a material effect on the Company’s financial position or results of operations. Based on the Company’s assessment and legal counsel’s analysis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80" w:hanging="272"/>
        <w:spacing w:after="0"/>
        <w:tabs>
          <w:tab w:leader="none" w:pos="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records its MSRs at fair value as discussed in Note 8.</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If the Company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80" w:type="dxa"/>
            <w:vAlign w:val="bottom"/>
          </w:tcPr>
          <w:p>
            <w:pPr>
              <w:spacing w:after="0"/>
              <w:rPr>
                <w:sz w:val="24"/>
                <w:szCs w:val="24"/>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of September 30,</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4"/>
        </w:trPr>
        <w:tc>
          <w:tcPr>
            <w:tcW w:w="6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3,461,146</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3,039,765</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 (1)</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1,009,312</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(2)</w:t>
            </w:r>
          </w:p>
        </w:tc>
        <w:tc>
          <w:tcPr>
            <w:tcW w:w="34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(458,567)</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(587,931)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end of period</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3,051,805</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with other than temporary impairment</w:t>
            </w:r>
          </w:p>
        </w:tc>
        <w:tc>
          <w:tcPr>
            <w:tcW w:w="34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3,051,805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3,461,146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end of period</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4,170,880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4,543,657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condensed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condensed consolidated statements of earnings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in its September 30, 2024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16"/>
        </w:trPr>
        <w:tc>
          <w:tcPr>
            <w:tcW w:w="458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MSR</w:t>
            </w:r>
          </w:p>
        </w:tc>
      </w:tr>
      <w:tr>
        <w:trPr>
          <w:trHeight w:val="234"/>
        </w:trPr>
        <w:tc>
          <w:tcPr>
            <w:tcW w:w="458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309,358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275,446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243,362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216,468</w:t>
            </w: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1,647,781</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3,051,805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condensed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8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180" w:type="dxa"/>
            <w:vAlign w:val="bottom"/>
          </w:tcPr>
          <w:p>
            <w:pPr>
              <w:spacing w:after="0"/>
              <w:rPr>
                <w:sz w:val="20"/>
                <w:szCs w:val="20"/>
                <w:color w:val="auto"/>
              </w:rPr>
            </w:pPr>
          </w:p>
        </w:tc>
        <w:tc>
          <w:tcPr>
            <w:tcW w:w="18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36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CCEEFF"/>
            </w:tcBorders>
          </w:tcPr>
          <w:p>
            <w:pPr>
              <w:spacing w:after="0"/>
              <w:rPr>
                <w:sz w:val="19"/>
                <w:szCs w:val="19"/>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892,668</w:t>
            </w:r>
          </w:p>
        </w:tc>
        <w:tc>
          <w:tcPr>
            <w:tcW w:w="60" w:type="dxa"/>
            <w:vAlign w:val="bottom"/>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17,349</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21,037</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56,637</w:t>
            </w: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84,358</w:t>
            </w:r>
          </w:p>
        </w:tc>
      </w:tr>
      <w:tr>
        <w:trPr>
          <w:trHeight w:val="223"/>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w:t>
            </w:r>
          </w:p>
        </w:tc>
        <w:tc>
          <w:tcPr>
            <w:tcW w:w="8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44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44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20"/>
                <w:szCs w:val="20"/>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$ 391,681,072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$ 414,147,436</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Average</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16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Prepayment</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Life</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Discount</w:t>
            </w:r>
          </w:p>
        </w:tc>
      </w:tr>
      <w:tr>
        <w:trPr>
          <w:trHeight w:val="234"/>
        </w:trPr>
        <w:tc>
          <w:tcPr>
            <w:tcW w:w="2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Speeds</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(Years)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Rate</w:t>
            </w: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11.81</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7.79</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11.85</w:t>
            </w: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overall effective tax rate for the three month periods ended September 30, 2024 and 2023 was 22.2% and 21.7%, respectively, which resulted in a provision for income taxes of $3,383,238 and $1,117,397, respectively, and for the nine month periods ended September 30, 2024 and 2023 was 22.3% and 21.9%, respectively, which resulted in a provision for income taxes of $7,646,071 and $3,258,740, respectively. The Company’s effective tax rate is higher than the U.S. federal statutory rate of 21% due to, among other factors, state income taxes as offset by certain state income tax benefits, along with certain permanent tax adjustments such as meals and entertainment and stock-based compensation. The increase in the effective tax rate when compared to the prior year was primarily due to the Company’s state income tax provision.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76" w:lineRule="exact"/>
        <w:rPr>
          <w:sz w:val="20"/>
          <w:szCs w:val="20"/>
          <w:color w:val="auto"/>
        </w:rPr>
      </w:pPr>
    </w:p>
    <w:p>
      <w:pPr>
        <w:ind w:left="300" w:hanging="292"/>
        <w:spacing w:after="0"/>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Revenues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reports revenues from contracts with customers pursuant to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types of future obligations are as follows: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is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a manufacturer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markers and bases. When specialty merchandise is ordered, it can take time to manufacture and deliver the product. Revenue is deferred until the at-need merchandise is received.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Pre-need Land Revenue</w:t>
      </w:r>
      <w:r>
        <w:rPr>
          <w:rFonts w:ascii="Times New Roman" w:cs="Times New Roman" w:eastAsia="Times New Roman" w:hAnsi="Times New Roman"/>
          <w:sz w:val="18"/>
          <w:szCs w:val="18"/>
          <w:color w:val="auto"/>
        </w:rPr>
        <w:t>: Deferred pre-need revenue and corresponding commissions are deferred until 10% of the funds are received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through regular monthly payments. Deferred pre-need land revenue is not placed in trust.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Complete payment of the contract does not constitute fulfillment of the performance obligation. Goods or services are deferred until such a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an obligation and revenue remains deferred.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Revenues from Contracts with Customers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(September 30, 2024)</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6,593,720</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19,493,005</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4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Contract Balances</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(1)</w:t>
            </w:r>
          </w:p>
        </w:tc>
        <w:tc>
          <w:tcPr>
            <w:tcW w:w="12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5,392,779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16,226,836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Closing (December 31, 2023)</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6,321,573</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18,237,246</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Receivables, net on the condensed consolidated balance sheets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revenue recognized and included in the opening contract liability balance for the three month periods ended September 30, 2024 and 2023 was $1,320,688 and $1,279,750, respectively, and for the nine month periods ended September 30, 2024 and 2023 was $4,256,184 and $3,516,215,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98"/>
              </w:rPr>
              <w:t>September 30,</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1140" w:type="dxa"/>
            <w:vAlign w:val="bottom"/>
          </w:tcPr>
          <w:p>
            <w:pPr>
              <w:spacing w:after="0"/>
              <w:rPr>
                <w:sz w:val="20"/>
                <w:szCs w:val="20"/>
                <w:color w:val="auto"/>
              </w:rPr>
            </w:pP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r>
      <w:tr>
        <w:trPr>
          <w:trHeight w:val="189"/>
        </w:trPr>
        <w:tc>
          <w:tcPr>
            <w:tcW w:w="36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820" w:type="dxa"/>
            <w:vAlign w:val="bottom"/>
            <w:tcBorders>
              <w:top w:val="single" w:sz="8" w:color="CCEEFF"/>
            </w:tcBorders>
            <w:gridSpan w:val="2"/>
          </w:tcPr>
          <w:p>
            <w:pPr>
              <w:spacing w:after="0"/>
              <w:rPr>
                <w:sz w:val="18"/>
                <w:szCs w:val="18"/>
                <w:color w:val="auto"/>
              </w:rPr>
            </w:pPr>
          </w:p>
        </w:tc>
        <w:tc>
          <w:tcPr>
            <w:tcW w:w="1220" w:type="dxa"/>
            <w:vAlign w:val="bottom"/>
            <w:tcBorders>
              <w:top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5,024,330</w:t>
            </w:r>
          </w:p>
        </w:tc>
        <w:tc>
          <w:tcPr>
            <w:tcW w:w="520" w:type="dxa"/>
            <w:vAlign w:val="bottom"/>
            <w:tcBorders>
              <w:top w:val="single" w:sz="8" w:color="CCEEFF"/>
            </w:tcBorders>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4,832,352</w:t>
            </w:r>
          </w:p>
        </w:tc>
        <w:tc>
          <w:tcPr>
            <w:tcW w:w="340" w:type="dxa"/>
            <w:vAlign w:val="bottom"/>
            <w:tcBorders>
              <w:top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15,299,010</w:t>
            </w:r>
          </w:p>
        </w:tc>
        <w:tc>
          <w:tcPr>
            <w:tcW w:w="180" w:type="dxa"/>
            <w:vAlign w:val="bottom"/>
            <w:tcBorders>
              <w:top w:val="single" w:sz="8" w:color="CCEEFF"/>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14,985,838</w:t>
            </w:r>
          </w:p>
        </w:tc>
        <w:tc>
          <w:tcPr>
            <w:tcW w:w="1140" w:type="dxa"/>
            <w:vAlign w:val="bottom"/>
          </w:tcPr>
          <w:p>
            <w:pPr>
              <w:spacing w:after="0"/>
              <w:rPr>
                <w:sz w:val="18"/>
                <w:szCs w:val="18"/>
                <w:color w:val="auto"/>
              </w:rPr>
            </w:pPr>
          </w:p>
        </w:tc>
      </w:tr>
      <w:tr>
        <w:trPr>
          <w:trHeight w:val="229"/>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1,790,001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2,401,679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6,232,759</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5,888,336</w:t>
            </w:r>
          </w:p>
        </w:tc>
        <w:tc>
          <w:tcPr>
            <w:tcW w:w="1140" w:type="dxa"/>
            <w:vAlign w:val="bottom"/>
          </w:tcPr>
          <w:p>
            <w:pPr>
              <w:spacing w:after="0"/>
              <w:rPr>
                <w:sz w:val="19"/>
                <w:szCs w:val="19"/>
                <w:color w:val="auto"/>
              </w:rPr>
            </w:pP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6,814,331</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7"/>
              </w:rPr>
              <w:t>7,234,031</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21,531,769</w:t>
            </w:r>
          </w:p>
        </w:tc>
        <w:tc>
          <w:tcPr>
            <w:tcW w:w="2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20,874,174</w:t>
            </w:r>
          </w:p>
        </w:tc>
        <w:tc>
          <w:tcPr>
            <w:tcW w:w="80" w:type="dxa"/>
            <w:vAlign w:val="bottom"/>
            <w:tcBorders>
              <w:bottom w:val="single" w:sz="8" w:color="CCEEFF"/>
            </w:tcBorders>
          </w:tcPr>
          <w:p>
            <w:pPr>
              <w:spacing w:after="0"/>
              <w:rPr>
                <w:sz w:val="22"/>
                <w:szCs w:val="22"/>
                <w:color w:val="auto"/>
              </w:rPr>
            </w:pPr>
          </w:p>
        </w:tc>
        <w:tc>
          <w:tcPr>
            <w:tcW w:w="1140" w:type="dxa"/>
            <w:vAlign w:val="bottom"/>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4,064,864</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4,762,777</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13,287,515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13,321,412</w:t>
            </w:r>
          </w:p>
        </w:tc>
        <w:tc>
          <w:tcPr>
            <w:tcW w:w="1140" w:type="dxa"/>
            <w:vAlign w:val="bottom"/>
          </w:tcPr>
          <w:p>
            <w:pPr>
              <w:spacing w:after="0"/>
              <w:rPr>
                <w:sz w:val="18"/>
                <w:szCs w:val="18"/>
                <w:color w:val="auto"/>
              </w:rPr>
            </w:pPr>
          </w:p>
        </w:tc>
      </w:tr>
      <w:tr>
        <w:trPr>
          <w:trHeight w:val="230"/>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2,749,467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2,471,254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8,244,254</w:t>
            </w: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7,552,762</w:t>
            </w:r>
          </w:p>
        </w:tc>
        <w:tc>
          <w:tcPr>
            <w:tcW w:w="1140" w:type="dxa"/>
            <w:vAlign w:val="bottom"/>
          </w:tcPr>
          <w:p>
            <w:pPr>
              <w:spacing w:after="0"/>
              <w:rPr>
                <w:sz w:val="19"/>
                <w:szCs w:val="19"/>
                <w:color w:val="auto"/>
              </w:rPr>
            </w:pP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6,814,331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7,234,031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21,531,769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20,874,174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0" w:name="page61"/>
    <w:bookmarkEnd w:id="60"/>
    <w:p>
      <w:pPr>
        <w:jc w:val="center"/>
        <w:ind w:left="340" w:right="268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Revenues from Contracts with Customers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revenues from cemetery and mortuary contracts to Note 7 – Business Segment Information for the Cemetery/Mortuary Segment for the periods presented:</w:t>
      </w:r>
    </w:p>
    <w:p>
      <w:pPr>
        <w:sectPr>
          <w:pgSz w:w="11900" w:h="16838" w:orient="portrait"/>
          <w:cols w:equalWidth="0" w:num="1">
            <w:col w:w="11220"/>
          </w:cols>
          <w:pgMar w:left="320" w:top="6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mortuary and cemetery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external customers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90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8"/>
                <w:szCs w:val="18"/>
                <w:color w:val="auto"/>
              </w:rPr>
            </w:pPr>
          </w:p>
        </w:tc>
        <w:tc>
          <w:tcPr>
            <w:tcW w:w="260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4"/>
        </w:trPr>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6,814,331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ind w:right="2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7,234,031</w:t>
            </w:r>
          </w:p>
        </w:tc>
        <w:tc>
          <w:tcPr>
            <w:tcW w:w="34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21,531,769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20,874,174</w:t>
            </w: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1,124,513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(452,120)</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1,503,865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(200,610)</w:t>
            </w:r>
          </w:p>
        </w:tc>
      </w:tr>
      <w:tr>
        <w:trPr>
          <w:trHeight w:val="230"/>
        </w:trPr>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477,833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516,094</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2,136,982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2,460,859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126,000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118,418</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435,507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292,904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8,542,677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7,416,423</w:t>
            </w: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25,608,123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23,427,327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-744855</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-462280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-179070</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480" w:space="720"/>
            <w:col w:w="6020"/>
          </w:cols>
          <w:pgMar w:left="320" w:top="688"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 Receivables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6"/>
              </w:rPr>
              <w:t>As of</w:t>
            </w:r>
          </w:p>
        </w:tc>
        <w:tc>
          <w:tcPr>
            <w:tcW w:w="140" w:type="dxa"/>
            <w:vAlign w:val="bottom"/>
          </w:tcPr>
          <w:p>
            <w:pPr>
              <w:spacing w:after="0"/>
              <w:rPr>
                <w:sz w:val="24"/>
                <w:szCs w:val="24"/>
                <w:color w:val="auto"/>
              </w:rPr>
            </w:pPr>
          </w:p>
        </w:tc>
        <w:tc>
          <w:tcPr>
            <w:tcW w:w="9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September</w:t>
            </w: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3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30, 2024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3,516,559</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3,252,840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7,907,574</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7,658,789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18,017,853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17,233,202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(1,566,150)</w:t>
            </w: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(1,897,887)</w:t>
            </w:r>
          </w:p>
        </w:tc>
        <w:tc>
          <w:tcPr>
            <w:tcW w:w="0" w:type="dxa"/>
            <w:vAlign w:val="bottom"/>
          </w:tcPr>
          <w:p>
            <w:pPr>
              <w:spacing w:after="0"/>
              <w:rPr>
                <w:sz w:val="1"/>
                <w:szCs w:val="1"/>
                <w:color w:val="auto"/>
              </w:rPr>
            </w:pPr>
          </w:p>
        </w:tc>
      </w:tr>
      <w:tr>
        <w:trPr>
          <w:trHeight w:val="223"/>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16,451,703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15,335,315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records an allowance for credit losses for its receivables in accordance with GAAP. See Note 2 regarding the adoption of ASU 2016-13.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ectPr>
          <w:pgSz w:w="11900" w:h="16838" w:orient="portrait"/>
          <w:cols w:equalWidth="0" w:num="1">
            <w:col w:w="11220"/>
          </w:cols>
          <w:pgMar w:left="320" w:top="68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1716" w:hanging="179"/>
        <w:spacing w:after="0" w:line="257" w:lineRule="auto"/>
        <w:rPr>
          <w:sz w:val="20"/>
          <w:szCs w:val="20"/>
          <w:color w:val="auto"/>
        </w:rPr>
      </w:pPr>
      <w:r>
        <w:rPr>
          <w:rFonts w:ascii="Times New Roman" w:cs="Times New Roman" w:eastAsia="Times New Roman" w:hAnsi="Times New Roman"/>
          <w:sz w:val="18"/>
          <w:szCs w:val="18"/>
          <w:color w:val="auto"/>
        </w:rPr>
        <w:t>Beginning balance - June 30, 2024 Change in provision for credit losses (1) 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427736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7736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427736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536"/>
        <w:spacing w:after="0"/>
        <w:rPr>
          <w:sz w:val="20"/>
          <w:szCs w:val="20"/>
          <w:color w:val="auto"/>
        </w:rPr>
      </w:pPr>
      <w:r>
        <w:rPr>
          <w:rFonts w:ascii="Times New Roman" w:cs="Times New Roman" w:eastAsia="Times New Roman" w:hAnsi="Times New Roman"/>
          <w:sz w:val="18"/>
          <w:szCs w:val="18"/>
          <w:color w:val="auto"/>
        </w:rPr>
        <w:t>Three Months</w:t>
      </w:r>
    </w:p>
    <w:p>
      <w:pPr>
        <w:spacing w:after="0" w:line="27" w:lineRule="exact"/>
        <w:rPr>
          <w:sz w:val="20"/>
          <w:szCs w:val="20"/>
          <w:color w:val="auto"/>
        </w:rPr>
      </w:pPr>
    </w:p>
    <w:p>
      <w:pPr>
        <w:jc w:val="center"/>
        <w:ind w:right="4536"/>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444" w:hanging="444"/>
        <w:spacing w:after="0"/>
        <w:tabs>
          <w:tab w:leader="none" w:pos="4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1,770,911</w:t>
      </w:r>
    </w:p>
    <w:p>
      <w:pPr>
        <w:spacing w:after="0" w:line="22" w:lineRule="exact"/>
        <w:rPr>
          <w:rFonts w:ascii="Times New Roman" w:cs="Times New Roman" w:eastAsia="Times New Roman" w:hAnsi="Times New Roman"/>
          <w:sz w:val="18"/>
          <w:szCs w:val="18"/>
          <w:color w:val="auto"/>
        </w:rPr>
      </w:pPr>
    </w:p>
    <w:p>
      <w:pPr>
        <w:ind w:left="5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(167,300)</w:t>
      </w:r>
    </w:p>
    <w:p>
      <w:pPr>
        <w:spacing w:after="0" w:line="20" w:lineRule="exact"/>
        <w:rPr>
          <w:rFonts w:ascii="Times New Roman" w:cs="Times New Roman" w:eastAsia="Times New Roman" w:hAnsi="Times New Roman"/>
          <w:sz w:val="18"/>
          <w:szCs w:val="18"/>
          <w:color w:val="auto"/>
        </w:rPr>
      </w:pPr>
    </w:p>
    <w:p>
      <w:pPr>
        <w:ind w:left="6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 w:lineRule="exact"/>
        <w:rPr>
          <w:sz w:val="20"/>
          <w:szCs w:val="20"/>
          <w:color w:val="auto"/>
        </w:rPr>
      </w:pPr>
    </w:p>
    <w:p>
      <w:pPr>
        <w:ind w:left="444" w:hanging="444"/>
        <w:spacing w:after="0"/>
        <w:tabs>
          <w:tab w:leader="none" w:pos="4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1,566,150</w:t>
      </w:r>
    </w:p>
    <w:p>
      <w:pPr>
        <w:spacing w:after="0" w:line="27" w:lineRule="exact"/>
        <w:rPr>
          <w:sz w:val="20"/>
          <w:szCs w:val="20"/>
          <w:color w:val="auto"/>
        </w:rPr>
      </w:pPr>
    </w:p>
    <w:p>
      <w:pPr>
        <w:sectPr>
          <w:pgSz w:w="11900" w:h="16838" w:orient="portrait"/>
          <w:cols w:equalWidth="0" w:num="2">
            <w:col w:w="4796" w:space="720"/>
            <w:col w:w="5704"/>
          </w:cols>
          <w:pgMar w:left="320" w:top="688" w:right="35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June 30, 2023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1,492,934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53,878</w:t>
            </w: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(26,011)</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5060" w:hanging="5532"/>
        <w:spacing w:after="0" w:line="409" w:lineRule="auto"/>
        <w:tabs>
          <w:tab w:leader="none" w:pos="33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61" w:name="page62"/>
    <w:bookmarkEnd w:id="61"/>
    <w:p>
      <w:pPr>
        <w:jc w:val="center"/>
        <w:ind w:left="302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Receivables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ectPr>
          <w:pgSz w:w="11900" w:h="16838" w:orient="portrait"/>
          <w:cols w:equalWidth="0" w:num="1">
            <w:col w:w="10139"/>
          </w:cols>
          <w:pgMar w:left="320" w:top="6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right="1716" w:hanging="179"/>
        <w:spacing w:after="0" w:line="257" w:lineRule="auto"/>
        <w:rPr>
          <w:sz w:val="20"/>
          <w:szCs w:val="20"/>
          <w:color w:val="auto"/>
        </w:rPr>
      </w:pPr>
      <w:r>
        <w:rPr>
          <w:rFonts w:ascii="Times New Roman" w:cs="Times New Roman" w:eastAsia="Times New Roman" w:hAnsi="Times New Roman"/>
          <w:sz w:val="18"/>
          <w:szCs w:val="18"/>
          <w:color w:val="auto"/>
        </w:rPr>
        <w:t>Beginning balance - January 1, 2024 Change in provision for credit losses (1) 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427736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427736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balance - September 30, 2024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3455"/>
        <w:spacing w:after="0"/>
        <w:rPr>
          <w:sz w:val="20"/>
          <w:szCs w:val="20"/>
          <w:color w:val="auto"/>
        </w:rPr>
      </w:pPr>
      <w:r>
        <w:rPr>
          <w:rFonts w:ascii="Times New Roman" w:cs="Times New Roman" w:eastAsia="Times New Roman" w:hAnsi="Times New Roman"/>
          <w:sz w:val="18"/>
          <w:szCs w:val="18"/>
          <w:color w:val="auto"/>
        </w:rPr>
        <w:t>Nine Months</w:t>
      </w:r>
    </w:p>
    <w:p>
      <w:pPr>
        <w:spacing w:after="0" w:line="27" w:lineRule="exact"/>
        <w:rPr>
          <w:sz w:val="20"/>
          <w:szCs w:val="20"/>
          <w:color w:val="auto"/>
        </w:rPr>
      </w:pPr>
    </w:p>
    <w:p>
      <w:pPr>
        <w:jc w:val="center"/>
        <w:ind w:right="3455"/>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0"/>
          <w:szCs w:val="20"/>
          <w:color w:val="auto"/>
        </w:rPr>
      </w:pPr>
    </w:p>
    <w:p>
      <w:pPr>
        <w:ind w:left="444" w:hanging="444"/>
        <w:spacing w:after="0"/>
        <w:tabs>
          <w:tab w:leader="none" w:pos="44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1,897,887</w:t>
      </w:r>
    </w:p>
    <w:p>
      <w:pPr>
        <w:spacing w:after="0" w:line="22" w:lineRule="exact"/>
        <w:rPr>
          <w:rFonts w:ascii="Times New Roman" w:cs="Times New Roman" w:eastAsia="Times New Roman" w:hAnsi="Times New Roman"/>
          <w:sz w:val="18"/>
          <w:szCs w:val="18"/>
          <w:color w:val="auto"/>
        </w:rPr>
      </w:pPr>
    </w:p>
    <w:p>
      <w:pPr>
        <w:ind w:left="5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(254,306)</w:t>
      </w:r>
    </w:p>
    <w:p>
      <w:pPr>
        <w:spacing w:after="0" w:line="20" w:lineRule="exact"/>
        <w:rPr>
          <w:rFonts w:ascii="Times New Roman" w:cs="Times New Roman" w:eastAsia="Times New Roman" w:hAnsi="Times New Roman"/>
          <w:sz w:val="18"/>
          <w:szCs w:val="18"/>
          <w:color w:val="auto"/>
        </w:rPr>
      </w:pPr>
    </w:p>
    <w:p>
      <w:pPr>
        <w:ind w:left="6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1" w:lineRule="exact"/>
        <w:rPr>
          <w:sz w:val="20"/>
          <w:szCs w:val="20"/>
          <w:color w:val="auto"/>
        </w:rPr>
      </w:pPr>
    </w:p>
    <w:p>
      <w:pPr>
        <w:ind w:left="444" w:hanging="444"/>
        <w:spacing w:after="0"/>
        <w:tabs>
          <w:tab w:leader="none" w:pos="44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1,566,150</w:t>
      </w:r>
    </w:p>
    <w:p>
      <w:pPr>
        <w:spacing w:after="0" w:line="27" w:lineRule="exact"/>
        <w:rPr>
          <w:sz w:val="20"/>
          <w:szCs w:val="20"/>
          <w:color w:val="auto"/>
        </w:rPr>
      </w:pPr>
    </w:p>
    <w:p>
      <w:pPr>
        <w:sectPr>
          <w:pgSz w:w="11900" w:h="16838" w:orient="portrait"/>
          <w:cols w:equalWidth="0" w:num="2">
            <w:col w:w="4796" w:space="720"/>
            <w:col w:w="4623"/>
          </w:cols>
          <w:pgMar w:left="320" w:top="688" w:right="1440"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January 1, 2023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2,229,791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(597,430)</w:t>
            </w: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(111,560)</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September 30, 2023</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1,520,801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5540" w:right="3959" w:hanging="5472"/>
        <w:spacing w:after="0" w:line="475" w:lineRule="auto"/>
        <w:tabs>
          <w:tab w:leader="none" w:pos="36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other expenses on the condensed consolidated statements of earnings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62" w:name="page63"/>
    <w:bookmarkEnd w:id="62"/>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September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Credit 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649,256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(385)</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650,686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125,798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(4,549)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121,249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60" w:type="dxa"/>
            <w:vAlign w:val="bottom"/>
            <w:tcBorders>
              <w:top w:val="single" w:sz="8" w:color="CCEEFF"/>
            </w:tcBorders>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775,054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(4,934)</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771,935</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3,830,983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1,362,684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(121,246)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5,072,421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3,830,983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1,362,684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(121,246</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5,072,421</w:t>
            </w: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5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2,999,256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8,945,781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(5,565,003)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3,380,778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63" w:name="page64"/>
    <w:bookmarkEnd w:id="63"/>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cemetery perpetual care investments and obligation as of December 31,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280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477,797</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477,525</w:t>
            </w:r>
          </w:p>
        </w:tc>
        <w:tc>
          <w:tcPr>
            <w:tcW w:w="0" w:type="dxa"/>
            <w:vAlign w:val="bottom"/>
          </w:tcPr>
          <w:p>
            <w:pPr>
              <w:spacing w:after="0"/>
              <w:rPr>
                <w:sz w:val="1"/>
                <w:szCs w:val="1"/>
                <w:color w:val="auto"/>
              </w:rPr>
            </w:pP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115,792</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53,672</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647,261</w:t>
            </w:r>
          </w:p>
        </w:tc>
        <w:tc>
          <w:tcPr>
            <w:tcW w:w="3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3,614,392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859,680</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4,327,301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3,614,392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247,360</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246,865</w:t>
            </w:r>
          </w:p>
        </w:tc>
        <w:tc>
          <w:tcPr>
            <w:tcW w:w="3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2,867,047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8,082,917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(5,326,196)</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2,756,721</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2024 and December 31, 2023.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Losses for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Less than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Twelve</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Fair</w:t>
            </w:r>
          </w:p>
        </w:tc>
        <w:tc>
          <w:tcPr>
            <w:tcW w:w="5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w:t>
            </w:r>
          </w:p>
        </w:tc>
        <w:tc>
          <w:tcPr>
            <w:tcW w:w="2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560" w:type="dxa"/>
            <w:vAlign w:val="bottom"/>
          </w:tcPr>
          <w:p>
            <w:pPr>
              <w:spacing w:after="0"/>
              <w:rPr>
                <w:sz w:val="20"/>
                <w:szCs w:val="20"/>
                <w:color w:val="auto"/>
              </w:rPr>
            </w:pPr>
          </w:p>
        </w:tc>
      </w:tr>
      <w:tr>
        <w:trPr>
          <w:trHeight w:val="190"/>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2024</w:t>
            </w: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198"/>
        </w:trPr>
        <w:tc>
          <w:tcPr>
            <w:tcW w:w="3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$ 502,740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$ 502,740</w:t>
            </w:r>
          </w:p>
        </w:tc>
        <w:tc>
          <w:tcPr>
            <w:tcW w:w="560" w:type="dxa"/>
            <w:vAlign w:val="bottom"/>
          </w:tcPr>
          <w:p>
            <w:pPr>
              <w:spacing w:after="0"/>
              <w:rPr>
                <w:sz w:val="20"/>
                <w:szCs w:val="20"/>
                <w:color w:val="auto"/>
              </w:rPr>
            </w:pPr>
          </w:p>
        </w:tc>
      </w:tr>
      <w:tr>
        <w:trPr>
          <w:trHeight w:val="230"/>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4,549</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121,249</w:t>
            </w:r>
          </w:p>
        </w:tc>
        <w:tc>
          <w:tcPr>
            <w:tcW w:w="560" w:type="dxa"/>
            <w:vAlign w:val="bottom"/>
          </w:tcPr>
          <w:p>
            <w:pPr>
              <w:spacing w:after="0"/>
              <w:rPr>
                <w:sz w:val="19"/>
                <w:szCs w:val="19"/>
                <w:color w:val="auto"/>
              </w:rPr>
            </w:pPr>
          </w:p>
        </w:tc>
      </w:tr>
      <w:tr>
        <w:trPr>
          <w:trHeight w:val="263"/>
        </w:trPr>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$ 502,740</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121,249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$ 623,989</w:t>
            </w: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r>
      <w:tr>
        <w:trPr>
          <w:trHeight w:val="196"/>
        </w:trPr>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3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3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$ 143,448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$ 143,448</w:t>
            </w:r>
          </w:p>
        </w:tc>
        <w:tc>
          <w:tcPr>
            <w:tcW w:w="560" w:type="dxa"/>
            <w:vAlign w:val="bottom"/>
          </w:tcPr>
          <w:p>
            <w:pPr>
              <w:spacing w:after="0"/>
              <w:rPr>
                <w:sz w:val="20"/>
                <w:szCs w:val="20"/>
                <w:color w:val="auto"/>
              </w:rPr>
            </w:pPr>
          </w:p>
        </w:tc>
      </w:tr>
      <w:tr>
        <w:trPr>
          <w:trHeight w:val="21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110,678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5,114</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110,678</w:t>
            </w:r>
          </w:p>
        </w:tc>
        <w:tc>
          <w:tcPr>
            <w:tcW w:w="560" w:type="dxa"/>
            <w:vAlign w:val="bottom"/>
          </w:tcPr>
          <w:p>
            <w:pPr>
              <w:spacing w:after="0"/>
              <w:rPr>
                <w:sz w:val="18"/>
                <w:szCs w:val="18"/>
                <w:color w:val="auto"/>
              </w:rPr>
            </w:pPr>
          </w:p>
        </w:tc>
      </w:tr>
      <w:tr>
        <w:trPr>
          <w:trHeight w:val="229"/>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53,501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53,501</w:t>
            </w:r>
          </w:p>
        </w:tc>
        <w:tc>
          <w:tcPr>
            <w:tcW w:w="560" w:type="dxa"/>
            <w:vAlign w:val="bottom"/>
          </w:tcPr>
          <w:p>
            <w:pPr>
              <w:spacing w:after="0"/>
              <w:rPr>
                <w:sz w:val="19"/>
                <w:szCs w:val="19"/>
                <w:color w:val="auto"/>
              </w:rPr>
            </w:pPr>
          </w:p>
        </w:tc>
      </w:tr>
      <w:tr>
        <w:trPr>
          <w:trHeight w:val="223"/>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$ 143,448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164,179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$ 307,627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4" w:name="page65"/>
    <w:bookmarkEnd w:id="64"/>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three securities with fair values aggregating 99.2% of the aggregate amortized cost as of September 30, 2024. Relevant holdings were comprised of four securities with fair values aggregating 98.1% of aggregate amortized cost as of December 31, 2023. No credit losses have been recognized for the three and nine month periods ended September 30, 2024 and 2023, since the increase in unrealized losses is primarily a result of increases in interest rates.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September 30,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9"/>
                <w:szCs w:val="19"/>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721,973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720,120</w:t>
            </w:r>
          </w:p>
        </w:tc>
      </w:tr>
      <w:tr>
        <w:trPr>
          <w:trHeight w:val="230"/>
        </w:trPr>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53,081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51,815</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771,935</w:t>
            </w:r>
          </w:p>
        </w:tc>
        <w:tc>
          <w:tcPr>
            <w:tcW w:w="20" w:type="dxa"/>
            <w:vAlign w:val="bottom"/>
            <w:tcBorders>
              <w:top w:val="single" w:sz="8" w:color="auto"/>
            </w:tcBorders>
          </w:tcPr>
          <w:p>
            <w:pPr>
              <w:spacing w:after="0"/>
              <w:rPr>
                <w:sz w:val="19"/>
                <w:szCs w:val="19"/>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-1019810</wp:posOffset>
            </wp:positionV>
            <wp:extent cx="427736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-736600</wp:posOffset>
            </wp:positionV>
            <wp:extent cx="42773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-454025</wp:posOffset>
            </wp:positionV>
            <wp:extent cx="427736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77360" cy="16319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480" w:space="720"/>
            <w:col w:w="7040"/>
          </w:cols>
          <w:pgMar w:left="320" w:top="688" w:right="339" w:bottom="1440" w:gutter="0" w:footer="0" w:header="0"/>
          <w:type w:val="continuous"/>
        </w:sectPr>
      </w:pPr>
    </w:p>
    <w:bookmarkStart w:id="65" w:name="page66"/>
    <w:bookmarkEnd w:id="65"/>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restricted cash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September 30,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Credit 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396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September 30, 2024:</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50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9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1,002,584</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(240)</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1,008,222</w:t>
            </w:r>
          </w:p>
        </w:tc>
      </w:tr>
      <w:tr>
        <w:trPr>
          <w:trHeight w:val="216"/>
        </w:trPr>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550,532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(4,881)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545,678</w:t>
            </w:r>
          </w:p>
        </w:tc>
      </w:tr>
      <w:tr>
        <w:trPr>
          <w:trHeight w:val="230"/>
        </w:trPr>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195,033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193,684</w:t>
            </w:r>
          </w:p>
        </w:tc>
      </w:tr>
      <w:tr>
        <w:trPr>
          <w:trHeight w:val="178"/>
        </w:trPr>
        <w:tc>
          <w:tcPr>
            <w:tcW w:w="3960" w:type="dxa"/>
            <w:vAlign w:val="bottom"/>
            <w:gridSpan w:val="2"/>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fixed maturity securities available for</w:t>
            </w: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1"/>
        </w:trPr>
        <w:tc>
          <w:tcPr>
            <w:tcW w:w="3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1,748,149</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(6,500)</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1,747,584</w:t>
            </w: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7,996,032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2,075,560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(210,681)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9,860,911</w:t>
            </w:r>
          </w:p>
        </w:tc>
      </w:tr>
      <w:tr>
        <w:trPr>
          <w:trHeight w:val="223"/>
        </w:trPr>
        <w:tc>
          <w:tcPr>
            <w:tcW w:w="3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2,075,560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(210,681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at amortized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1,113,300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1,111,073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15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5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15,232,601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50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27,957,336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820" w:hanging="5472"/>
        <w:spacing w:after="0" w:line="657" w:lineRule="auto"/>
        <w:tabs>
          <w:tab w:leader="none" w:pos="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$12,032,252 for the life insurance and mortgage segments.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right="4100" w:firstLine="8"/>
        <w:spacing w:after="0" w:line="500" w:lineRule="auto"/>
        <w:tabs>
          <w:tab w:leader="none" w:pos="2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Cemetery Perpetual Care Trust Investments and Obligations and Restricted Assets (Continued) </w:t>
      </w:r>
      <w:r>
        <w:rPr>
          <w:rFonts w:ascii="Times New Roman" w:cs="Times New Roman" w:eastAsia="Times New Roman" w:hAnsi="Times New Roman"/>
          <w:sz w:val="18"/>
          <w:szCs w:val="18"/>
          <w:color w:val="auto"/>
        </w:rPr>
        <w:t>Restricted assets as of December 31, 2023, are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6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Amortized Cost</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2023:</w:t>
            </w:r>
          </w:p>
        </w:tc>
        <w:tc>
          <w:tcPr>
            <w:tcW w:w="30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932,737</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933,170</w:t>
            </w: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652,770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648,533</w:t>
            </w:r>
          </w:p>
        </w:tc>
      </w:tr>
      <w:tr>
        <w:trPr>
          <w:trHeight w:val="230"/>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274,688</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272,157</w:t>
            </w:r>
          </w:p>
        </w:tc>
      </w:tr>
      <w:tr>
        <w:trPr>
          <w:trHeight w:val="263"/>
        </w:trPr>
        <w:tc>
          <w:tcPr>
            <w:tcW w:w="45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1,860,195</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1,853,860</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6,516,044</w:t>
            </w:r>
          </w:p>
        </w:tc>
        <w:tc>
          <w:tcPr>
            <w:tcW w:w="3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1,117,155</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(247,996)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7,385,203</w:t>
            </w:r>
          </w:p>
        </w:tc>
      </w:tr>
      <w:tr>
        <w:trPr>
          <w:trHeight w:val="223"/>
        </w:trPr>
        <w:tc>
          <w:tcPr>
            <w:tcW w:w="45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6,516,044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(247,996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676,572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675,219</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2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10,114,694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28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20,028,976</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Including cash and cash equivalents of $6,930,930 for the life insurance and mortgage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September 30, 2024 and December 31, 2023. The tables set forth unrealized losses by duration with the fair value of the related fixed maturity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Losses for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Losses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Less than</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More than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Twelve</w:t>
            </w:r>
          </w:p>
        </w:tc>
        <w:tc>
          <w:tcPr>
            <w:tcW w:w="2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Fair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Twelve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Fair</w:t>
            </w: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Fair</w:t>
            </w:r>
          </w:p>
        </w:tc>
        <w:tc>
          <w:tcPr>
            <w:tcW w:w="56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w:t>
            </w:r>
          </w:p>
        </w:tc>
        <w:tc>
          <w:tcPr>
            <w:tcW w:w="2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560" w:type="dxa"/>
            <w:vAlign w:val="bottom"/>
          </w:tcPr>
          <w:p>
            <w:pPr>
              <w:spacing w:after="0"/>
              <w:rPr>
                <w:sz w:val="20"/>
                <w:szCs w:val="20"/>
                <w:color w:val="auto"/>
              </w:rPr>
            </w:pPr>
          </w:p>
        </w:tc>
      </w:tr>
      <w:tr>
        <w:trPr>
          <w:trHeight w:val="189"/>
        </w:trPr>
        <w:tc>
          <w:tcPr>
            <w:tcW w:w="146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September 30, 2024</w:t>
            </w: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198"/>
        </w:trPr>
        <w:tc>
          <w:tcPr>
            <w:tcW w:w="3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$ 301,644</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$ 301,644</w:t>
            </w:r>
          </w:p>
        </w:tc>
        <w:tc>
          <w:tcPr>
            <w:tcW w:w="560" w:type="dxa"/>
            <w:vAlign w:val="bottom"/>
          </w:tcPr>
          <w:p>
            <w:pPr>
              <w:spacing w:after="0"/>
              <w:rPr>
                <w:sz w:val="20"/>
                <w:szCs w:val="20"/>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292,624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4,881</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470,652</w:t>
            </w:r>
          </w:p>
        </w:tc>
        <w:tc>
          <w:tcPr>
            <w:tcW w:w="560" w:type="dxa"/>
            <w:vAlign w:val="bottom"/>
          </w:tcPr>
          <w:p>
            <w:pPr>
              <w:spacing w:after="0"/>
              <w:rPr>
                <w:sz w:val="18"/>
                <w:szCs w:val="18"/>
                <w:color w:val="auto"/>
              </w:rPr>
            </w:pPr>
          </w:p>
        </w:tc>
      </w:tr>
      <w:tr>
        <w:trPr>
          <w:trHeight w:val="229"/>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118,564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1,379</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168,654</w:t>
            </w:r>
          </w:p>
        </w:tc>
        <w:tc>
          <w:tcPr>
            <w:tcW w:w="560" w:type="dxa"/>
            <w:vAlign w:val="bottom"/>
          </w:tcPr>
          <w:p>
            <w:pPr>
              <w:spacing w:after="0"/>
              <w:rPr>
                <w:sz w:val="19"/>
                <w:szCs w:val="19"/>
                <w:color w:val="auto"/>
              </w:rPr>
            </w:pPr>
          </w:p>
        </w:tc>
      </w:tr>
      <w:tr>
        <w:trPr>
          <w:trHeight w:val="223"/>
        </w:trPr>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$ 529,762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$ 940,950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3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8"/>
        </w:trPr>
        <w:tc>
          <w:tcPr>
            <w:tcW w:w="3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$ 249,877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$ 249,877</w:t>
            </w:r>
          </w:p>
        </w:tc>
        <w:tc>
          <w:tcPr>
            <w:tcW w:w="560" w:type="dxa"/>
            <w:vAlign w:val="bottom"/>
          </w:tcPr>
          <w:p>
            <w:pPr>
              <w:spacing w:after="0"/>
              <w:rPr>
                <w:sz w:val="20"/>
                <w:szCs w:val="20"/>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4,542</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451,985</w:t>
            </w:r>
          </w:p>
        </w:tc>
        <w:tc>
          <w:tcPr>
            <w:tcW w:w="560" w:type="dxa"/>
            <w:vAlign w:val="bottom"/>
          </w:tcPr>
          <w:p>
            <w:pPr>
              <w:spacing w:after="0"/>
              <w:rPr>
                <w:sz w:val="18"/>
                <w:szCs w:val="18"/>
                <w:color w:val="auto"/>
              </w:rPr>
            </w:pPr>
          </w:p>
        </w:tc>
      </w:tr>
      <w:tr>
        <w:trPr>
          <w:trHeight w:val="229"/>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221,334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2,740</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221,334</w:t>
            </w:r>
          </w:p>
        </w:tc>
        <w:tc>
          <w:tcPr>
            <w:tcW w:w="560" w:type="dxa"/>
            <w:vAlign w:val="bottom"/>
          </w:tcPr>
          <w:p>
            <w:pPr>
              <w:spacing w:after="0"/>
              <w:rPr>
                <w:sz w:val="19"/>
                <w:szCs w:val="19"/>
                <w:color w:val="auto"/>
              </w:rPr>
            </w:pPr>
          </w:p>
        </w:tc>
      </w:tr>
      <w:tr>
        <w:trPr>
          <w:trHeight w:val="223"/>
        </w:trPr>
        <w:tc>
          <w:tcPr>
            <w:tcW w:w="3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$ 249,877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$ 923,196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9"/>
        </w:trPr>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jc w:val="center"/>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Obligations and Restricted Assets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12 securities with fair values aggregating 99.3% of the aggregate amortized cost as of September 30, 2024. Relevant holdings were comprised of 12 securities with fair values aggregating 99.1% of the aggregate amortized cost as of December 31, 2023. No credit losses have been recognized for the three and nine month periods ended September 30, 2024 and 2023, since the increase in unrealized losses is primarily a result of increases in interest. See Note 3 for additional information regarding the Company’s evaluation of the allowance for credit losses for fixed maturity securities available for sale.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September 30, 2024,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20" w:type="dxa"/>
            <w:vAlign w:val="bottom"/>
          </w:tcPr>
          <w:p>
            <w:pPr>
              <w:spacing w:after="0"/>
              <w:rPr>
                <w:sz w:val="19"/>
                <w:szCs w:val="19"/>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191"/>
        </w:trPr>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1,109,780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1,114,228</w:t>
            </w:r>
          </w:p>
        </w:tc>
      </w:tr>
      <w:tr>
        <w:trPr>
          <w:trHeight w:val="230"/>
        </w:trPr>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100,833</w:t>
            </w:r>
          </w:p>
        </w:tc>
      </w:tr>
      <w:tr>
        <w:trPr>
          <w:trHeight w:val="234"/>
        </w:trPr>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536,846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532,523</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1,748,149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1,747,584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-744855</wp:posOffset>
            </wp:positionV>
            <wp:extent cx="427736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77360" cy="14541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-462280</wp:posOffset>
            </wp:positionV>
            <wp:extent cx="427736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77360" cy="13716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-179070</wp:posOffset>
            </wp:positionV>
            <wp:extent cx="427736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80" w:space="720"/>
            <w:col w:w="704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3 and 8 for additional information regarding restricted assets and cemetery perpetual care trust investments.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8" w:name="page69"/>
    <w:bookmarkEnd w:id="68"/>
    <w:p>
      <w:pPr>
        <w:jc w:val="center"/>
        <w:ind w:left="880" w:right="2140"/>
        <w:spacing w:after="0" w:line="266" w:lineRule="auto"/>
        <w:rPr>
          <w:sz w:val="20"/>
          <w:szCs w:val="20"/>
          <w:color w:val="auto"/>
        </w:rPr>
      </w:pPr>
      <w:r>
        <w:rPr>
          <w:rFonts w:ascii="Times New Roman" w:cs="Times New Roman" w:eastAsia="Times New Roman" w:hAnsi="Times New Roman"/>
          <w:sz w:val="18"/>
          <w:szCs w:val="18"/>
          <w:color w:val="auto"/>
        </w:rPr>
        <w:t>SECURITY NATIONAL FINANCIAL CORPORATION AND SUBSIDIARIES Notes to Condensed Consolidated Financial Statements September 30, 2024 (Unaudited)</w:t>
      </w:r>
    </w:p>
    <w:p>
      <w:pPr>
        <w:spacing w:after="0" w:line="176" w:lineRule="exact"/>
        <w:rPr>
          <w:sz w:val="20"/>
          <w:szCs w:val="20"/>
          <w:color w:val="auto"/>
        </w:rPr>
      </w:pPr>
    </w:p>
    <w:p>
      <w:pPr>
        <w:ind w:left="300" w:hanging="292"/>
        <w:spacing w:after="0"/>
        <w:tabs>
          <w:tab w:leader="none" w:pos="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10,595,637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(6,725,752)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8,809,823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(6,310,923)</w:t>
            </w: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(152,147)</w:t>
            </w:r>
          </w:p>
        </w:tc>
        <w:tc>
          <w:tcPr>
            <w:tcW w:w="280" w:type="dxa"/>
            <w:vAlign w:val="bottom"/>
          </w:tcPr>
          <w:p>
            <w:pPr>
              <w:spacing w:after="0"/>
              <w:rPr>
                <w:sz w:val="19"/>
                <w:szCs w:val="19"/>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(79,850)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(148,472)</w:t>
            </w: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(269,827)</w:t>
            </w: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10,443,490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(6,805,602)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8,661,351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(6,580,750)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(2,198,474)</w:t>
            </w:r>
          </w:p>
        </w:tc>
        <w:tc>
          <w:tcPr>
            <w:tcW w:w="28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1,429,176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(1,824,502)</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1,381,958</w:t>
            </w:r>
          </w:p>
        </w:tc>
        <w:tc>
          <w:tcPr>
            <w:tcW w:w="80" w:type="dxa"/>
            <w:vAlign w:val="bottom"/>
          </w:tcPr>
          <w:p>
            <w:pPr>
              <w:spacing w:after="0"/>
              <w:rPr>
                <w:sz w:val="19"/>
                <w:szCs w:val="19"/>
                <w:color w:val="auto"/>
              </w:rPr>
            </w:pPr>
          </w:p>
        </w:tc>
      </w:tr>
      <w:tr>
        <w:trPr>
          <w:trHeight w:val="209"/>
        </w:trPr>
        <w:tc>
          <w:tcPr>
            <w:tcW w:w="4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8,245,016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(5,376,426</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6,836,849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(5,198,792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100" w:type="dxa"/>
            <w:vAlign w:val="bottom"/>
            <w:gridSpan w:val="2"/>
          </w:tcPr>
          <w:p>
            <w:pPr>
              <w:spacing w:after="0"/>
              <w:rPr>
                <w:sz w:val="18"/>
                <w:szCs w:val="18"/>
                <w:color w:val="auto"/>
              </w:rPr>
            </w:pPr>
          </w:p>
        </w:tc>
      </w:tr>
      <w:tr>
        <w:trPr>
          <w:trHeight w:val="22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(2,330)</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(1,437)</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shd w:val="clear" w:color="auto" w:fill="CCEEFF"/>
          </w:tcPr>
          <w:p>
            <w:pPr>
              <w:spacing w:after="0"/>
              <w:rPr>
                <w:sz w:val="19"/>
                <w:szCs w:val="19"/>
                <w:color w:val="auto"/>
              </w:rPr>
            </w:pPr>
          </w:p>
        </w:tc>
      </w:tr>
      <w:tr>
        <w:trPr>
          <w:trHeight w:val="209"/>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3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4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cemetery perpetual care</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trust investments (1)</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4,263</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(2,487)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2,438</w:t>
            </w:r>
          </w:p>
        </w:tc>
        <w:tc>
          <w:tcPr>
            <w:tcW w:w="2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(3,299)</w:t>
            </w: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spacing w:after="0"/>
              <w:rPr>
                <w:sz w:val="19"/>
                <w:szCs w:val="19"/>
                <w:color w:val="auto"/>
              </w:rPr>
            </w:pPr>
          </w:p>
        </w:tc>
      </w:tr>
      <w:tr>
        <w:trPr>
          <w:trHeight w:val="209"/>
        </w:trPr>
        <w:tc>
          <w:tcPr>
            <w:tcW w:w="41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8,255,240</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(5,387,527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6,843,013</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(5,212,021</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accumulated balances of other comprehensive income (loss) as of September 30, 2024:</w:t>
      </w:r>
    </w:p>
    <w:p>
      <w:pPr>
        <w:sectPr>
          <w:pgSz w:w="11900" w:h="16838" w:orient="portrait"/>
          <w:cols w:equalWidth="0" w:num="1">
            <w:col w:w="10680"/>
          </w:cols>
          <w:pgMar w:left="320" w:top="688"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5700395"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700395" cy="283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3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rPr>
              <w:t>Beginning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16"/>
        </w:trPr>
        <w:tc>
          <w:tcPr>
            <w:tcW w:w="100" w:type="dxa"/>
            <w:vAlign w:val="bottom"/>
          </w:tcPr>
          <w:p>
            <w:pPr>
              <w:spacing w:after="0"/>
              <w:rPr>
                <w:sz w:val="18"/>
                <w:szCs w:val="18"/>
                <w:color w:val="auto"/>
              </w:rPr>
            </w:pPr>
          </w:p>
        </w:tc>
        <w:tc>
          <w:tcPr>
            <w:tcW w:w="13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8"/>
              </w:rPr>
              <w:t>December 31,</w:t>
            </w:r>
          </w:p>
        </w:tc>
        <w:tc>
          <w:tcPr>
            <w:tcW w:w="14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Change for the</w:t>
            </w:r>
          </w:p>
        </w:tc>
        <w:tc>
          <w:tcPr>
            <w:tcW w:w="20" w:type="dxa"/>
            <w:vAlign w:val="bottom"/>
          </w:tcPr>
          <w:p>
            <w:pPr>
              <w:spacing w:after="0"/>
              <w:rPr>
                <w:sz w:val="18"/>
                <w:szCs w:val="18"/>
                <w:color w:val="auto"/>
              </w:rPr>
            </w:pPr>
          </w:p>
        </w:tc>
        <w:tc>
          <w:tcPr>
            <w:tcW w:w="12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period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4"/>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(6,876,629)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6,836,849</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(39,780)</w:t>
            </w:r>
          </w:p>
        </w:tc>
      </w:tr>
      <w:tr>
        <w:trPr>
          <w:trHeight w:val="234"/>
        </w:trPr>
        <w:tc>
          <w:tcPr>
            <w:tcW w:w="10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(4,757)</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445"/>
        </w:trPr>
        <w:tc>
          <w:tcPr>
            <w:tcW w:w="100" w:type="dxa"/>
            <w:vAlign w:val="bottom"/>
          </w:tcPr>
          <w:p>
            <w:pPr>
              <w:spacing w:after="0"/>
              <w:rPr>
                <w:sz w:val="24"/>
                <w:szCs w:val="24"/>
                <w:color w:val="auto"/>
              </w:rPr>
            </w:pPr>
          </w:p>
        </w:tc>
        <w:tc>
          <w:tcPr>
            <w:tcW w:w="13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(4,172)</w:t>
            </w:r>
          </w:p>
        </w:tc>
        <w:tc>
          <w:tcPr>
            <w:tcW w:w="22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6,843,013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(42,545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20" w:space="340"/>
            <w:col w:w="5820"/>
          </w:cols>
          <w:pgMar w:left="320" w:top="688" w:right="899" w:bottom="1440" w:gutter="0" w:footer="0" w:header="0"/>
          <w:type w:val="continuous"/>
        </w:sectPr>
      </w:pP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accumulated balances of other comprehensive income (loss) as of December 31, 2023:</w:t>
      </w:r>
    </w:p>
    <w:p>
      <w:pPr>
        <w:sectPr>
          <w:pgSz w:w="11900" w:h="16838" w:orient="portrait"/>
          <w:cols w:equalWidth="0" w:num="1">
            <w:col w:w="10680"/>
          </w:cols>
          <w:pgMar w:left="320" w:top="688"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5700395"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(losses) on restricted assets (1) Unrealized gains (losses) on cemetery perpetual care trust investments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700395" cy="2825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Beginning</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Ending Balance</w:t>
            </w:r>
          </w:p>
        </w:tc>
      </w:tr>
      <w:tr>
        <w:trPr>
          <w:trHeight w:val="216"/>
        </w:trPr>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Change for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period</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bl>
    <w:p>
      <w:pPr>
        <w:spacing w:after="0" w:line="184"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(13,050,767)  $6,174,138   $   (6,876,629)</w:t>
      </w:r>
    </w:p>
    <w:p>
      <w:pPr>
        <w:spacing w:after="0" w:line="27" w:lineRule="exact"/>
        <w:rPr>
          <w:sz w:val="20"/>
          <w:szCs w:val="20"/>
          <w:color w:val="auto"/>
        </w:rPr>
      </w:pPr>
    </w:p>
    <w:p>
      <w:pPr>
        <w:jc w:val="both"/>
        <w:ind w:left="640"/>
        <w:spacing w:after="0"/>
        <w:tabs>
          <w:tab w:leader="none" w:pos="2200" w:val="left"/>
          <w:tab w:leader="none" w:pos="3560" w:val="left"/>
        </w:tabs>
        <w:rPr>
          <w:sz w:val="20"/>
          <w:szCs w:val="20"/>
          <w:color w:val="auto"/>
        </w:rPr>
      </w:pPr>
      <w:r>
        <w:rPr>
          <w:rFonts w:ascii="Times New Roman" w:cs="Times New Roman" w:eastAsia="Times New Roman" w:hAnsi="Times New Roman"/>
          <w:sz w:val="18"/>
          <w:szCs w:val="18"/>
          <w:color w:val="auto"/>
        </w:rPr>
        <w:t>(13,148)</w:t>
      </w:r>
      <w:r>
        <w:rPr>
          <w:sz w:val="20"/>
          <w:szCs w:val="20"/>
          <w:color w:val="auto"/>
        </w:rPr>
        <w:tab/>
      </w:r>
      <w:r>
        <w:rPr>
          <w:rFonts w:ascii="Times New Roman" w:cs="Times New Roman" w:eastAsia="Times New Roman" w:hAnsi="Times New Roman"/>
          <w:sz w:val="18"/>
          <w:szCs w:val="18"/>
          <w:color w:val="auto"/>
        </w:rPr>
        <w:t>8,391</w:t>
      </w:r>
      <w:r>
        <w:rPr>
          <w:sz w:val="20"/>
          <w:szCs w:val="20"/>
          <w:color w:val="auto"/>
        </w:rPr>
        <w:tab/>
      </w:r>
      <w:r>
        <w:rPr>
          <w:rFonts w:ascii="Times New Roman" w:cs="Times New Roman" w:eastAsia="Times New Roman" w:hAnsi="Times New Roman"/>
          <w:sz w:val="17"/>
          <w:szCs w:val="17"/>
          <w:color w:val="auto"/>
        </w:rPr>
        <w:t>(4,757)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(6,362)</w:t>
            </w:r>
          </w:p>
        </w:tc>
        <w:tc>
          <w:tcPr>
            <w:tcW w:w="2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23"/>
        </w:trPr>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(13,070,277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6,184,719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20" w:space="340"/>
            <w:col w:w="5820"/>
          </w:cols>
          <w:pgMar w:left="320" w:top="688" w:right="89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0" w:lineRule="exact"/>
        <w:rPr>
          <w:sz w:val="20"/>
          <w:szCs w:val="20"/>
          <w:color w:val="auto"/>
        </w:rPr>
      </w:pPr>
    </w:p>
    <w:p>
      <w:pPr>
        <w:spacing w:after="0" w:line="349" w:lineRule="exact"/>
        <w:rPr>
          <w:sz w:val="20"/>
          <w:szCs w:val="20"/>
          <w:color w:val="auto"/>
        </w:rPr>
      </w:pPr>
    </w:p>
    <w:p>
      <w:pPr>
        <w:jc w:val="right"/>
        <w:ind w:right="49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688" w:right="8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insurance operations for the three and nine month periods ended September 30,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jc w:val="center"/>
              <w:ind w:right="37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8"/>
          </w:tcPr>
          <w:p>
            <w:pPr>
              <w:jc w:val="center"/>
              <w:ind w:right="2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center"/>
              <w:ind w:right="37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8"/>
          </w:tcPr>
          <w:p>
            <w:pPr>
              <w:jc w:val="center"/>
              <w:ind w:right="27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28,906</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89,824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85,687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fee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18,434</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52,902</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53,609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219600%</w:t>
            </w: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46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2,066</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2,330</w:t>
            </w:r>
          </w:p>
        </w:tc>
        <w:tc>
          <w:tcPr>
            <w:tcW w:w="32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5,352</w:t>
            </w:r>
          </w:p>
        </w:tc>
        <w:tc>
          <w:tcPr>
            <w:tcW w:w="3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6,358</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12,358</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7,175</w:t>
            </w: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28,052</w:t>
            </w: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20,017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for the nine month period ended September 30, 2024 increased due to (a) a $4,136,000 increase in insurance premiums and other considerations, (b) a $3,555,000 decrease in death, surrenders and other policy benefits, (c) a $2,507,000 decrease in amortization of deferred policy acquisition costs, (d) a $2,196,000 increase in gains on investments and other assets, and (e) a $548,000 decrease in interest expense, which were partially offset by (i) a $1,791,000 increase in selling, general and administrative expenses, (ii) a $1,117,000 increase in future policy benefits, (iii) a $1,006,000 decrease in intersegment revenue, (iv) a $707,000 decrease in net investment income, (v) a $173,000 decrease in other revenues, (vi) a $76,000 decrease in mortgage fee income, and (vii) a $36,000 increase in intersegment interest expense and other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cemetery and mortuary operations for the three and nine month periods ended September 30,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9"/>
          </w:tcPr>
          <w:p>
            <w:pPr>
              <w:jc w:val="center"/>
              <w:ind w:right="3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9"/>
          </w:tcPr>
          <w:p>
            <w:pPr>
              <w:jc w:val="center"/>
              <w:ind w:right="35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2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2,910</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9,310</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4,324</w:t>
            </w:r>
          </w:p>
        </w:tc>
        <w:tc>
          <w:tcPr>
            <w:tcW w:w="1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11,564</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2,461</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12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2,840</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1,470</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7,984</w:t>
            </w:r>
          </w:p>
        </w:tc>
        <w:tc>
          <w:tcPr>
            <w:tcW w:w="1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6,082</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Profitability in the nine month period ended September 30, 2024 increased due to (a) a $1,704,000 increase in gains on investments and other assets, (b) a $445,000 increase in mortuary at-need sales, (c) a $344,000 increase in cemetery pre-need sales, (d) a $143,000 increase in other revenues, (e) a $19,000 decrease in intersegment interest expense and other expenses, and (f) a $1,000 increase in intersegment revenues, which were partially offset by (i) a $324,000 decrease in net investment income, (ii) a $224,000 increase in amortization of deferred policy acquisition costs, (iii) a $132,000 decrease in cemetery at-need sales, (iv) a $62,000 increase in selling, general and administrative expenses, and (v) a $12,000 increase in cost of goods and services sold.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Company (“SecurityNational Mortgage), is a mortgage lender incorporated under the laws of the State of Utah and approved and regulated by the Federal Housing Administration (FHA), a department of the U.S. Department of Housing and Urban Development (HUD), which originates mortgages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0.32%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rates have followed the US Treasury yields up in response to the increased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 periods ended September 30, 2024 and 2023, SecurityNational Mortgage originated 5,505 loans ($1,723,036,000 total volume) and 5,680 loans ($1,708,831,000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of the mortgage operations for the three and nine month periods ended September 30, 2024 and 2023. See Note 7 to the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9"/>
          </w:tcPr>
          <w:p>
            <w:pPr>
              <w:jc w:val="center"/>
              <w:ind w:right="3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9"/>
          </w:tcPr>
          <w:p>
            <w:pPr>
              <w:jc w:val="center"/>
              <w:ind w:right="35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10"/>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 of dollars)</w:t>
            </w: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Increase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22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Pr>
          <w:p>
            <w:pPr>
              <w:spacing w:after="0"/>
              <w:rPr>
                <w:sz w:val="20"/>
                <w:szCs w:val="20"/>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17,615</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51,388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54,809</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8,924</w:t>
            </w:r>
          </w:p>
        </w:tc>
        <w:tc>
          <w:tcPr>
            <w:tcW w:w="122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25,619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23,812</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(1,504)</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(978)</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(716)</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1,125</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1,226</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5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(3,486</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(1,813</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(11,207</w:t>
            </w: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Profitability for the nine month period ended September 30, 2024 increased due to (a) a $4,834,000 increase in the fair value of loans held for sale, (b) a $3,067,000 decrease in other expenses, (c) a $3,050,000 decrease in personnel expenses, (d) a $1,807,000 increase in income from loan originations, (e) a $1,528,000 increase in the fair value of loan commitments, (f) a $1,231,000 decrease in rent and rent related expenses, (g) a $990,000 increase in other revenues, (h) a $986,000 decrease in intersegment interest expense and other expenses, (i) a $569,000 decrease in costs related to funding mortgage loans,</w:t>
      </w:r>
    </w:p>
    <w:p>
      <w:pPr>
        <w:spacing w:after="0" w:line="3" w:lineRule="exact"/>
        <w:rPr>
          <w:sz w:val="20"/>
          <w:szCs w:val="20"/>
          <w:color w:val="auto"/>
        </w:rPr>
      </w:pPr>
    </w:p>
    <w:p>
      <w:pPr>
        <w:jc w:val="both"/>
        <w:ind w:firstLine="8"/>
        <w:spacing w:after="0" w:line="253" w:lineRule="auto"/>
        <w:tabs>
          <w:tab w:leader="none" w:pos="23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$332,000 decrease in advertising expenses, (k) a $310,000 decrease in interest expense, (l) a $36,000 increase in intersegment revenues, and (m) a $29,000 decrease in depreciation on property and equipment, which were partially offset by (i) a $4,324,000 increase in commissions, (ii) a $3,421,000 decrease in secondary gains from investors, (iii) a $1,256,000 decrease in gains on investments and other assets, and (iv) a $374,000 decrease in net investment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 period ended September 30, 2024, Compared to Three month period ended September 30,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$8,032,000, or 10.0%, to $88,274,000 for the three month period ended September 30, 2024, from $80,242,000 for the comparable period in 2023. Contributing to this increase in total revenues was a $5,288,000 increase in mortgage fee income, a $2,280,000 increase in gains on investments and other assets, a $1,229,000 increase in other revenues, and a $1,104,000 increase in insurance premiums and other considerations, which were partially offset by a $1,449,000 decrease in net investment income and a $420,000 decrease in net mortuary and cemetery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increased by $5,288,000, or 21.2%, to $30,224,000, for the three month period ended September 30, 2024, from $24,936,000 for the comparable period in 2023. This increase was primarily due to a $3,068,000 increase in the fair value of loans held for sale, a $1,324,000 increase in the fair value of loan commitments, a $539,000 increase in loan fees and interest income net of an increase in the provision for loan loss reserve, and a $357,000 increase in secondary gains from mortgage loans sold to third-party investors into the secondary market.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$1,104,000, or 3.8%, to $30,011,000 for the three month period ended September 30, 2024, from $28,907,000 for the comparable period in 2023. This increase was primarily due to an increase of $1,199,000 in renewal premiums, which was partially offset by a decrease of $95,000 in first year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$1,449,000, or 7.5%, to $17,799,000 for the three month period ended September 30, 2024, from $19,248,000 for the comparable period in 2023. This decrease was primarily attributable to a $2,811,000 decrease in mortgage loan interest and a $198,000 decrease in real estate income, which were partially offset by a $668,000 increase in insurance assignment income, a $618,000 increase in interest on cash and cash equivalents, a $117,000 decrease in investment expenses, a $59,000 increase in fixed maturity securities income, a $59,000 increase in other investment income, a $34,000 increase in policy loan interest, and a $5,000 increase in equity securities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mortuary and cemetery sales decreased by $420,000, or 5.8%, to $6,814,000 for the three month period ended September 30, 2024, from $7,234,000 for the comparable period in 2023. This decrease was primarily due to a $612,000 decrease in cemetery pre-need sales and a $113,000 decrease in cemetery at-need sales, which were partially offset by a $305,000 increase in mortuary at-need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(losses) on investments and other assets increased by $2,280,000 to $1,348,000 in net gains for the three month period ended September 30, 2024, from $932,000 in net losses for the comparable period in 2023. This increase in gains on investments and other assets was primarily due to a $3,414,000 increase in gains on equity securities, primarily attributable to increases in the fair value of these equity securities, a $76,000 increase in gains on other assets, and a $35,000 increase in gains on real estate, which were partially offset by a $1,161,000 decrease in gains on mortgage loans held for investment and an $84,000 decrease in gains on fixed maturity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increased by $1,228,000, or 144.7%, to $2,077,000 for the nine month period ended September 30, 2024, from $849,000 for the comparable period in 2023. This increase was primarily attributable to a $1,350,000 legal settlement, which was partially offset by a decrease of $107,000 in other miscellaneous revenues and a decrease of $15,000 in servicing fee revenue due to a decrease in the retention of mortgage servicing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$2,268,000 or 8.9%, to $23,354,000 for the three month period ended September 30, 2024, from $25,622,000 for the comparable period in 2023. This decrease was primarily the result of a $1,108,000 decrease in death benefits, a $888,000 decrease in future policy benefits and a $272,000 decrease in surrender and other policy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decreased by $2,193,000, or 49.0%, to $2,287,000 for the three month period ended September 30, 2024, from $4,480,000 for the comparable period in 2023. This decrease was primarily due to increased payment consistency from premium-paying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$2,587,000, or 6.1%, to $45,239,000 for the three month period ended September 30, 2024, from $42,652,000 for the comparable period in 2023. This increase was primarily the result of a $2,737,000 increase in commissions, a $1,015,000 increase in personnel expenses, a $132,000 increase in costs related to funding mortgage loans, and a $21,000 increase in depreciation on property and equipment, which were partially offset by a $933,000 decrease in other expenses, a $298,000 decrease in rent and rent related expenses, and a $87,000 decrease in advertising expense.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$91,000, or 7.9%, to $1,061,000 for the three month period ended September 30, 2024, from $1,152,000 for the comparable period in 2023. This decrease was primarily due to a decrease of $23,000 in interest expense on mortgage warehouse lines of credit for loans held for sale and a decrease of $68,000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decreased by $60,000, or 5.1%, to $1,117,000 for the three month period ended September 30, 2024, from $1,177,000 for the comparable period in 2023. This decrease was primarily due to a decrease of $39,000 in cemetery at-need sales and a decrease of $27,000 in mortuary at-need sales, which were partially offset by an increase of $6,000 in cemetery pre-need sales.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$73,059,000, or 82.8% of total revenues, for the three month period ended September 30, 2024, as compared to $75,083,000, or 93.6% of total revenues, for the comparable period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Nine month period ended September 30, 2024, Compared to Nine month period ended September 30,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$11,664,000, or 4.8%, to $255,253,000 for the nine month period ended September 30, 2024, from $243,589,000 for the comparable period in 2023. Contributing to this increase in total revenues was a $4,671,000 increase in mortgage fee income, a $4,136,000 increase in insurance premiums and other considerations, a $2,645,000 increase in gains on investments and other assets, a $959,000 increase in other revenues, and a $658,000 increase in net mortuary and cemetery sales, which were partially offset by a $1,405,000 decrease in net investment income.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fee income increased by $4,671,000, or 6.1%, to $81,675,000, for the nine month period ended September 30, 2024, from $77,004,000 for the comparable period in 2023. This increase was primarily due to a $4,572,000 increase in the fair value of loans held for sale, a $1,807,000 increase in loan fees and interest income net of an increase in the provision for loan loss reserve, and a $1,789,000 increase in the fair value of loan commitments, which were partially offset by a $3,497,000 decrease in secondary gains from mortgage loans sold to third-party investors into the secondary market due to the decline in origination activity because of increasing interest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premiums and other considerations increased by $4,136,000, or 4.8%, to $89,824,000 for the nine month period ended September 30, 2024, from $85,688,000 for the comparable period in 2023. This increase was primarily due to an increase of $2,576,000 in first year premiums and an increase of $1,560,000 in renewal premiums.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decreased by $1,405,000, or 2.5%, to $55,790,000 for the nine month period ended September 30, 2024, from $57,195,000 for the comparable period in 2023. This decrease was primarily attributable to a $4,930,000 decrease in mortgage loan interest and a $1,660,000 decrease in real estate income, which were partially offset by a $2,457,000 increase in interest on cash and cash equivalents, a $1,401,000 increase in insurance assignment income, a $652,000 increase in fixed maturity securities income, a $375,000 decrease in investment expenses, a $116,000 increase in other investment income, a $116,000 increase in policy loan interest, and a $68,000 increase in equity securities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increased by $658,000, or 3.2%, to $21,532,000 for the nine month period ended September 30, 2024, from $20,874,000 for the comparable period in 2023. This increase was primarily due to a $445,000 increase in mortuary at-need sales and a $344,000 increase in cemetery pre-need sales, which were partially offset by a $131,000 decrease in cemetery at-need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(losses) on investments and other assets increased by $2,645,000 to $2,640,000 in net gains for the nine month period ended September 30, 2024, from $5,000 in net losses for the comparable period in 2023. This increase in gains on investments and other assets was primarily due to a $3,664,000 increase in gains on equity securities mostly attributable to increases in the fair value of these equity securities, a $163,000 increase in gains on real estate, and a $121,000 increase in gains on fixed maturity securities, which were partially offset by a $1,161,000 decrease in gains on mortgage loans held for investment and a $142,000 decrease in gains on other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increased by $959,000, or 33.9%, to $3,792,000 for the nine month period ended September 30, 2024, from $2,833,000 for the comparable period in 2023. This increase was primarily attributable to a $1,350,000 legal settlement, which was partially offset by a decrease of $207,000 in other miscellaneous revenues and a decrease of $184,000 in servicing fee revenue due to a decrease in the retention of mortgage servicing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Death benefits, surrenders and other policy benefits, and future policy benefits decreased by an aggregate of $2,438,000 or 3.2%, to $73,956,000 for the nine month period ended September 30, 2024, from $76,394,000 for the comparable period in 2023. This decrease was primarily the result of a $3,458,000 decrease in death benefits and a $97,000 increase in surrender and other policy benefits, which were partially offset by a $1,117,000 increase in future policy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decreased by $2,283,000, or 16.8%, to $11,332,000 for the nine month period ended September 30, 2024, from $13,615,000 for the comparable period in 2023. This decrease was primarily due to increased payment consistency from premium-paying products.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$2,100,000, or 1.6%, to $128,952,000 for the nine month period ended September 30, 2024, from $131,052,000 for the comparable period in 2023. This decrease was primarily the result of a $2,831,000 decrease in other expenses, a $1,207,000 decrease in rent and rent related expenses, a $798,000 decrease in personnel expenses, a $569,000 decrease in costs related to funding mortgage loans, and a $482,000 decrease in advertising expense, which were partially offset by a $3,761,000 increase in commissions and a $26,000 increase in depreciation in property and equipment.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by $858,000, or 21.3%, to $3,162,000 for the nine month period ended September 30, 2024, from $4,020,000 for the comparable period in 2023. This decrease was primarily due to a decrease of $310,000 in interest expense on mortgage warehouse lines of credit for loans held for sale and a decrease of $548,000 in interest expense on bank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and services sold-mortuaries and cemeteries increased by $12,000, or 0.3%, to $3,627,000 for the three month period ended September 30, 2024, from $3,615,000 for the comparable period in 2023. This increase was primarily due to an increase of $74,000 in cemetery pre-need sales and an increase of $31,000 in cemetery at-need sales, which were partially offset by a decrease of $93,000 in mortuary at-need sales.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summary total benefits and expenses were $221,030,000, or 86.6% of total revenues, for the nine month period ended September 30, 2024, as compared to $228,696,000, or 93.9% of total revenues, for the comparable period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 periods ended September 30, 2024 and 2023, the Company’s operations provided cash of approximately $34,894,000 and of approximately $18,384,000, respectively. The increase in cash provided by operations was due primarily to the increase in net earnings.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The warehoused mortgage loans are typically held for sale on a short-term basis before selling the loans to investors in accordance with the requirements and laws governing the Company’s life insurance subsidiaries. Bonds owned by the insurance subsidiaries amounted to $326,914,000 (at estimated fair value) and $362,663,000 (at estimated fair value) as of September 30, 2024 and December 31, 2023, respectively. This represented 35.4% and 38.7% of the total investments of the Company as of September 30, 2024 and December 31, 2023, respectively. Generally, all bonds owned by the life insurance subsidiaries are rated by the National Association of Insurance Commissioners. Under this rating system, there are six categories used for rating bonds. As of September 30, 2024, 2.1% (or $7,232,000) and as of December 31, 2023, 1.8% (or $6,954,000) of the Company’s total bond investments were invested in bonds in rating categories three through six, which are considered non-investment grade.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September 30, 2024 and December 31, 2023,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bank and other loans payable was $453,312,000 as of September 30, 2024, as compared to $418,450,000 as of December 31, 2023. This increase was primarily due to an increase of $33,427,000 in stockholders’ equity and an increase of $1,435,000 in bank loans and other loans payable. Stockholders’ equity as a percent of total capitalization was 76.4% and 74.8% as of September 30, 2024 and December 31, 2023,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in 2023 was 4.4% as compared to a lapse rate of 4.3% for 2022. The 2024 lapse rate to date has been approximately the same as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approximately $121,504,000 and $107,385,000 as of September 30, 2024, and December 31, 2023, respectively. The life insurance subsidiaries cannot pay a dividend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September 30, 2024,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2024,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15, 2024 the Company executed a 10b5-1 agreement with a broker to repurchase shares of the Company’s Class A Common Stock. Under the terms of the agreement, the broker is permitted to repurchase up to $1,000,000 of the Company’s Class A Common Stock. Purchases commenced May 15, 2024. The agreement is subject to the daily time, price and volume conditions of Rule 10b-18. The agreement expires on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repurchase activity during the three-month period ended September 30, 2024 under the 10b5-1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 Maximum Number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Dollar Value) of Class</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Shares that May Yet</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as Part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Class A Shares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 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Publicly Announced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the Plan or Program</w:t>
            </w:r>
          </w:p>
        </w:tc>
      </w:tr>
      <w:tr>
        <w:trPr>
          <w:trHeight w:val="234"/>
        </w:trPr>
        <w:tc>
          <w:tcPr>
            <w:tcW w:w="33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Period</w:t>
            </w:r>
          </w:p>
        </w:tc>
        <w:tc>
          <w:tcPr>
            <w:tcW w:w="16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Class A Share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0"/>
                <w:szCs w:val="20"/>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7/1/2024-7/31/2024</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45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8/1/2024-8/31/2024</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194,612</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9/1/2024-9/30/2024</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194,612</w:t>
            </w:r>
          </w:p>
        </w:tc>
      </w:tr>
      <w:tr>
        <w:trPr>
          <w:trHeight w:val="230"/>
        </w:trPr>
        <w:tc>
          <w:tcPr>
            <w:tcW w:w="3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453"/>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commissions paid on stock repurchases.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of Trading Arrangements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Section 16 officers or directors of the Company adopted, modified, or terminated a “Rule 10b5-1 trading arrangement” or “non-Rule 10b5-1 trading arrangement” (each as defined in Item 408 of Regulation S-K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3.1</w:t>
            </w:r>
          </w:p>
        </w:tc>
        <w:tc>
          <w:tcPr>
            <w:tcW w:w="3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Amended and Restated Articles of Incorporation (1)</w:t>
              </w:r>
            </w:hyperlink>
          </w:p>
        </w:tc>
      </w:tr>
      <w:tr>
        <w:trPr>
          <w:trHeight w:val="196"/>
        </w:trPr>
        <w:tc>
          <w:tcPr>
            <w:tcW w:w="960" w:type="dxa"/>
            <w:vAlign w:val="bottom"/>
          </w:tcPr>
          <w:p>
            <w:pPr>
              <w:jc w:val="right"/>
              <w:ind w:right="650"/>
              <w:spacing w:after="0" w:line="196" w:lineRule="exact"/>
              <w:rPr>
                <w:sz w:val="20"/>
                <w:szCs w:val="20"/>
                <w:color w:val="auto"/>
              </w:rPr>
            </w:pPr>
            <w:r>
              <w:rPr>
                <w:rFonts w:ascii="Times New Roman" w:cs="Times New Roman" w:eastAsia="Times New Roman" w:hAnsi="Times New Roman"/>
                <w:sz w:val="18"/>
                <w:szCs w:val="18"/>
                <w:color w:val="auto"/>
                <w:w w:val="88"/>
              </w:rPr>
              <w:t>3.2</w:t>
            </w:r>
          </w:p>
        </w:tc>
        <w:tc>
          <w:tcPr>
            <w:tcW w:w="3680" w:type="dxa"/>
            <w:vAlign w:val="bottom"/>
            <w:gridSpan w:val="2"/>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Amended and Restated Bylaws (2)</w:t>
              </w:r>
            </w:hyperlink>
          </w:p>
        </w:tc>
      </w:tr>
      <w:tr>
        <w:trPr>
          <w:trHeight w:val="20"/>
        </w:trPr>
        <w:tc>
          <w:tcPr>
            <w:tcW w:w="96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 w:lineRule="exact"/>
        <w:rPr>
          <w:sz w:val="20"/>
          <w:szCs w:val="20"/>
          <w:color w:val="auto"/>
        </w:rPr>
      </w:pPr>
    </w:p>
    <w:p>
      <w:pPr>
        <w:ind w:left="1620" w:hanging="964"/>
        <w:spacing w:after="0"/>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196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7"/>
              </w:rPr>
              <w:t>Certification pursuant to 18</w:t>
            </w:r>
          </w:p>
        </w:tc>
        <w:tc>
          <w:tcPr>
            <w:tcW w:w="5880" w:type="dxa"/>
            <w:vAlign w:val="bottom"/>
            <w:tcBorders>
              <w:bottom w:val="single" w:sz="8" w:color="0000EE"/>
            </w:tcBorders>
          </w:tcPr>
          <w:p>
            <w:pPr>
              <w:ind w:left="20"/>
              <w:spacing w:after="0" w:line="203" w:lineRule="exact"/>
              <w:rPr>
                <w:sz w:val="20"/>
                <w:szCs w:val="20"/>
                <w:color w:val="auto"/>
              </w:rPr>
            </w:pPr>
            <w:r>
              <w:rPr>
                <w:rFonts w:ascii="Times New Roman" w:cs="Times New Roman" w:eastAsia="Times New Roman" w:hAnsi="Times New Roman"/>
                <w:sz w:val="18"/>
                <w:szCs w:val="18"/>
                <w:color w:val="0000EE"/>
                <w:w w:val="97"/>
              </w:rPr>
              <w:t>U.S.C. Section 1350, as enacted by Section 302 of the Sarbanes-Oxley Act of 2002</w:t>
            </w:r>
          </w:p>
        </w:tc>
        <w:tc>
          <w:tcPr>
            <w:tcW w:w="840" w:type="dxa"/>
            <w:vAlign w:val="bottom"/>
            <w:gridSpan w:val="2"/>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9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Certification pursuant to 18</w:t>
            </w:r>
          </w:p>
        </w:tc>
        <w:tc>
          <w:tcPr>
            <w:tcW w:w="58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U.S.C. Section 1350, as enacted by Section 302 of the Sarbanes-Oxley Act of 2002</w:t>
            </w:r>
          </w:p>
        </w:tc>
        <w:tc>
          <w:tcPr>
            <w:tcW w:w="840" w:type="dxa"/>
            <w:vAlign w:val="bottom"/>
            <w:gridSpan w:val="2"/>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Certification pursuant to 18</w:t>
            </w:r>
          </w:p>
        </w:tc>
        <w:tc>
          <w:tcPr>
            <w:tcW w:w="67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 Sarbanes-Oxley Act of 2002</w:t>
            </w:r>
          </w:p>
        </w:tc>
      </w:tr>
      <w:tr>
        <w:trPr>
          <w:trHeight w:val="20"/>
        </w:trPr>
        <w:tc>
          <w:tcPr>
            <w:tcW w:w="960" w:type="dxa"/>
            <w:vAlign w:val="bottom"/>
          </w:tcPr>
          <w:p>
            <w:pPr>
              <w:spacing w:after="0" w:line="20" w:lineRule="exact"/>
              <w:rPr>
                <w:sz w:val="1"/>
                <w:szCs w:val="1"/>
                <w:color w:val="auto"/>
              </w:rPr>
            </w:pPr>
          </w:p>
        </w:tc>
        <w:tc>
          <w:tcPr>
            <w:tcW w:w="8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w:t>
            </w: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i w:val="1"/>
                <w:iCs w:val="1"/>
                <w:color w:val="auto"/>
                <w:w w:val="99"/>
              </w:rPr>
              <w:t>REGISTRANT</w:t>
            </w:r>
          </w:p>
        </w:tc>
      </w:tr>
      <w:tr>
        <w:trPr>
          <w:trHeight w:val="392"/>
        </w:trPr>
        <w:tc>
          <w:tcPr>
            <w:tcW w:w="3540" w:type="dxa"/>
            <w:vAlign w:val="bottom"/>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SECURITY NATIONAL FINANCIAL CORPORATION</w:t>
            </w:r>
          </w:p>
        </w:tc>
        <w:tc>
          <w:tcPr>
            <w:tcW w:w="3540" w:type="dxa"/>
            <w:vAlign w:val="bottom"/>
          </w:tcPr>
          <w:p>
            <w:pPr>
              <w:spacing w:after="0"/>
              <w:rPr>
                <w:sz w:val="24"/>
                <w:szCs w:val="24"/>
                <w:color w:val="auto"/>
              </w:rPr>
            </w:pPr>
          </w:p>
        </w:tc>
      </w:tr>
      <w:tr>
        <w:trPr>
          <w:trHeight w:val="237"/>
        </w:trPr>
        <w:tc>
          <w:tcPr>
            <w:tcW w:w="3540" w:type="dxa"/>
            <w:vAlign w:val="bottom"/>
          </w:tcPr>
          <w:p>
            <w:pPr>
              <w:spacing w:after="0"/>
              <w:rPr>
                <w:sz w:val="20"/>
                <w:szCs w:val="20"/>
                <w:color w:val="auto"/>
              </w:rPr>
            </w:pPr>
          </w:p>
        </w:tc>
        <w:tc>
          <w:tcPr>
            <w:tcW w:w="770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20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3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SNA-AM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SNA-DM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SN-TLV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81" w:name="page82"/>
    <w:bookmarkEnd w:id="8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2" w:name="page83"/>
    <w:bookmarkEnd w:id="8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Security National Financial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7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3" w:name="page84"/>
    <w:bookmarkEnd w:id="8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2024,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4" w:name="page85"/>
    <w:bookmarkEnd w:id="84"/>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Security National Financial Corporation (the “Company”) on Form 10-Q for the period ending September 30, 2024,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14, 2024</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7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7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1)"/>
      <w:numFmt w:val="decimal"/>
      <w:start w:val="2"/>
    </w:lvl>
  </w:abstractNum>
  <w:abstractNum w:abstractNumId="4">
    <w:nsid w:val="70C6A529"/>
    <w:multiLevelType w:val="hybridMultilevel"/>
    <w:lvl w:ilvl="0">
      <w:lvlJc w:val="left"/>
      <w:lvlText w:val="%1)"/>
      <w:numFmt w:val="decimal"/>
      <w:start w:val="2"/>
    </w:lvl>
  </w:abstractNum>
  <w:abstractNum w:abstractNumId="5">
    <w:nsid w:val="520EEDD1"/>
    <w:multiLevelType w:val="hybridMultilevel"/>
    <w:lvl w:ilvl="0">
      <w:lvlJc w:val="left"/>
      <w:lvlText w:val="%1)"/>
      <w:numFmt w:val="decimal"/>
      <w:start w:val="3"/>
    </w:lvl>
  </w:abstractNum>
  <w:abstractNum w:abstractNumId="6">
    <w:nsid w:val="374A3FE6"/>
    <w:multiLevelType w:val="hybridMultilevel"/>
    <w:lvl w:ilvl="0">
      <w:lvlJc w:val="left"/>
      <w:lvlText w:val="%1)"/>
      <w:numFmt w:val="decimal"/>
      <w:start w:val="3"/>
    </w:lvl>
  </w:abstractNum>
  <w:abstractNum w:abstractNumId="7">
    <w:nsid w:val="4F4EF005"/>
    <w:multiLevelType w:val="hybridMultilevel"/>
    <w:lvl w:ilvl="0">
      <w:lvlJc w:val="left"/>
      <w:lvlText w:val="%1)"/>
      <w:numFmt w:val="decimal"/>
      <w:start w:val="3"/>
    </w:lvl>
  </w:abstractNum>
  <w:abstractNum w:abstractNumId="8">
    <w:nsid w:val="23F9C13C"/>
    <w:multiLevelType w:val="hybridMultilevel"/>
    <w:lvl w:ilvl="0">
      <w:lvlJc w:val="left"/>
      <w:lvlText w:val="%1)"/>
      <w:numFmt w:val="decimal"/>
      <w:start w:val="3"/>
    </w:lvl>
  </w:abstractNum>
  <w:abstractNum w:abstractNumId="9">
    <w:nsid w:val="649BB77C"/>
    <w:multiLevelType w:val="hybridMultilevel"/>
    <w:lvl w:ilvl="0">
      <w:lvlJc w:val="left"/>
      <w:lvlText w:val="%1)"/>
      <w:numFmt w:val="decimal"/>
      <w:start w:val="3"/>
    </w:lvl>
  </w:abstractNum>
  <w:abstractNum w:abstractNumId="10">
    <w:nsid w:val="275AC794"/>
    <w:multiLevelType w:val="hybridMultilevel"/>
    <w:lvl w:ilvl="0">
      <w:lvlJc w:val="left"/>
      <w:lvlText w:val="%1)"/>
      <w:numFmt w:val="decimal"/>
      <w:start w:val="3"/>
    </w:lvl>
  </w:abstractNum>
  <w:abstractNum w:abstractNumId="11">
    <w:nsid w:val="39386575"/>
    <w:multiLevelType w:val="hybridMultilevel"/>
    <w:lvl w:ilvl="0">
      <w:lvlJc w:val="left"/>
      <w:lvlText w:val="%1)"/>
      <w:numFmt w:val="decimal"/>
      <w:start w:val="3"/>
    </w:lvl>
  </w:abstractNum>
  <w:abstractNum w:abstractNumId="12">
    <w:nsid w:val="1CF10FD8"/>
    <w:multiLevelType w:val="hybridMultilevel"/>
    <w:lvl w:ilvl="0">
      <w:lvlJc w:val="left"/>
      <w:lvlText w:val="%1)"/>
      <w:numFmt w:val="decimal"/>
      <w:start w:val="3"/>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1)"/>
      <w:numFmt w:val="decimal"/>
      <w:start w:val="3"/>
    </w:lvl>
  </w:abstractNum>
  <w:abstractNum w:abstractNumId="18">
    <w:nsid w:val="741226BB"/>
    <w:multiLevelType w:val="hybridMultilevel"/>
    <w:lvl w:ilvl="0">
      <w:lvlJc w:val="left"/>
      <w:lvlText w:val="%1)"/>
      <w:numFmt w:val="decimal"/>
      <w:start w:val="3"/>
    </w:lvl>
  </w:abstractNum>
  <w:abstractNum w:abstractNumId="19">
    <w:nsid w:val="D34B6A8"/>
    <w:multiLevelType w:val="hybridMultilevel"/>
    <w:lvl w:ilvl="0">
      <w:lvlJc w:val="left"/>
      <w:lvlText w:val="(%1)"/>
      <w:numFmt w:val="decimal"/>
    </w:lvl>
    <w:lvl w:ilvl="1">
      <w:lvlJc w:val="left"/>
      <w:lvlText w:val="$"/>
      <w:numFmt w:val="bullet"/>
      <w:start w:val="1"/>
    </w:lvl>
  </w:abstractNum>
  <w:abstractNum w:abstractNumId="20">
    <w:nsid w:val="10233C99"/>
    <w:multiLevelType w:val="hybridMultilevel"/>
    <w:lvl w:ilvl="0">
      <w:lvlJc w:val="left"/>
      <w:lvlText w:val="%1)"/>
      <w:numFmt w:val="decimal"/>
      <w:start w:val="3"/>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decimal"/>
      <w:start w:val="3"/>
    </w:lvl>
  </w:abstractNum>
  <w:abstractNum w:abstractNumId="23">
    <w:nsid w:val="7E0C57B1"/>
    <w:multiLevelType w:val="hybridMultilevel"/>
    <w:lvl w:ilvl="0">
      <w:lvlJc w:val="left"/>
      <w:lvlText w:val="%1)"/>
      <w:numFmt w:val="decimal"/>
      <w:start w:val="3"/>
    </w:lvl>
  </w:abstractNum>
  <w:abstractNum w:abstractNumId="24">
    <w:nsid w:val="77AE35EB"/>
    <w:multiLevelType w:val="hybridMultilevel"/>
    <w:lvl w:ilvl="0">
      <w:lvlJc w:val="left"/>
      <w:lvlText w:val="(%1)"/>
      <w:numFmt w:val="decimal"/>
      <w:start w:val="1"/>
    </w:lvl>
  </w:abstractNum>
  <w:abstractNum w:abstractNumId="25">
    <w:nsid w:val="579BE4F1"/>
    <w:multiLevelType w:val="hybridMultilevel"/>
    <w:lvl w:ilvl="0">
      <w:lvlJc w:val="left"/>
      <w:lvlText w:val="%1)"/>
      <w:numFmt w:val="decimal"/>
      <w:start w:val="3"/>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3"/>
    </w:lvl>
  </w:abstractNum>
  <w:abstractNum w:abstractNumId="28">
    <w:nsid w:val="2F305DEF"/>
    <w:multiLevelType w:val="hybridMultilevel"/>
    <w:lvl w:ilvl="0">
      <w:lvlJc w:val="left"/>
      <w:lvlText w:val="%1)"/>
      <w:numFmt w:val="decimal"/>
      <w:start w:val="3"/>
    </w:lvl>
  </w:abstractNum>
  <w:abstractNum w:abstractNumId="29">
    <w:nsid w:val="25A70BF7"/>
    <w:multiLevelType w:val="hybridMultilevel"/>
    <w:lvl w:ilvl="0">
      <w:lvlJc w:val="left"/>
      <w:lvlText w:val="%1)"/>
      <w:numFmt w:val="decimal"/>
      <w:start w:val="3"/>
    </w:lvl>
  </w:abstractNum>
  <w:abstractNum w:abstractNumId="30">
    <w:nsid w:val="1DBABF00"/>
    <w:multiLevelType w:val="hybridMultilevel"/>
    <w:lvl w:ilvl="0">
      <w:lvlJc w:val="left"/>
      <w:lvlText w:val="%1)"/>
      <w:numFmt w:val="decimal"/>
      <w:start w:val="3"/>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3"/>
    </w:lvl>
  </w:abstractNum>
  <w:abstractNum w:abstractNumId="37">
    <w:nsid w:val="15014ACB"/>
    <w:multiLevelType w:val="hybridMultilevel"/>
    <w:lvl w:ilvl="0">
      <w:lvlJc w:val="left"/>
      <w:lvlText w:val="%1)"/>
      <w:numFmt w:val="decimal"/>
      <w:start w:val="4"/>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5"/>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5"/>
    </w:lvl>
  </w:abstractNum>
  <w:abstractNum w:abstractNumId="45">
    <w:nsid w:val="661E3F1E"/>
    <w:multiLevelType w:val="hybridMultilevel"/>
    <w:lvl w:ilvl="0">
      <w:lvlJc w:val="left"/>
      <w:lvlText w:val="(%1)"/>
      <w:numFmt w:val="decimal"/>
      <w:start w:val="1"/>
    </w:lvl>
  </w:abstractNum>
  <w:abstractNum w:abstractNumId="46">
    <w:nsid w:val="5DC79EA8"/>
    <w:multiLevelType w:val="hybridMultilevel"/>
    <w:lvl w:ilvl="0">
      <w:lvlJc w:val="left"/>
      <w:lvlText w:val="%1)"/>
      <w:numFmt w:val="decimal"/>
      <w:start w:val="5"/>
    </w:lvl>
  </w:abstractNum>
  <w:abstractNum w:abstractNumId="47">
    <w:nsid w:val="540A471C"/>
    <w:multiLevelType w:val="hybridMultilevel"/>
    <w:lvl w:ilvl="0">
      <w:lvlJc w:val="left"/>
      <w:lvlText w:val="%1)"/>
      <w:numFmt w:val="decimal"/>
      <w:start w:val="6"/>
    </w:lvl>
  </w:abstractNum>
  <w:abstractNum w:abstractNumId="48">
    <w:nsid w:val="7BD3EE7B"/>
    <w:multiLevelType w:val="hybridMultilevel"/>
    <w:lvl w:ilvl="0">
      <w:lvlJc w:val="left"/>
      <w:lvlText w:val="%1)"/>
      <w:numFmt w:val="decimal"/>
      <w:start w:val="7"/>
    </w:lvl>
  </w:abstractNum>
  <w:abstractNum w:abstractNumId="49">
    <w:nsid w:val="51D9C564"/>
    <w:multiLevelType w:val="hybridMultilevel"/>
    <w:lvl w:ilvl="0">
      <w:lvlJc w:val="left"/>
      <w:lvlText w:val="%1)"/>
      <w:numFmt w:val="decimal"/>
      <w:start w:val="7"/>
    </w:lvl>
  </w:abstractNum>
  <w:abstractNum w:abstractNumId="50">
    <w:nsid w:val="613EFDC5"/>
    <w:multiLevelType w:val="hybridMultilevel"/>
    <w:lvl w:ilvl="0">
      <w:lvlJc w:val="left"/>
      <w:lvlText w:val="%1)"/>
      <w:numFmt w:val="decimal"/>
      <w:start w:val="8"/>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8"/>
    </w:lvl>
  </w:abstractNum>
  <w:abstractNum w:abstractNumId="53">
    <w:nsid w:val="42963E5A"/>
    <w:multiLevelType w:val="hybridMultilevel"/>
    <w:lvl w:ilvl="0">
      <w:lvlJc w:val="left"/>
      <w:lvlText w:val="%1)"/>
      <w:numFmt w:val="decimal"/>
      <w:start w:val="8"/>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8"/>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8"/>
    </w:lvl>
  </w:abstractNum>
  <w:abstractNum w:abstractNumId="58">
    <w:nsid w:val="68EB2F63"/>
    <w:multiLevelType w:val="hybridMultilevel"/>
    <w:lvl w:ilvl="0">
      <w:lvlJc w:val="left"/>
      <w:lvlText w:val="%1)"/>
      <w:numFmt w:val="decimal"/>
      <w:start w:val="8"/>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decimal"/>
      <w:start w:val="8"/>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1)"/>
      <w:numFmt w:val="decimal"/>
      <w:start w:val="8"/>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8"/>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8"/>
    </w:lvl>
  </w:abstractNum>
  <w:abstractNum w:abstractNumId="69">
    <w:nsid w:val="6F6DD9AC"/>
    <w:multiLevelType w:val="hybridMultilevel"/>
    <w:lvl w:ilvl="0">
      <w:lvlJc w:val="left"/>
      <w:lvlText w:val="%1)"/>
      <w:numFmt w:val="decimal"/>
      <w:start w:val="9"/>
    </w:lvl>
  </w:abstractNum>
  <w:abstractNum w:abstractNumId="70">
    <w:nsid w:val="94211F2"/>
    <w:multiLevelType w:val="hybridMultilevel"/>
    <w:lvl w:ilvl="0">
      <w:lvlJc w:val="left"/>
      <w:lvlText w:val="%1)"/>
      <w:numFmt w:val="decimal"/>
      <w:start w:val="9"/>
    </w:lvl>
  </w:abstractNum>
  <w:abstractNum w:abstractNumId="71">
    <w:nsid w:val="885E1B"/>
    <w:multiLevelType w:val="hybridMultilevel"/>
    <w:lvl w:ilvl="0">
      <w:lvlJc w:val="left"/>
      <w:lvlText w:val="%1)"/>
      <w:numFmt w:val="decimal"/>
      <w:start w:val="10"/>
    </w:lvl>
  </w:abstractNum>
  <w:abstractNum w:abstractNumId="72">
    <w:nsid w:val="76272110"/>
    <w:multiLevelType w:val="hybridMultilevel"/>
    <w:lvl w:ilvl="0">
      <w:lvlJc w:val="left"/>
      <w:lvlText w:val="%1)"/>
      <w:numFmt w:val="decimal"/>
      <w:start w:val="10"/>
    </w:lvl>
  </w:abstractNum>
  <w:abstractNum w:abstractNumId="73">
    <w:nsid w:val="4C04A8AF"/>
    <w:multiLevelType w:val="hybridMultilevel"/>
    <w:lvl w:ilvl="0">
      <w:lvlJc w:val="left"/>
      <w:lvlText w:val="%1)"/>
      <w:numFmt w:val="decimal"/>
      <w:start w:val="11"/>
    </w:lvl>
  </w:abstractNum>
  <w:abstractNum w:abstractNumId="74">
    <w:nsid w:val="1716703B"/>
    <w:multiLevelType w:val="hybridMultilevel"/>
    <w:lvl w:ilvl="0">
      <w:lvlJc w:val="left"/>
      <w:lvlText w:val="(%1)"/>
      <w:numFmt w:val="decimal"/>
      <w:start w:val="1"/>
    </w:lvl>
  </w:abstractNum>
  <w:abstractNum w:abstractNumId="75">
    <w:nsid w:val="14E17E33"/>
    <w:multiLevelType w:val="hybridMultilevel"/>
    <w:lvl w:ilvl="0">
      <w:lvlJc w:val="left"/>
      <w:lvlText w:val="%1)"/>
      <w:numFmt w:val="decimal"/>
      <w:start w:val="11"/>
    </w:lvl>
  </w:abstractNum>
  <w:abstractNum w:abstractNumId="76">
    <w:nsid w:val="3222E7CD"/>
    <w:multiLevelType w:val="hybridMultilevel"/>
    <w:lvl w:ilvl="0">
      <w:lvlJc w:val="left"/>
      <w:lvlText w:val="%1)"/>
      <w:numFmt w:val="decimal"/>
      <w:start w:val="12"/>
    </w:lvl>
  </w:abstractNum>
  <w:abstractNum w:abstractNumId="77">
    <w:nsid w:val="74DE0EE3"/>
    <w:multiLevelType w:val="hybridMultilevel"/>
    <w:lvl w:ilvl="0">
      <w:lvlJc w:val="left"/>
      <w:lvlText w:val="%1)"/>
      <w:numFmt w:val="decimal"/>
      <w:start w:val="13"/>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15"/>
    </w:lvl>
  </w:abstractNum>
  <w:abstractNum w:abstractNumId="85">
    <w:nsid w:val="43F18422"/>
    <w:multiLevelType w:val="hybridMultilevel"/>
    <w:lvl w:ilvl="0">
      <w:lvlJc w:val="left"/>
      <w:lvlText w:val="%1)"/>
      <w:numFmt w:val="decimal"/>
      <w:start w:val="15"/>
    </w:lvl>
  </w:abstractNum>
  <w:abstractNum w:abstractNumId="86">
    <w:nsid w:val="60EF0119"/>
    <w:multiLevelType w:val="hybridMultilevel"/>
    <w:lvl w:ilvl="0">
      <w:lvlJc w:val="left"/>
      <w:lvlText w:val="%1)"/>
      <w:numFmt w:val="decimal"/>
      <w:start w:val="15"/>
    </w:lvl>
  </w:abstractNum>
  <w:abstractNum w:abstractNumId="87">
    <w:nsid w:val="26F324BA"/>
    <w:multiLevelType w:val="hybridMultilevel"/>
    <w:lvl w:ilvl="0">
      <w:lvlJc w:val="left"/>
      <w:lvlText w:val="%1)"/>
      <w:numFmt w:val="decimal"/>
      <w:start w:val="15"/>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15"/>
    </w:lvl>
  </w:abstractNum>
  <w:abstractNum w:abstractNumId="90">
    <w:nsid w:val="7055A5F5"/>
    <w:multiLevelType w:val="hybridMultilevel"/>
    <w:lvl w:ilvl="0">
      <w:lvlJc w:val="left"/>
      <w:lvlText w:val="%1)"/>
      <w:numFmt w:val="decimal"/>
      <w:start w:val="15"/>
    </w:lvl>
  </w:abstractNum>
  <w:abstractNum w:abstractNumId="91">
    <w:nsid w:val="5FB8370B"/>
    <w:multiLevelType w:val="hybridMultilevel"/>
    <w:lvl w:ilvl="0">
      <w:lvlJc w:val="left"/>
      <w:lvlText w:val="%1)"/>
      <w:numFmt w:val="decimal"/>
      <w:start w:val="16"/>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lowerLetter"/>
      <w:start w:val="10"/>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1"/>
      <w:numFmt w:val="decimal"/>
      <w:start w:val="2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69" Type="http://schemas.openxmlformats.org/officeDocument/2006/relationships/hyperlink" Target="https://www.sec.gov/Archives/edgar/data/318673/000109690617000214/exh3_1.pdf" TargetMode="External"/><Relationship Id="rId170" Type="http://schemas.openxmlformats.org/officeDocument/2006/relationships/hyperlink" Target="https://www.sec.gov/Archives/edgar/data/318673/000109690619000199/exh3_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2024-11-14T11:25:54Z</dcterms:created>
  <dcterms:modified xsi:type="dcterms:W3CDTF">2024-11-14T11:25:54Z</dcterms:modified>
</cp:coreProperties>
</file>