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36"/>
        </w:rPr>
        <w:t>Form</w:t>
      </w:r>
      <w:r>
        <w:rPr>
          <w:rFonts w:ascii="Times New Roman;Times;Serif" w:hAnsi="Times New Roman;Times;Serif"/>
          <w:b w:val="false"/>
          <w:i w:val="false"/>
          <w:caps w:val="false"/>
          <w:smallCaps w:val="false"/>
          <w:sz w:val="20"/>
        </w:rPr>
        <w:t xml:space="preserve"> </w:t>
      </w:r>
      <w:bookmarkStart w:id="2" w:name="xdx_903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E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 xml:space="preserve">June 30, </w:t>
      </w:r>
      <w:bookmarkStart w:id="5" w:name="xdx_907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4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 to 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7_edei--EntityFileNumber_c20260101"/>
      <w:bookmarkEnd w:id="7"/>
      <w:r>
        <w:rPr>
          <w:rFonts w:ascii="Times New Roman;Times;Serif" w:hAnsi="Times New Roman;Times;Serif"/>
          <w:b/>
          <w:i w:val="false"/>
          <w:caps w:val="false"/>
          <w:smallCaps w:val="false"/>
          <w:sz w:val="20"/>
        </w:rPr>
        <w:t>000-09341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bookmarkStart w:id="8" w:name="xdx_903_edei--EntityRegistrantName_c2026"/>
      <w:bookmarkEnd w:id="8"/>
      <w:r>
        <w:rPr>
          <w:rFonts w:ascii="Times New Roman;Times;Serif" w:hAnsi="Times New Roman;Times;Serif"/>
          <w:b/>
          <w:i w:val="false"/>
          <w:caps/>
          <w:sz w:val="36"/>
        </w:rPr>
        <w:t>Security National Financial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355"/>
        <w:gridCol w:w="60"/>
        <w:gridCol w:w="1550"/>
      </w:tblGrid>
      <w:tr>
        <w:trPr/>
        <w:tc>
          <w:tcPr>
            <w:tcW w:w="4355" w:type="dxa"/>
            <w:tcBorders/>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 xml:space="preserve">UTAH </w:t>
            </w:r>
            <w:bookmarkStart w:id="9" w:name="xdx_90B_edei--EntityIncorporationStateCo"/>
            <w:bookmarkEnd w:id="9"/>
            <w:r>
              <w:rPr>
                <w:rFonts w:ascii="Times New Roman;Times;Serif" w:hAnsi="Times New Roman;Times;Serif"/>
                <w:b/>
                <w:i w:val="false"/>
                <w:caps/>
                <w:sz w:val="20"/>
              </w:rPr>
              <w:t>UT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TaxIdentificationNum"/>
            <w:bookmarkEnd w:id="10"/>
            <w:r>
              <w:rPr>
                <w:rFonts w:ascii="Times New Roman;Times;Serif" w:hAnsi="Times New Roman;Times;Serif"/>
                <w:b/>
                <w:i w:val="false"/>
                <w:caps w:val="false"/>
                <w:smallCaps w:val="false"/>
                <w:sz w:val="20"/>
              </w:rPr>
              <w:t>87-0345941</w:t>
            </w:r>
          </w:p>
        </w:tc>
      </w:tr>
      <w:tr>
        <w:trPr/>
        <w:tc>
          <w:tcPr>
            <w:tcW w:w="4355" w:type="dxa"/>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r>
        <w:trPr/>
        <w:tc>
          <w:tcPr>
            <w:tcW w:w="43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5_edei--EntityAddressAddressLine1_"/>
            <w:bookmarkEnd w:id="11"/>
            <w:r>
              <w:rPr>
                <w:rFonts w:ascii="Times New Roman;Times;Serif" w:hAnsi="Times New Roman;Times;Serif"/>
                <w:b/>
                <w:i w:val="false"/>
                <w:caps w:val="false"/>
                <w:smallCaps w:val="false"/>
                <w:sz w:val="20"/>
              </w:rPr>
              <w:t xml:space="preserve">433 Ascension Way, </w:t>
            </w:r>
            <w:bookmarkStart w:id="12" w:name="xdx_909_edei--EntityAddressAddressLine2_"/>
            <w:bookmarkEnd w:id="12"/>
            <w:r>
              <w:rPr>
                <w:rFonts w:ascii="Times New Roman;Times;Serif" w:hAnsi="Times New Roman;Times;Serif"/>
                <w:b/>
                <w:i w:val="false"/>
                <w:caps w:val="false"/>
                <w:smallCaps w:val="false"/>
                <w:sz w:val="20"/>
              </w:rPr>
              <w:t>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w:t>
            </w:r>
            <w:bookmarkStart w:id="13" w:name="xdx_90B_edei--EntityAddressCityOrTown_c2"/>
            <w:bookmarkEnd w:id="13"/>
            <w:r>
              <w:rPr>
                <w:rFonts w:ascii="Times New Roman;Times;Serif" w:hAnsi="Times New Roman;Times;Serif"/>
                <w:b/>
                <w:i w:val="false"/>
                <w:caps w:val="false"/>
                <w:smallCaps w:val="false"/>
                <w:sz w:val="20"/>
              </w:rPr>
              <w:t xml:space="preserve">Salt Lake City, </w:t>
            </w:r>
            <w:bookmarkStart w:id="14" w:name="xdx_90A_edei--EntityAddressStateOrProvin"/>
            <w:bookmarkEnd w:id="14"/>
            <w:r>
              <w:rPr>
                <w:rFonts w:ascii="Times New Roman;Times;Serif" w:hAnsi="Times New Roman;Times;Serif"/>
                <w:b/>
                <w:i w:val="false"/>
                <w:caps w:val="false"/>
                <w:smallCaps w:val="false"/>
                <w:sz w:val="20"/>
              </w:rPr>
              <w:t>Utah</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6_edei--EntityAddressPostalZipCode"/>
            <w:bookmarkEnd w:id="15"/>
            <w:r>
              <w:rPr>
                <w:rFonts w:ascii="Times New Roman;Times;Serif" w:hAnsi="Times New Roman;Times;Serif"/>
                <w:b/>
                <w:i w:val="false"/>
                <w:caps w:val="false"/>
                <w:smallCaps w:val="false"/>
                <w:sz w:val="20"/>
              </w:rPr>
              <w:t>84123</w:t>
            </w:r>
          </w:p>
        </w:tc>
      </w:tr>
      <w:tr>
        <w:trPr/>
        <w:tc>
          <w:tcPr>
            <w:tcW w:w="43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5_edei--CityAreaCode_c20260101__20"/>
      <w:bookmarkEnd w:id="16"/>
      <w:r>
        <w:rPr>
          <w:rFonts w:ascii="Times New Roman;Times;Serif" w:hAnsi="Times New Roman;Times;Serif"/>
          <w:b/>
          <w:i w:val="false"/>
          <w:caps w:val="false"/>
          <w:smallCaps w:val="false"/>
          <w:sz w:val="20"/>
        </w:rPr>
        <w:t xml:space="preserve">(801) </w:t>
      </w:r>
      <w:bookmarkStart w:id="17" w:name="xdx_902_edei--LocalPhoneNumber_c20260101"/>
      <w:bookmarkEnd w:id="17"/>
      <w:r>
        <w:rPr>
          <w:rFonts w:ascii="Times New Roman;Times;Serif" w:hAnsi="Times New Roman;Times;Serif"/>
          <w:b/>
          <w:i w:val="false"/>
          <w:caps w:val="false"/>
          <w:smallCaps w:val="false"/>
          <w:sz w:val="20"/>
        </w:rPr>
        <w:t>264-1060</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1955"/>
        <w:gridCol w:w="60"/>
        <w:gridCol w:w="1385"/>
        <w:gridCol w:w="60"/>
        <w:gridCol w:w="3710"/>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9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101"/>
            <w:bookmarkEnd w:id="18"/>
            <w:r>
              <w:rPr>
                <w:rFonts w:ascii="Times New Roman;Times;Serif" w:hAnsi="Times New Roman;Times;Serif"/>
                <w:b w:val="false"/>
                <w:i w:val="false"/>
                <w:caps w:val="false"/>
                <w:smallCaps w:val="false"/>
                <w:sz w:val="20"/>
              </w:rPr>
              <w:t>Class A Common Stock</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TradingSymbol_c20260101__2"/>
            <w:bookmarkEnd w:id="19"/>
            <w:r>
              <w:rPr>
                <w:rFonts w:ascii="Times New Roman;Times;Serif" w:hAnsi="Times New Roman;Times;Serif"/>
                <w:b w:val="false"/>
                <w:i w:val="false"/>
                <w:caps w:val="false"/>
                <w:smallCaps w:val="false"/>
                <w:sz w:val="20"/>
              </w:rPr>
              <w:t>SNFCA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2_edei--SecurityExchangeName_c2026"/>
            <w:bookmarkEnd w:id="20"/>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1" w:name="xdx_900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2" w:name="xdx_908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5720"/>
        <w:gridCol w:w="60"/>
        <w:gridCol w:w="2465"/>
      </w:tblGrid>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6_edei--EntityFilerCategory_c20260"/>
            <w:bookmarkEnd w:id="23"/>
            <w:r>
              <w:rPr>
                <w:rFonts w:ascii="Times New Roman;Times;Serif" w:hAnsi="Times New Roman;Times;Serif"/>
                <w:b w:val="false"/>
                <w:i w:val="false"/>
                <w:caps w:val="false"/>
                <w:smallCaps w:val="false"/>
                <w:sz w:val="20"/>
              </w:rPr>
              <w:t>Accelerated filer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 (Do not check if a 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A_edei--EntitySmallBusiness_c20260"/>
            <w:bookmarkEnd w:id="24"/>
            <w:r>
              <w:rPr>
                <w:rFonts w:ascii="Times New Roman;Times;Serif" w:hAnsi="Times New Roman;Times;Serif"/>
                <w:b w:val="false"/>
                <w:i w:val="false"/>
                <w:caps w:val="false"/>
                <w:smallCaps w:val="false"/>
                <w:sz w:val="20"/>
              </w:rPr>
              <w:t>☒</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w:t>
      </w:r>
      <w:bookmarkStart w:id="26" w:name="xdx_900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30, 2026, the registrant had </w:t>
      </w:r>
      <w:bookmarkStart w:id="27" w:name="xdx_90C_edei--EntityCommonStockSharesOut"/>
      <w:bookmarkEnd w:id="27"/>
      <w:r>
        <w:rPr>
          <w:rFonts w:ascii="Times New Roman;Times;Serif" w:hAnsi="Times New Roman;Times;Serif"/>
          <w:b w:val="false"/>
          <w:i w:val="false"/>
          <w:caps w:val="false"/>
          <w:smallCaps w:val="false"/>
          <w:sz w:val="20"/>
        </w:rPr>
        <w:t>23,588,157 shares of Class A Common Stock, $</w:t>
      </w:r>
      <w:bookmarkStart w:id="28" w:name="xdx_90A_edei--EntityListingParValuePerSh"/>
      <w:bookmarkEnd w:id="28"/>
      <w:r>
        <w:rPr>
          <w:rFonts w:ascii="Times New Roman;Times;Serif" w:hAnsi="Times New Roman;Times;Serif"/>
          <w:b w:val="false"/>
          <w:i w:val="false"/>
          <w:caps w:val="false"/>
          <w:smallCaps w:val="false"/>
          <w:sz w:val="20"/>
        </w:rPr>
        <w:t xml:space="preserve">2.00 par value, outstanding and </w:t>
      </w:r>
      <w:bookmarkStart w:id="29" w:name="xdx_90B_edei--EntityCommonStockSharesOut"/>
      <w:bookmarkEnd w:id="29"/>
      <w:r>
        <w:rPr>
          <w:rFonts w:ascii="Times New Roman;Times;Serif" w:hAnsi="Times New Roman;Times;Serif"/>
          <w:b w:val="false"/>
          <w:i w:val="false"/>
          <w:caps w:val="false"/>
          <w:smallCaps w:val="false"/>
          <w:sz w:val="20"/>
        </w:rPr>
        <w:t>3,789,132 shares of Class C Common Stock, $</w:t>
      </w:r>
      <w:bookmarkStart w:id="30" w:name="xdx_905_edei--EntityListingParValuePerSh"/>
      <w:bookmarkEnd w:id="30"/>
      <w:r>
        <w:rPr>
          <w:rFonts w:ascii="Times New Roman;Times;Serif" w:hAnsi="Times New Roman;Times;Serif"/>
          <w:b w:val="false"/>
          <w:i w:val="false"/>
          <w:caps w:val="false"/>
          <w:smallCaps w:val="false"/>
          <w:sz w:val="20"/>
        </w:rPr>
        <w:t>2.00 par value,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8813"/>
        <w:gridCol w:w="756"/>
      </w:tblGrid>
      <w:tr>
        <w:trPr/>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8813"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No.</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center"/>
              <w:rPr/>
            </w:pPr>
            <w:hyperlink w:anchor="TM_001">
              <w:r>
                <w:rPr>
                  <w:rStyle w:val="InternetLink"/>
                  <w:rFonts w:ascii="Times New Roman;Times;Serif" w:hAnsi="Times New Roman;Times;Serif"/>
                  <w:b/>
                  <w:i w:val="false"/>
                  <w:caps w:val="false"/>
                  <w:smallCaps w:val="false"/>
                  <w:sz w:val="20"/>
                </w:rPr>
                <w:t>Part I - Financial Information</w:t>
              </w:r>
            </w:hyperlink>
          </w:p>
        </w:tc>
        <w:tc>
          <w:tcPr>
            <w:tcW w:w="7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13" w:type="dxa"/>
            <w:tcBorders/>
            <w:shd w:fill="FFFFFF" w:val="clear"/>
            <w:vAlign w:val="center"/>
          </w:tcPr>
          <w:p>
            <w:pPr>
              <w:pStyle w:val="TableContents"/>
              <w:bidi w:val="0"/>
              <w:spacing w:before="0" w:after="283"/>
              <w:jc w:val="both"/>
              <w:rPr/>
            </w:pPr>
            <w:hyperlink w:anchor="TM_002">
              <w:r>
                <w:rPr>
                  <w:rStyle w:val="InternetLink"/>
                  <w:rFonts w:ascii="Times New Roman;Times;Serif" w:hAnsi="Times New Roman;Times;Serif"/>
                  <w:b w:val="false"/>
                  <w:i w:val="false"/>
                  <w:caps w:val="false"/>
                  <w:smallCaps w:val="false"/>
                  <w:sz w:val="20"/>
                </w:rPr>
                <w:t>Financial Statements (Unaudited) (at June 30, 2026 and December 31, 2025 and for the Three and Six Months Ended June 30, 2026 and 2025)</w:t>
              </w:r>
            </w:hyperlink>
          </w:p>
        </w:tc>
        <w:tc>
          <w:tcPr>
            <w:tcW w:w="7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Condensed Consolidated Balance Sheets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Condensed Consolidated Statements of Earnings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Condensed Consolidated Statements of Comprehensive Income</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TM_006">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TM_007">
              <w:r>
                <w:rPr>
                  <w:rStyle w:val="InternetLink"/>
                  <w:rFonts w:ascii="Times New Roman;Times;Serif" w:hAnsi="Times New Roman;Times;Serif"/>
                  <w:b w:val="false"/>
                  <w:i w:val="false"/>
                  <w:caps w:val="false"/>
                  <w:smallCaps w:val="false"/>
                  <w:sz w:val="20"/>
                </w:rPr>
                <w:t>Condensed Consolidated Statements of Cash Flows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TM_0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TM_009">
              <w:r>
                <w:rPr>
                  <w:rStyle w:val="InternetLink"/>
                  <w:rFonts w:ascii="Times New Roman;Times;Serif" w:hAnsi="Times New Roman;Times;Serif"/>
                  <w:b w:val="false"/>
                  <w:i w:val="false"/>
                  <w:caps w:val="false"/>
                  <w:smallCaps w:val="false"/>
                  <w:sz w:val="20"/>
                </w:rPr>
                <w:t>Note 1 - Basis of Presentation and Recent Accounting Pronouncements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TM_010">
              <w:r>
                <w:rPr>
                  <w:rStyle w:val="InternetLink"/>
                  <w:rFonts w:ascii="Times New Roman;Times;Serif" w:hAnsi="Times New Roman;Times;Serif"/>
                  <w:b w:val="false"/>
                  <w:i w:val="false"/>
                  <w:caps w:val="false"/>
                  <w:smallCaps w:val="false"/>
                  <w:sz w:val="20"/>
                </w:rPr>
                <w:t>Note 2 - Investments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Note 3 - Loans Held for Sale</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b w:val="false"/>
                  <w:i w:val="false"/>
                  <w:caps w:val="false"/>
                  <w:smallCaps w:val="false"/>
                  <w:sz w:val="20"/>
                </w:rPr>
                <w:t>Note 4 - Receivables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b w:val="false"/>
                  <w:i w:val="false"/>
                  <w:caps w:val="false"/>
                  <w:smallCaps w:val="false"/>
                  <w:sz w:val="20"/>
                </w:rPr>
                <w:t>Note 5 - Restricted Assets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Note 6 - Cemetery Perpetual Care Trust Investments and Obligation</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Note 7 - Mortgage Servicing Rights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Note 8 - Deferred Policy and Pre-need Contract Acquisition Costs, Value of Business Acquired and Unearned Premium Reserve</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Note 9 - Derivative Instruments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Note 10 - Future Policy Benefits and Unpaid Claims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Note 11 - Policyholder Account Balances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 12 - Reinsurance</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Note 13 - Income Taxes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Note 14 - Equity</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f6k_021">
              <w:r>
                <w:rPr>
                  <w:rStyle w:val="InternetLink"/>
                  <w:rFonts w:ascii="Times New Roman;Times;Serif" w:hAnsi="Times New Roman;Times;Serif"/>
                  <w:b w:val="false"/>
                  <w:i w:val="false"/>
                  <w:caps w:val="false"/>
                  <w:smallCaps w:val="false"/>
                  <w:sz w:val="20"/>
                </w:rPr>
                <w:t>Note 15 - Earnings Per Share</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f6k_020">
              <w:r>
                <w:rPr>
                  <w:rStyle w:val="InternetLink"/>
                  <w:rFonts w:ascii="Times New Roman;Times;Serif" w:hAnsi="Times New Roman;Times;Serif"/>
                  <w:b w:val="false"/>
                  <w:i w:val="false"/>
                  <w:caps w:val="false"/>
                  <w:smallCaps w:val="false"/>
                  <w:sz w:val="20"/>
                </w:rPr>
                <w:t>Note 16 - Business Segment Information</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f6k_022">
              <w:r>
                <w:rPr>
                  <w:rStyle w:val="InternetLink"/>
                  <w:rFonts w:ascii="Times New Roman;Times;Serif" w:hAnsi="Times New Roman;Times;Serif"/>
                  <w:b w:val="false"/>
                  <w:i w:val="false"/>
                  <w:caps w:val="false"/>
                  <w:smallCaps w:val="false"/>
                  <w:sz w:val="20"/>
                </w:rPr>
                <w:t>Note 17 - Fair Value of Financial Instruments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FFFFFF" w:val="clear"/>
            <w:vAlign w:val="center"/>
          </w:tcPr>
          <w:p>
            <w:pPr>
              <w:pStyle w:val="TableContents"/>
              <w:bidi w:val="0"/>
              <w:spacing w:before="0" w:after="283"/>
              <w:jc w:val="left"/>
              <w:rPr/>
            </w:pPr>
            <w:hyperlink w:anchor="f6k_023">
              <w:r>
                <w:rPr>
                  <w:rStyle w:val="InternetLink"/>
                  <w:rFonts w:ascii="Times New Roman;Times;Serif" w:hAnsi="Times New Roman;Times;Serif"/>
                  <w:b w:val="false"/>
                  <w:i w:val="false"/>
                  <w:caps w:val="false"/>
                  <w:smallCaps w:val="false"/>
                  <w:sz w:val="20"/>
                </w:rPr>
                <w:t>Note 18 - Stock Compensation Plans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f6k_024">
              <w:r>
                <w:rPr>
                  <w:rStyle w:val="InternetLink"/>
                  <w:rFonts w:ascii="Times New Roman;Times;Serif" w:hAnsi="Times New Roman;Times;Serif"/>
                  <w:b w:val="false"/>
                  <w:i w:val="false"/>
                  <w:caps w:val="false"/>
                  <w:smallCaps w:val="false"/>
                  <w:sz w:val="20"/>
                </w:rPr>
                <w:t>Note 19 - Commitments and Contingencies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13" w:type="dxa"/>
            <w:tcBorders/>
            <w:shd w:fill="FFFFFF" w:val="clear"/>
            <w:vAlign w:val="center"/>
          </w:tcPr>
          <w:p>
            <w:pPr>
              <w:pStyle w:val="TableContents"/>
              <w:bidi w:val="0"/>
              <w:spacing w:before="0" w:after="283"/>
              <w:jc w:val="left"/>
              <w:rPr/>
            </w:pPr>
            <w:hyperlink w:anchor="f6k_01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13" w:type="dxa"/>
            <w:tcBorders/>
            <w:shd w:fill="CCEEFF" w:val="clear"/>
            <w:vAlign w:val="center"/>
          </w:tcPr>
          <w:p>
            <w:pPr>
              <w:pStyle w:val="TableContents"/>
              <w:bidi w:val="0"/>
              <w:spacing w:before="0" w:after="283"/>
              <w:jc w:val="left"/>
              <w:rPr/>
            </w:pPr>
            <w:hyperlink w:anchor="f6k_01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13" w:type="dxa"/>
            <w:tcBorders/>
            <w:shd w:fill="FFFFFF" w:val="clear"/>
            <w:vAlign w:val="center"/>
          </w:tcPr>
          <w:p>
            <w:pPr>
              <w:pStyle w:val="TableContents"/>
              <w:bidi w:val="0"/>
              <w:spacing w:before="0" w:after="283"/>
              <w:jc w:val="left"/>
              <w:rPr/>
            </w:pPr>
            <w:hyperlink w:anchor="f6k_019">
              <w:r>
                <w:rPr>
                  <w:rStyle w:val="InternetLink"/>
                  <w:rFonts w:ascii="Times New Roman;Times;Serif" w:hAnsi="Times New Roman;Times;Serif"/>
                  <w:b w:val="false"/>
                  <w:i w:val="false"/>
                  <w:caps w:val="false"/>
                  <w:smallCaps w:val="false"/>
                  <w:sz w:val="20"/>
                </w:rPr>
                <w:t>Controls and Procedures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center"/>
              <w:rPr/>
            </w:pPr>
            <w:hyperlink w:anchor="f6k_006">
              <w:r>
                <w:rPr>
                  <w:rStyle w:val="InternetLink"/>
                  <w:rFonts w:ascii="Times New Roman;Times;Serif" w:hAnsi="Times New Roman;Times;Serif"/>
                  <w:b/>
                  <w:i w:val="false"/>
                  <w:caps w:val="false"/>
                  <w:smallCaps w:val="false"/>
                  <w:sz w:val="20"/>
                </w:rPr>
                <w:t>Part II - Other Information</w:t>
              </w:r>
            </w:hyperlink>
          </w:p>
        </w:tc>
        <w:tc>
          <w:tcPr>
            <w:tcW w:w="7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13" w:type="dxa"/>
            <w:tcBorders/>
            <w:shd w:fill="FFFFFF" w:val="clear"/>
            <w:vAlign w:val="center"/>
          </w:tcPr>
          <w:p>
            <w:pPr>
              <w:pStyle w:val="TableContents"/>
              <w:bidi w:val="0"/>
              <w:spacing w:before="0" w:after="283"/>
              <w:jc w:val="left"/>
              <w:rPr/>
            </w:pPr>
            <w:hyperlink w:anchor="f6k_008">
              <w:r>
                <w:rPr>
                  <w:rStyle w:val="InternetLink"/>
                  <w:rFonts w:ascii="Times New Roman;Times;Serif" w:hAnsi="Times New Roman;Times;Serif"/>
                  <w:b w:val="false"/>
                  <w:i w:val="false"/>
                  <w:caps w:val="false"/>
                  <w:smallCaps w:val="false"/>
                  <w:sz w:val="20"/>
                </w:rPr>
                <w:t>Legal Proceedings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13" w:type="dxa"/>
            <w:tcBorders/>
            <w:shd w:fill="CCEEFF" w:val="clear"/>
            <w:vAlign w:val="center"/>
          </w:tcPr>
          <w:p>
            <w:pPr>
              <w:pStyle w:val="TableContents"/>
              <w:bidi w:val="0"/>
              <w:spacing w:before="0" w:after="283"/>
              <w:jc w:val="left"/>
              <w:rPr/>
            </w:pPr>
            <w:hyperlink w:anchor="f6k_009">
              <w:r>
                <w:rPr>
                  <w:rStyle w:val="InternetLink"/>
                  <w:rFonts w:ascii="Times New Roman;Times;Serif" w:hAnsi="Times New Roman;Times;Serif"/>
                  <w:b w:val="false"/>
                  <w:i w:val="false"/>
                  <w:caps w:val="false"/>
                  <w:smallCaps w:val="false"/>
                  <w:sz w:val="20"/>
                </w:rPr>
                <w:t>Risk Factors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8813" w:type="dxa"/>
            <w:tcBorders/>
            <w:shd w:fill="FFFFFF" w:val="clear"/>
            <w:vAlign w:val="center"/>
          </w:tcPr>
          <w:p>
            <w:pPr>
              <w:pStyle w:val="TableContents"/>
              <w:bidi w:val="0"/>
              <w:spacing w:before="0" w:after="283"/>
              <w:jc w:val="left"/>
              <w:rPr/>
            </w:pPr>
            <w:hyperlink w:anchor="f6k_01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13" w:type="dxa"/>
            <w:tcBorders/>
            <w:shd w:fill="CCEEFF" w:val="clear"/>
            <w:vAlign w:val="center"/>
          </w:tcPr>
          <w:p>
            <w:pPr>
              <w:pStyle w:val="TableContents"/>
              <w:bidi w:val="0"/>
              <w:spacing w:before="0" w:after="283"/>
              <w:jc w:val="left"/>
              <w:rPr/>
            </w:pPr>
            <w:hyperlink w:anchor="f6k_011">
              <w:r>
                <w:rPr>
                  <w:rStyle w:val="InternetLink"/>
                  <w:rFonts w:ascii="Times New Roman;Times;Serif" w:hAnsi="Times New Roman;Times;Serif"/>
                  <w:b w:val="false"/>
                  <w:i w:val="false"/>
                  <w:caps w:val="false"/>
                  <w:smallCaps w:val="false"/>
                  <w:sz w:val="20"/>
                </w:rPr>
                <w:t>Defaults Upon Senior Securities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4. </w:t>
            </w:r>
          </w:p>
        </w:tc>
        <w:tc>
          <w:tcPr>
            <w:tcW w:w="8813" w:type="dxa"/>
            <w:tcBorders/>
            <w:shd w:fill="FFFFFF" w:val="clear"/>
            <w:vAlign w:val="center"/>
          </w:tcPr>
          <w:p>
            <w:pPr>
              <w:pStyle w:val="TableContents"/>
              <w:bidi w:val="0"/>
              <w:spacing w:before="0" w:after="283"/>
              <w:jc w:val="left"/>
              <w:rPr/>
            </w:pPr>
            <w:hyperlink w:anchor="f6k_012">
              <w:r>
                <w:rPr>
                  <w:rStyle w:val="InternetLink"/>
                  <w:rFonts w:ascii="Times New Roman;Times;Serif" w:hAnsi="Times New Roman;Times;Serif"/>
                  <w:b w:val="false"/>
                  <w:i w:val="false"/>
                  <w:caps w:val="false"/>
                  <w:smallCaps w:val="false"/>
                  <w:sz w:val="20"/>
                </w:rPr>
                <w:t>Mine Safety Disclosures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6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13" w:type="dxa"/>
            <w:tcBorders/>
            <w:shd w:fill="CCEEFF" w:val="clear"/>
            <w:vAlign w:val="center"/>
          </w:tcPr>
          <w:p>
            <w:pPr>
              <w:pStyle w:val="TableContents"/>
              <w:bidi w:val="0"/>
              <w:spacing w:before="0" w:after="283"/>
              <w:jc w:val="left"/>
              <w:rPr/>
            </w:pPr>
            <w:hyperlink w:anchor="f6k_013">
              <w:r>
                <w:rPr>
                  <w:rStyle w:val="InternetLink"/>
                  <w:rFonts w:ascii="Times New Roman;Times;Serif" w:hAnsi="Times New Roman;Times;Serif"/>
                  <w:b w:val="false"/>
                  <w:i w:val="false"/>
                  <w:caps w:val="false"/>
                  <w:smallCaps w:val="false"/>
                  <w:sz w:val="20"/>
                </w:rPr>
                <w:t>Other Information</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6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6. </w:t>
            </w:r>
          </w:p>
        </w:tc>
        <w:tc>
          <w:tcPr>
            <w:tcW w:w="8813" w:type="dxa"/>
            <w:tcBorders/>
            <w:shd w:fill="FFFFFF" w:val="clear"/>
            <w:vAlign w:val="center"/>
          </w:tcPr>
          <w:p>
            <w:pPr>
              <w:pStyle w:val="TableContents"/>
              <w:bidi w:val="0"/>
              <w:spacing w:before="0" w:after="283"/>
              <w:jc w:val="left"/>
              <w:rPr/>
            </w:pPr>
            <w:hyperlink w:anchor="f6k_015">
              <w:r>
                <w:rPr>
                  <w:rStyle w:val="InternetLink"/>
                  <w:rFonts w:ascii="Times New Roman;Times;Serif" w:hAnsi="Times New Roman;Times;Serif"/>
                  <w:b w:val="false"/>
                  <w:i w:val="false"/>
                  <w:caps w:val="false"/>
                  <w:smallCaps w:val="false"/>
                  <w:sz w:val="20"/>
                </w:rPr>
                <w:t>Exhibits</w:t>
              </w:r>
            </w:hyperlink>
          </w:p>
        </w:tc>
        <w:tc>
          <w:tcPr>
            <w:tcW w:w="7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3" w:type="dxa"/>
            <w:tcBorders/>
            <w:shd w:fill="CCEEFF" w:val="clear"/>
            <w:vAlign w:val="center"/>
          </w:tcPr>
          <w:p>
            <w:pPr>
              <w:pStyle w:val="TableContents"/>
              <w:bidi w:val="0"/>
              <w:spacing w:before="0" w:after="283"/>
              <w:jc w:val="left"/>
              <w:rPr/>
            </w:pPr>
            <w:hyperlink w:anchor="f6k_016">
              <w:r>
                <w:rPr>
                  <w:rStyle w:val="InternetLink"/>
                  <w:rFonts w:ascii="Times New Roman;Times;Serif" w:hAnsi="Times New Roman;Times;Serif"/>
                  <w:b w:val="false"/>
                  <w:i w:val="false"/>
                  <w:caps w:val="false"/>
                  <w:smallCaps w:val="false"/>
                  <w:sz w:val="20"/>
                </w:rPr>
                <w:t>Signatures</w:t>
              </w:r>
            </w:hyperlink>
          </w:p>
        </w:tc>
        <w:tc>
          <w:tcPr>
            <w:tcW w:w="7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M_001"/>
      <w:bookmarkEnd w:id="31"/>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20"/>
        <w:gridCol w:w="185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2" w:name="TM_002"/>
            <w:bookmarkEnd w:id="32"/>
            <w:r>
              <w:rPr>
                <w:rFonts w:ascii="Times New Roman;Times;Serif" w:hAnsi="Times New Roman;Times;Serif"/>
                <w:b/>
                <w:i w:val="false"/>
                <w:caps w:val="false"/>
                <w:smallCaps w:val="false"/>
                <w:sz w:val="20"/>
              </w:rPr>
              <w:t>Item 1.</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r>
    </w:tbl>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E_111_zvu4MHGaMGag"/>
      <w:bookmarkStart w:id="34" w:name="xdx_30E_111_zvu4MHGaMGag"/>
      <w:bookmarkEnd w:id="34"/>
    </w:p>
    <w:tbl>
      <w:tblPr>
        <w:tblW w:w="10205" w:type="dxa"/>
        <w:jc w:val="left"/>
        <w:tblInd w:w="0" w:type="dxa"/>
        <w:tblLayout w:type="fixed"/>
        <w:tblCellMar>
          <w:top w:w="0" w:type="dxa"/>
          <w:left w:w="0" w:type="dxa"/>
          <w:bottom w:w="0" w:type="dxa"/>
          <w:right w:w="0" w:type="dxa"/>
        </w:tblCellMar>
      </w:tblPr>
      <w:tblGrid>
        <w:gridCol w:w="6870"/>
        <w:gridCol w:w="60"/>
        <w:gridCol w:w="140"/>
        <w:gridCol w:w="1400"/>
        <w:gridCol w:w="60"/>
        <w:gridCol w:w="60"/>
        <w:gridCol w:w="140"/>
        <w:gridCol w:w="1400"/>
        <w:gridCol w:w="75"/>
      </w:tblGrid>
      <w:tr>
        <w:trPr/>
        <w:tc>
          <w:tcPr>
            <w:tcW w:w="6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3_20260630_ztmrzmj8XC95"/>
            <w:bookmarkEnd w:id="35"/>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3_20251231_z6RIUEIsVlA"/>
            <w:bookmarkEnd w:id="36"/>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br/>
              <w:t>2025</w:t>
            </w:r>
          </w:p>
        </w:tc>
        <w:tc>
          <w:tcPr>
            <w:tcW w:w="75" w:type="dxa"/>
            <w:tcBorders/>
            <w:vAlign w:val="center"/>
          </w:tcPr>
          <w:p>
            <w:pPr>
              <w:pStyle w:val="TableContents"/>
              <w:bidi w:val="0"/>
              <w:spacing w:before="0" w:after="283"/>
              <w:jc w:val="left"/>
              <w:rPr/>
            </w:pPr>
            <w:r>
              <w:rPr/>
              <w:t> </w:t>
            </w:r>
            <w:bookmarkStart w:id="37" w:name="xdx_400_eus-gaap--AssetsAbstract_iB_ztzV"/>
            <w:bookmarkEnd w:id="37"/>
          </w:p>
        </w:tc>
      </w:tr>
      <w:tr>
        <w:trPr/>
        <w:tc>
          <w:tcPr>
            <w:tcW w:w="687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0"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bookmarkStart w:id="38" w:name="xdx_401_eus-gaap--InvestmentsAbstract_i0"/>
            <w:bookmarkEnd w:id="38"/>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9" w:name="xdx_40F_eus-gaap--AvailableForSaleSecuri"/>
            <w:bookmarkEnd w:id="39"/>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 (amortized cost of $</w:t>
            </w:r>
            <w:bookmarkStart w:id="40" w:name="xdx_901_eus-gaap--AvailableForSaleDebtSe"/>
            <w:bookmarkEnd w:id="40"/>
            <w:r>
              <w:rPr>
                <w:rFonts w:ascii="Times New Roman;Times;Serif" w:hAnsi="Times New Roman;Times;Serif"/>
              </w:rPr>
              <w:t>385,103,571 and $</w:t>
            </w:r>
            <w:bookmarkStart w:id="41" w:name="xdx_90D_eus-gaap--AvailableForSaleDebtSe"/>
            <w:bookmarkEnd w:id="41"/>
            <w:r>
              <w:rPr>
                <w:rFonts w:ascii="Times New Roman;Times;Serif" w:hAnsi="Times New Roman;Times;Serif"/>
              </w:rPr>
              <w:t>382,401,293 for 2026 and 2025, respectively; net of allowance for credit losses of $</w:t>
            </w:r>
            <w:bookmarkStart w:id="42" w:name="xdx_90D_eus-gaap--DebtSecuritiesAvailabl"/>
            <w:bookmarkEnd w:id="42"/>
            <w:r>
              <w:rPr>
                <w:rFonts w:ascii="Times New Roman;Times;Serif" w:hAnsi="Times New Roman;Times;Serif"/>
              </w:rPr>
              <w:t>840,660 and $</w:t>
            </w:r>
            <w:bookmarkStart w:id="43" w:name="xdx_909_eus-gaap--DebtSecuritiesAvailabl"/>
            <w:bookmarkEnd w:id="43"/>
            <w:r>
              <w:rPr>
                <w:rFonts w:ascii="Times New Roman;Times;Serif" w:hAnsi="Times New Roman;Times;Serif"/>
              </w:rPr>
              <w:t>579,450 for 2026 and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380,428,850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382,777,918</w:t>
            </w:r>
          </w:p>
        </w:tc>
        <w:tc>
          <w:tcPr>
            <w:tcW w:w="75" w:type="dxa"/>
            <w:tcBorders/>
            <w:shd w:fill="CCEEFF" w:val="clear"/>
            <w:vAlign w:val="center"/>
          </w:tcPr>
          <w:p>
            <w:pPr>
              <w:pStyle w:val="TableContents"/>
              <w:bidi w:val="0"/>
              <w:spacing w:before="0" w:after="283"/>
              <w:jc w:val="left"/>
              <w:rPr/>
            </w:pPr>
            <w:r>
              <w:rPr/>
              <w:t> </w:t>
            </w:r>
            <w:bookmarkStart w:id="44" w:name="xdx_401_eus-gaap--EquitySecuritiesFvNi_i"/>
            <w:bookmarkEnd w:id="44"/>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securities at estimated fair value (cost of $</w:t>
            </w:r>
            <w:bookmarkStart w:id="45" w:name="xdx_904_eus-gaap--EquitySecuritiesFvNiCo"/>
            <w:bookmarkEnd w:id="45"/>
            <w:r>
              <w:rPr>
                <w:rFonts w:ascii="Times New Roman;Times;Serif" w:hAnsi="Times New Roman;Times;Serif"/>
              </w:rPr>
              <w:t>12,540,527 and $</w:t>
            </w:r>
            <w:bookmarkStart w:id="46" w:name="xdx_907_eus-gaap--EquitySecuritiesFvNiCo"/>
            <w:bookmarkEnd w:id="46"/>
            <w:r>
              <w:rPr>
                <w:rFonts w:ascii="Times New Roman;Times;Serif" w:hAnsi="Times New Roman;Times;Serif"/>
              </w:rPr>
              <w:t>12,206,559 for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20,782,573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18,050,062</w:t>
            </w:r>
          </w:p>
        </w:tc>
        <w:tc>
          <w:tcPr>
            <w:tcW w:w="75" w:type="dxa"/>
            <w:tcBorders/>
            <w:shd w:fill="FFFFFF" w:val="clear"/>
            <w:vAlign w:val="center"/>
          </w:tcPr>
          <w:p>
            <w:pPr>
              <w:pStyle w:val="TableContents"/>
              <w:bidi w:val="0"/>
              <w:spacing w:before="0" w:after="283"/>
              <w:jc w:val="left"/>
              <w:rPr/>
            </w:pPr>
            <w:r>
              <w:rPr/>
              <w:t> </w:t>
            </w:r>
            <w:bookmarkStart w:id="47" w:name="xdx_402_eus-gaap--MortgageLoansOnRealEst"/>
            <w:bookmarkEnd w:id="47"/>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 (net of allowance for credit losses of $</w:t>
            </w:r>
            <w:bookmarkStart w:id="48" w:name="xdx_908_eus-gaap--FinancingReceivableAll"/>
            <w:bookmarkEnd w:id="48"/>
            <w:r>
              <w:rPr>
                <w:rFonts w:ascii="Times New Roman;Times;Serif" w:hAnsi="Times New Roman;Times;Serif"/>
              </w:rPr>
              <w:t>2,255,193 and $</w:t>
            </w:r>
            <w:bookmarkStart w:id="49" w:name="xdx_905_eus-gaap--FinancingReceivableAll"/>
            <w:bookmarkEnd w:id="49"/>
            <w:r>
              <w:rPr>
                <w:rFonts w:ascii="Times New Roman;Times;Serif" w:hAnsi="Times New Roman;Times;Serif"/>
              </w:rPr>
              <w:t>2,588,918 for 2026 and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290,685,188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322,435,385</w:t>
            </w:r>
          </w:p>
        </w:tc>
        <w:tc>
          <w:tcPr>
            <w:tcW w:w="75" w:type="dxa"/>
            <w:tcBorders/>
            <w:shd w:fill="CCEEFF" w:val="clear"/>
            <w:vAlign w:val="center"/>
          </w:tcPr>
          <w:p>
            <w:pPr>
              <w:pStyle w:val="TableContents"/>
              <w:bidi w:val="0"/>
              <w:spacing w:before="0" w:after="283"/>
              <w:jc w:val="left"/>
              <w:rPr/>
            </w:pPr>
            <w:r>
              <w:rPr/>
              <w:t> </w:t>
            </w:r>
            <w:bookmarkStart w:id="50" w:name="xdx_405_eus-gaap--RealEstateInvestmentPr"/>
            <w:bookmarkEnd w:id="50"/>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held for investment (net of accumulated depreciation of $</w:t>
            </w:r>
            <w:bookmarkStart w:id="51" w:name="xdx_905_eus-gaap--RealEstateInvestmentPr"/>
            <w:bookmarkEnd w:id="51"/>
            <w:r>
              <w:rPr>
                <w:rFonts w:ascii="Times New Roman;Times;Serif" w:hAnsi="Times New Roman;Times;Serif"/>
              </w:rPr>
              <w:t>40,031,834 and $</w:t>
            </w:r>
            <w:bookmarkStart w:id="52" w:name="xdx_900_eus-gaap--RealEstateInvestmentPr"/>
            <w:bookmarkEnd w:id="52"/>
            <w:r>
              <w:rPr>
                <w:rFonts w:ascii="Times New Roman;Times;Serif" w:hAnsi="Times New Roman;Times;Serif"/>
              </w:rPr>
              <w:t>37,159,212 for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235,071,387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214,897,130</w:t>
            </w:r>
          </w:p>
        </w:tc>
        <w:tc>
          <w:tcPr>
            <w:tcW w:w="75" w:type="dxa"/>
            <w:tcBorders/>
            <w:shd w:fill="FFFFFF" w:val="clear"/>
            <w:vAlign w:val="center"/>
          </w:tcPr>
          <w:p>
            <w:pPr>
              <w:pStyle w:val="TableContents"/>
              <w:bidi w:val="0"/>
              <w:spacing w:before="0" w:after="283"/>
              <w:jc w:val="left"/>
              <w:rPr/>
            </w:pPr>
            <w:r>
              <w:rPr/>
              <w:t> </w:t>
            </w:r>
            <w:bookmarkStart w:id="53" w:name="xdx_40C_eus-gaap--RealEstateHeldforsale_"/>
            <w:bookmarkEnd w:id="53"/>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9,581,314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6,424,027</w:t>
            </w:r>
          </w:p>
        </w:tc>
        <w:tc>
          <w:tcPr>
            <w:tcW w:w="75" w:type="dxa"/>
            <w:tcBorders/>
            <w:shd w:fill="CCEEFF" w:val="clear"/>
            <w:vAlign w:val="center"/>
          </w:tcPr>
          <w:p>
            <w:pPr>
              <w:pStyle w:val="TableContents"/>
              <w:bidi w:val="0"/>
              <w:spacing w:before="0" w:after="283"/>
              <w:jc w:val="left"/>
              <w:rPr/>
            </w:pPr>
            <w:r>
              <w:rPr/>
              <w:t> </w:t>
            </w:r>
            <w:bookmarkStart w:id="54" w:name="xdx_409_ecustom--PolicyAndOtherLoansRece"/>
            <w:bookmarkEnd w:id="54"/>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 and policy loans (net of allowance for credit losses of $</w:t>
            </w:r>
            <w:bookmarkStart w:id="55" w:name="xdx_909_eus-gaap--AllowanceForDoubtfulAc"/>
            <w:bookmarkEnd w:id="55"/>
            <w:r>
              <w:rPr>
                <w:rFonts w:ascii="Times New Roman;Times;Serif" w:hAnsi="Times New Roman;Times;Serif"/>
              </w:rPr>
              <w:t>1,476,295 and $</w:t>
            </w:r>
            <w:bookmarkStart w:id="56" w:name="xdx_906_eus-gaap--AllowanceForDoubtfulAc"/>
            <w:bookmarkEnd w:id="56"/>
            <w:r>
              <w:rPr>
                <w:rFonts w:ascii="Times New Roman;Times;Serif" w:hAnsi="Times New Roman;Times;Serif"/>
              </w:rPr>
              <w:t>1,676,468 for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80,052,870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85,223,293</w:t>
            </w:r>
          </w:p>
        </w:tc>
        <w:tc>
          <w:tcPr>
            <w:tcW w:w="75" w:type="dxa"/>
            <w:tcBorders/>
            <w:shd w:fill="FFFFFF" w:val="clear"/>
            <w:vAlign w:val="center"/>
          </w:tcPr>
          <w:p>
            <w:pPr>
              <w:pStyle w:val="TableContents"/>
              <w:bidi w:val="0"/>
              <w:spacing w:before="0" w:after="283"/>
              <w:jc w:val="left"/>
              <w:rPr/>
            </w:pPr>
            <w:r>
              <w:rPr/>
              <w:t> </w:t>
            </w:r>
            <w:bookmarkStart w:id="57" w:name="xdx_407_eus-gaap--AccruedInvestmentIncom"/>
            <w:bookmarkEnd w:id="57"/>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9,393,407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9,054,645</w:t>
            </w:r>
          </w:p>
        </w:tc>
        <w:tc>
          <w:tcPr>
            <w:tcW w:w="75" w:type="dxa"/>
            <w:tcBorders/>
            <w:shd w:fill="CCEEFF" w:val="clear"/>
            <w:vAlign w:val="center"/>
          </w:tcPr>
          <w:p>
            <w:pPr>
              <w:pStyle w:val="TableContents"/>
              <w:bidi w:val="0"/>
              <w:spacing w:before="0" w:after="283"/>
              <w:jc w:val="left"/>
              <w:rPr/>
            </w:pPr>
            <w:r>
              <w:rPr/>
              <w:t> </w:t>
            </w:r>
            <w:bookmarkStart w:id="58" w:name="xdx_400_eus-gaap--Investments_i02TI_mtCz"/>
            <w:bookmarkEnd w:id="58"/>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1,025,995,589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1,038,862,460</w:t>
            </w:r>
          </w:p>
        </w:tc>
        <w:tc>
          <w:tcPr>
            <w:tcW w:w="75" w:type="dxa"/>
            <w:tcBorders/>
            <w:shd w:fill="FFFFFF" w:val="clear"/>
            <w:vAlign w:val="center"/>
          </w:tcPr>
          <w:p>
            <w:pPr>
              <w:pStyle w:val="TableContents"/>
              <w:bidi w:val="0"/>
              <w:spacing w:before="0" w:after="283"/>
              <w:jc w:val="left"/>
              <w:rPr/>
            </w:pPr>
            <w:r>
              <w:rPr/>
              <w:t> </w:t>
            </w:r>
            <w:bookmarkStart w:id="59" w:name="xdx_405_eus-gaap--CashAndCashEquivalents"/>
            <w:bookmarkEnd w:id="59"/>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163,441,869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102,256,828</w:t>
            </w:r>
          </w:p>
        </w:tc>
        <w:tc>
          <w:tcPr>
            <w:tcW w:w="75" w:type="dxa"/>
            <w:tcBorders/>
            <w:shd w:fill="CCEEFF" w:val="clear"/>
            <w:vAlign w:val="center"/>
          </w:tcPr>
          <w:p>
            <w:pPr>
              <w:pStyle w:val="TableContents"/>
              <w:bidi w:val="0"/>
              <w:spacing w:before="0" w:after="283"/>
              <w:jc w:val="left"/>
              <w:rPr/>
            </w:pPr>
            <w:r>
              <w:rPr/>
              <w:t> </w:t>
            </w:r>
            <w:bookmarkStart w:id="60" w:name="xdx_40A_eus-gaap--LoansReceivableHeldFor"/>
            <w:bookmarkEnd w:id="60"/>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held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146,871,985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155,968,266</w:t>
            </w:r>
          </w:p>
        </w:tc>
        <w:tc>
          <w:tcPr>
            <w:tcW w:w="75" w:type="dxa"/>
            <w:tcBorders/>
            <w:shd w:fill="FFFFFF" w:val="clear"/>
            <w:vAlign w:val="center"/>
          </w:tcPr>
          <w:p>
            <w:pPr>
              <w:pStyle w:val="TableContents"/>
              <w:bidi w:val="0"/>
              <w:spacing w:before="0" w:after="283"/>
              <w:jc w:val="left"/>
              <w:rPr/>
            </w:pPr>
            <w:r>
              <w:rPr/>
              <w:t> </w:t>
            </w:r>
            <w:bookmarkStart w:id="61" w:name="xdx_40C_eus-gaap--AccountsReceivableNet_"/>
            <w:bookmarkEnd w:id="61"/>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Receivables (net of allowance for credit losses of $</w:t>
            </w:r>
            <w:bookmarkStart w:id="62" w:name="xdx_90B_eus-gaap--AllowanceForDoubtfulAc"/>
            <w:bookmarkEnd w:id="62"/>
            <w:r>
              <w:rPr>
                <w:rFonts w:ascii="Times New Roman;Times;Serif" w:hAnsi="Times New Roman;Times;Serif"/>
              </w:rPr>
              <w:t>1,546,298 and $</w:t>
            </w:r>
            <w:bookmarkStart w:id="63" w:name="xdx_907_eus-gaap--AllowanceForDoubtfulAc"/>
            <w:bookmarkEnd w:id="63"/>
            <w:r>
              <w:rPr>
                <w:rFonts w:ascii="Times New Roman;Times;Serif" w:hAnsi="Times New Roman;Times;Serif"/>
              </w:rPr>
              <w:t>1,428,672 for 2026 and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17,030,422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15,611,074</w:t>
            </w:r>
          </w:p>
        </w:tc>
        <w:tc>
          <w:tcPr>
            <w:tcW w:w="75" w:type="dxa"/>
            <w:tcBorders/>
            <w:shd w:fill="CCEEFF" w:val="clear"/>
            <w:vAlign w:val="center"/>
          </w:tcPr>
          <w:p>
            <w:pPr>
              <w:pStyle w:val="TableContents"/>
              <w:bidi w:val="0"/>
              <w:spacing w:before="0" w:after="283"/>
              <w:jc w:val="left"/>
              <w:rPr/>
            </w:pPr>
            <w:r>
              <w:rPr/>
              <w:t> </w:t>
            </w:r>
            <w:bookmarkStart w:id="64" w:name="xdx_407_eus-gaap--RestrictedInvestments_"/>
            <w:bookmarkEnd w:id="64"/>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assets (including $</w:t>
            </w:r>
            <w:bookmarkStart w:id="65" w:name="xdx_903_ecustom--AggregateFairValueRestr"/>
            <w:bookmarkEnd w:id="65"/>
            <w:r>
              <w:rPr>
                <w:rFonts w:ascii="Times New Roman;Times;Serif" w:hAnsi="Times New Roman;Times;Serif"/>
              </w:rPr>
              <w:t>18,729,073 and $</w:t>
            </w:r>
            <w:bookmarkStart w:id="66" w:name="xdx_90E_ecustom--AggregateFairValueRestr"/>
            <w:bookmarkEnd w:id="66"/>
            <w:r>
              <w:rPr>
                <w:rFonts w:ascii="Times New Roman;Times;Serif" w:hAnsi="Times New Roman;Times;Serif"/>
              </w:rPr>
              <w:t>16,106,168 for 2026 and 2025 respectively,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28,805,946</w:t>
            </w:r>
          </w:p>
        </w:tc>
        <w:tc>
          <w:tcPr>
            <w:tcW w:w="75" w:type="dxa"/>
            <w:tcBorders/>
            <w:shd w:fill="FFFFFF" w:val="clear"/>
            <w:vAlign w:val="center"/>
          </w:tcPr>
          <w:p>
            <w:pPr>
              <w:pStyle w:val="TableContents"/>
              <w:bidi w:val="0"/>
              <w:spacing w:before="0" w:after="283"/>
              <w:jc w:val="left"/>
              <w:rPr/>
            </w:pPr>
            <w:r>
              <w:rPr/>
              <w:t> </w:t>
            </w:r>
            <w:bookmarkStart w:id="67" w:name="xdx_40F_ecustom--CemeteryPerpetualCareTr"/>
            <w:bookmarkEnd w:id="67"/>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Cemetery perpetual care trust investments (including $</w:t>
            </w:r>
            <w:bookmarkStart w:id="68" w:name="xdx_907_ecustom--AggregateFairValueCemet"/>
            <w:bookmarkEnd w:id="68"/>
            <w:r>
              <w:rPr>
                <w:rFonts w:ascii="Times New Roman;Times;Serif" w:hAnsi="Times New Roman;Times;Serif"/>
              </w:rPr>
              <w:t>7,141,438 and $</w:t>
            </w:r>
            <w:bookmarkStart w:id="69" w:name="xdx_90D_ecustom--AggregateFairValueCemet"/>
            <w:bookmarkEnd w:id="69"/>
            <w:r>
              <w:rPr>
                <w:rFonts w:ascii="Times New Roman;Times;Serif" w:hAnsi="Times New Roman;Times;Serif"/>
              </w:rPr>
              <w:t>6,575,744 for 2026 and 2025, respectively,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9,871,947</w:t>
            </w:r>
          </w:p>
        </w:tc>
        <w:tc>
          <w:tcPr>
            <w:tcW w:w="75" w:type="dxa"/>
            <w:tcBorders/>
            <w:shd w:fill="CCEEFF" w:val="clear"/>
            <w:vAlign w:val="center"/>
          </w:tcPr>
          <w:p>
            <w:pPr>
              <w:pStyle w:val="TableContents"/>
              <w:bidi w:val="0"/>
              <w:spacing w:before="0" w:after="283"/>
              <w:jc w:val="left"/>
              <w:rPr/>
            </w:pPr>
            <w:r>
              <w:rPr/>
              <w:t> </w:t>
            </w:r>
            <w:bookmarkStart w:id="70" w:name="xdx_407_eus-gaap--ReinsuranceRecoverable"/>
            <w:bookmarkEnd w:id="70"/>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from reinsurers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12,827,092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13,655,373</w:t>
            </w:r>
          </w:p>
        </w:tc>
        <w:tc>
          <w:tcPr>
            <w:tcW w:w="75" w:type="dxa"/>
            <w:tcBorders/>
            <w:shd w:fill="FFFFFF" w:val="clear"/>
            <w:vAlign w:val="center"/>
          </w:tcPr>
          <w:p>
            <w:pPr>
              <w:pStyle w:val="TableContents"/>
              <w:bidi w:val="0"/>
              <w:spacing w:before="0" w:after="283"/>
              <w:jc w:val="left"/>
              <w:rPr/>
            </w:pPr>
            <w:r>
              <w:rPr/>
              <w:t> </w:t>
            </w:r>
            <w:bookmarkStart w:id="71" w:name="xdx_402_eus-gaap--InventoryLandHeldForSa"/>
            <w:bookmarkEnd w:id="71"/>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Cemetery land and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11,288,853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11,299,283</w:t>
            </w:r>
          </w:p>
        </w:tc>
        <w:tc>
          <w:tcPr>
            <w:tcW w:w="75" w:type="dxa"/>
            <w:tcBorders/>
            <w:shd w:fill="CCEEFF" w:val="clear"/>
            <w:vAlign w:val="center"/>
          </w:tcPr>
          <w:p>
            <w:pPr>
              <w:pStyle w:val="TableContents"/>
              <w:bidi w:val="0"/>
              <w:spacing w:before="0" w:after="283"/>
              <w:jc w:val="left"/>
              <w:rPr/>
            </w:pPr>
            <w:r>
              <w:rPr/>
              <w:t> </w:t>
            </w:r>
            <w:bookmarkStart w:id="72" w:name="xdx_405_eus-gaap--ServicingAssetAtAmorti"/>
            <w:bookmarkEnd w:id="72"/>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servicing rights,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2,528,459</w:t>
            </w:r>
          </w:p>
        </w:tc>
        <w:tc>
          <w:tcPr>
            <w:tcW w:w="75" w:type="dxa"/>
            <w:tcBorders/>
            <w:shd w:fill="FFFFFF" w:val="clear"/>
            <w:vAlign w:val="center"/>
          </w:tcPr>
          <w:p>
            <w:pPr>
              <w:pStyle w:val="TableContents"/>
              <w:bidi w:val="0"/>
              <w:spacing w:before="0" w:after="283"/>
              <w:jc w:val="left"/>
              <w:rPr/>
            </w:pPr>
            <w:r>
              <w:rPr/>
              <w:t> </w:t>
            </w:r>
            <w:bookmarkStart w:id="73" w:name="xdx_402_eus-gaap--PropertyPlantAndEquipm"/>
            <w:bookmarkEnd w:id="73"/>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17,597,125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18,211,717</w:t>
            </w:r>
          </w:p>
        </w:tc>
        <w:tc>
          <w:tcPr>
            <w:tcW w:w="75" w:type="dxa"/>
            <w:tcBorders/>
            <w:shd w:fill="CCEEFF" w:val="clear"/>
            <w:vAlign w:val="center"/>
          </w:tcPr>
          <w:p>
            <w:pPr>
              <w:pStyle w:val="TableContents"/>
              <w:bidi w:val="0"/>
              <w:spacing w:before="0" w:after="283"/>
              <w:jc w:val="left"/>
              <w:rPr/>
            </w:pPr>
            <w:r>
              <w:rPr/>
              <w:t> </w:t>
            </w:r>
            <w:bookmarkStart w:id="74" w:name="xdx_40E_eus-gaap--DeferredPolicyAcquisit"/>
            <w:bookmarkEnd w:id="74"/>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policy and pre-need contract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139,967,487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135,978,803</w:t>
            </w:r>
          </w:p>
        </w:tc>
        <w:tc>
          <w:tcPr>
            <w:tcW w:w="75" w:type="dxa"/>
            <w:tcBorders/>
            <w:shd w:fill="FFFFFF" w:val="clear"/>
            <w:vAlign w:val="center"/>
          </w:tcPr>
          <w:p>
            <w:pPr>
              <w:pStyle w:val="TableContents"/>
              <w:bidi w:val="0"/>
              <w:spacing w:before="0" w:after="283"/>
              <w:jc w:val="left"/>
              <w:rPr/>
            </w:pPr>
            <w:r>
              <w:rPr/>
              <w:t> </w:t>
            </w:r>
            <w:bookmarkStart w:id="75" w:name="xdx_40D_eus-gaap--ValueOfBusinessAcquire"/>
            <w:bookmarkEnd w:id="75"/>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of business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6,875,524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7,109,186</w:t>
            </w:r>
          </w:p>
        </w:tc>
        <w:tc>
          <w:tcPr>
            <w:tcW w:w="75" w:type="dxa"/>
            <w:tcBorders/>
            <w:shd w:fill="CCEEFF" w:val="clear"/>
            <w:vAlign w:val="center"/>
          </w:tcPr>
          <w:p>
            <w:pPr>
              <w:pStyle w:val="TableContents"/>
              <w:bidi w:val="0"/>
              <w:spacing w:before="0" w:after="283"/>
              <w:jc w:val="left"/>
              <w:rPr/>
            </w:pPr>
            <w:r>
              <w:rPr/>
              <w:t> </w:t>
            </w:r>
            <w:bookmarkStart w:id="76" w:name="xdx_405_eus-gaap--Goodwill_i01I_maCzzL3_"/>
            <w:bookmarkEnd w:id="76"/>
          </w:p>
        </w:tc>
      </w:tr>
      <w:tr>
        <w:trPr/>
        <w:tc>
          <w:tcPr>
            <w:tcW w:w="6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5,253,783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5,253,783</w:t>
            </w:r>
          </w:p>
        </w:tc>
        <w:tc>
          <w:tcPr>
            <w:tcW w:w="75" w:type="dxa"/>
            <w:tcBorders/>
            <w:shd w:fill="FFFFFF" w:val="clear"/>
            <w:vAlign w:val="center"/>
          </w:tcPr>
          <w:p>
            <w:pPr>
              <w:pStyle w:val="TableContents"/>
              <w:bidi w:val="0"/>
              <w:spacing w:before="0" w:after="283"/>
              <w:jc w:val="left"/>
              <w:rPr/>
            </w:pPr>
            <w:r>
              <w:rPr/>
              <w:t> </w:t>
            </w:r>
            <w:bookmarkStart w:id="77" w:name="xdx_403_eus-gaap--OtherAssets_i01I_maCzz"/>
            <w:bookmarkEnd w:id="77"/>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16,431,479</w:t>
            </w:r>
          </w:p>
        </w:tc>
        <w:tc>
          <w:tcPr>
            <w:tcW w:w="75" w:type="dxa"/>
            <w:tcBorders/>
            <w:shd w:fill="CCEEFF" w:val="clear"/>
            <w:vAlign w:val="center"/>
          </w:tcPr>
          <w:p>
            <w:pPr>
              <w:pStyle w:val="TableContents"/>
              <w:bidi w:val="0"/>
              <w:spacing w:before="0" w:after="283"/>
              <w:jc w:val="left"/>
              <w:rPr/>
            </w:pPr>
            <w:r>
              <w:rPr/>
              <w:t> </w:t>
            </w:r>
          </w:p>
        </w:tc>
      </w:tr>
      <w:tr>
        <w:trPr/>
        <w:tc>
          <w:tcPr>
            <w:tcW w:w="6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8" w:name="xdx_407_eus-gaap--Assets_i01TI_mtCzzL3_z"/>
            <w:bookmarkEnd w:id="78"/>
          </w:p>
        </w:tc>
      </w:tr>
      <w:tr>
        <w:trPr/>
        <w:tc>
          <w:tcPr>
            <w:tcW w:w="68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1,609,314,968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1,561,844,604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9" w:name="TM_003"/>
      <w:bookmarkEnd w:id="79"/>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0"/>
        <w:gridCol w:w="60"/>
        <w:gridCol w:w="140"/>
        <w:gridCol w:w="1400"/>
        <w:gridCol w:w="95"/>
        <w:gridCol w:w="60"/>
        <w:gridCol w:w="140"/>
        <w:gridCol w:w="1400"/>
        <w:gridCol w:w="110"/>
      </w:tblGrid>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br/>
              <w:t>2025</w:t>
            </w:r>
          </w:p>
        </w:tc>
        <w:tc>
          <w:tcPr>
            <w:tcW w:w="110" w:type="dxa"/>
            <w:tcBorders/>
            <w:vAlign w:val="center"/>
          </w:tcPr>
          <w:p>
            <w:pPr>
              <w:pStyle w:val="TableContents"/>
              <w:bidi w:val="0"/>
              <w:spacing w:before="0" w:after="283"/>
              <w:jc w:val="left"/>
              <w:rPr/>
            </w:pPr>
            <w:r>
              <w:rPr/>
              <w:t> </w:t>
            </w:r>
            <w:bookmarkStart w:id="80" w:name="xdx_40C_eus-gaap--LiabilitiesAndStockhol"/>
            <w:bookmarkEnd w:id="80"/>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 w:name="xdx_40E_eus-gaap--LiabilitiesAbstract_i0"/>
            <w:bookmarkEnd w:id="81"/>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 w:name="xdx_40F_eus-gaap--LiabilityForFuturePoli"/>
            <w:bookmarkEnd w:id="82"/>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Future policy benefits and unpaid claims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799,072,640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799,706,946</w:t>
            </w:r>
          </w:p>
        </w:tc>
        <w:tc>
          <w:tcPr>
            <w:tcW w:w="110" w:type="dxa"/>
            <w:tcBorders/>
            <w:shd w:fill="CCEEFF" w:val="clear"/>
            <w:vAlign w:val="center"/>
          </w:tcPr>
          <w:p>
            <w:pPr>
              <w:pStyle w:val="TableContents"/>
              <w:bidi w:val="0"/>
              <w:spacing w:before="0" w:after="283"/>
              <w:jc w:val="left"/>
              <w:rPr/>
            </w:pPr>
            <w:r>
              <w:rPr/>
              <w:t> </w:t>
            </w:r>
            <w:bookmarkStart w:id="83" w:name="xdx_40E_eus-gaap--PolicyholderFunds_i02I"/>
            <w:bookmarkEnd w:id="83"/>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Policyholder account balances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138,026,432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140,605,750</w:t>
            </w:r>
          </w:p>
        </w:tc>
        <w:tc>
          <w:tcPr>
            <w:tcW w:w="110" w:type="dxa"/>
            <w:tcBorders/>
            <w:shd w:fill="FFFFFF" w:val="clear"/>
            <w:vAlign w:val="center"/>
          </w:tcPr>
          <w:p>
            <w:pPr>
              <w:pStyle w:val="TableContents"/>
              <w:bidi w:val="0"/>
              <w:spacing w:before="0" w:after="283"/>
              <w:jc w:val="left"/>
              <w:rPr/>
            </w:pPr>
            <w:r>
              <w:rPr/>
              <w:t> </w:t>
            </w:r>
            <w:bookmarkStart w:id="84" w:name="xdx_407_eus-gaap--UnearnedPremiums_i02I_"/>
            <w:bookmarkEnd w:id="84"/>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premium reserve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1,824,796</w:t>
            </w:r>
          </w:p>
        </w:tc>
        <w:tc>
          <w:tcPr>
            <w:tcW w:w="110" w:type="dxa"/>
            <w:tcBorders/>
            <w:shd w:fill="CCEEFF" w:val="clear"/>
            <w:vAlign w:val="center"/>
          </w:tcPr>
          <w:p>
            <w:pPr>
              <w:pStyle w:val="TableContents"/>
              <w:bidi w:val="0"/>
              <w:spacing w:before="0" w:after="283"/>
              <w:jc w:val="left"/>
              <w:rPr/>
            </w:pPr>
            <w:r>
              <w:rPr/>
              <w:t> </w:t>
            </w:r>
            <w:bookmarkStart w:id="85" w:name="xdx_406_eus-gaap--LoansPayableToBank_i02"/>
            <w:bookmarkEnd w:id="85"/>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and other loans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122,230,135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98,387,919</w:t>
            </w:r>
          </w:p>
        </w:tc>
        <w:tc>
          <w:tcPr>
            <w:tcW w:w="110" w:type="dxa"/>
            <w:tcBorders/>
            <w:shd w:fill="FFFFFF" w:val="clear"/>
            <w:vAlign w:val="center"/>
          </w:tcPr>
          <w:p>
            <w:pPr>
              <w:pStyle w:val="TableContents"/>
              <w:bidi w:val="0"/>
              <w:spacing w:before="0" w:after="283"/>
              <w:jc w:val="left"/>
              <w:rPr/>
            </w:pPr>
            <w:r>
              <w:rPr/>
              <w:t> </w:t>
            </w:r>
            <w:bookmarkStart w:id="86" w:name="xdx_409_eus-gaap--DeferredRevenue_i02I_m"/>
            <w:bookmarkEnd w:id="86"/>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pre-need funeral home and cemetery contract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24,611,358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22,991,603</w:t>
            </w:r>
          </w:p>
        </w:tc>
        <w:tc>
          <w:tcPr>
            <w:tcW w:w="110" w:type="dxa"/>
            <w:tcBorders/>
            <w:shd w:fill="CCEEFF" w:val="clear"/>
            <w:vAlign w:val="center"/>
          </w:tcPr>
          <w:p>
            <w:pPr>
              <w:pStyle w:val="TableContents"/>
              <w:bidi w:val="0"/>
              <w:spacing w:before="0" w:after="283"/>
              <w:jc w:val="left"/>
              <w:rPr/>
            </w:pPr>
            <w:r>
              <w:rPr/>
              <w:t> </w:t>
            </w:r>
            <w:bookmarkStart w:id="87" w:name="xdx_404_ecustom--CemeteryPerpetualCareTr"/>
            <w:bookmarkEnd w:id="87"/>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Cemetery perpetual care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6,086,723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5,918,776</w:t>
            </w:r>
          </w:p>
        </w:tc>
        <w:tc>
          <w:tcPr>
            <w:tcW w:w="110" w:type="dxa"/>
            <w:tcBorders/>
            <w:shd w:fill="FFFFFF" w:val="clear"/>
            <w:vAlign w:val="center"/>
          </w:tcPr>
          <w:p>
            <w:pPr>
              <w:pStyle w:val="TableContents"/>
              <w:bidi w:val="0"/>
              <w:spacing w:before="0" w:after="283"/>
              <w:jc w:val="left"/>
              <w:rPr/>
            </w:pPr>
            <w:r>
              <w:rPr/>
              <w:t> </w:t>
            </w:r>
            <w:bookmarkStart w:id="88" w:name="xdx_40C_eus-gaap--AccountsPayableCurrent"/>
            <w:bookmarkEnd w:id="88"/>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3,887,774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4,150,119</w:t>
            </w:r>
          </w:p>
        </w:tc>
        <w:tc>
          <w:tcPr>
            <w:tcW w:w="110" w:type="dxa"/>
            <w:tcBorders/>
            <w:shd w:fill="CCEEFF" w:val="clear"/>
            <w:vAlign w:val="center"/>
          </w:tcPr>
          <w:p>
            <w:pPr>
              <w:pStyle w:val="TableContents"/>
              <w:bidi w:val="0"/>
              <w:spacing w:before="0" w:after="283"/>
              <w:jc w:val="left"/>
              <w:rPr/>
            </w:pPr>
            <w:r>
              <w:rPr/>
              <w:t> </w:t>
            </w:r>
            <w:bookmarkStart w:id="89" w:name="xdx_40A_eus-gaap--OtherLiabilities_i02I_"/>
            <w:bookmarkEnd w:id="89"/>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52,877,010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51,969,405</w:t>
            </w:r>
          </w:p>
        </w:tc>
        <w:tc>
          <w:tcPr>
            <w:tcW w:w="110" w:type="dxa"/>
            <w:tcBorders/>
            <w:shd w:fill="FFFFFF" w:val="clear"/>
            <w:vAlign w:val="center"/>
          </w:tcPr>
          <w:p>
            <w:pPr>
              <w:pStyle w:val="TableContents"/>
              <w:bidi w:val="0"/>
              <w:spacing w:before="0" w:after="283"/>
              <w:jc w:val="left"/>
              <w:rPr/>
            </w:pPr>
            <w:r>
              <w:rPr/>
              <w:t> </w:t>
            </w:r>
            <w:bookmarkStart w:id="90" w:name="xdx_40B_eus-gaap--AccruedIncomeTaxes_i02"/>
            <w:bookmarkEnd w:id="90"/>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27,748,571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25,920,562</w:t>
            </w:r>
          </w:p>
        </w:tc>
        <w:tc>
          <w:tcPr>
            <w:tcW w:w="110" w:type="dxa"/>
            <w:tcBorders/>
            <w:shd w:fill="CCEEFF" w:val="clear"/>
            <w:vAlign w:val="center"/>
          </w:tcPr>
          <w:p>
            <w:pPr>
              <w:pStyle w:val="TableContents"/>
              <w:bidi w:val="0"/>
              <w:spacing w:before="0" w:after="283"/>
              <w:jc w:val="left"/>
              <w:rPr/>
            </w:pPr>
            <w:r>
              <w:rPr/>
              <w:t> </w:t>
            </w:r>
            <w:bookmarkStart w:id="91" w:name="xdx_406_eus-gaap--Liabilities_i02TI_maLA"/>
            <w:bookmarkEnd w:id="91"/>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1,176,279,050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1,151,475,876</w:t>
            </w:r>
          </w:p>
        </w:tc>
        <w:tc>
          <w:tcPr>
            <w:tcW w:w="110"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 w:name="xdx_402_eus-gaap--StockholdersEquityAbst"/>
            <w:bookmarkEnd w:id="92"/>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 w:name="xdx_40C_eus-gaap--PreferredStockValue_i0"/>
            <w:bookmarkEnd w:id="93"/>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 non-voting - $</w:t>
            </w:r>
            <w:bookmarkStart w:id="94" w:name="xdx_90B_eus-gaap--PreferredStockParOrSta"/>
            <w:bookmarkStart w:id="95" w:name="xdx_909_eus-gaap--PreferredStockParOrSta"/>
            <w:bookmarkEnd w:id="94"/>
            <w:bookmarkEnd w:id="95"/>
            <w:r>
              <w:rPr>
                <w:rFonts w:ascii="Times New Roman;Times;Serif" w:hAnsi="Times New Roman;Times;Serif"/>
              </w:rPr>
              <w:t xml:space="preserve">1.00 par value; </w:t>
            </w:r>
            <w:bookmarkStart w:id="96" w:name="xdx_907_eus-gaap--PreferredStockSharesAu"/>
            <w:bookmarkStart w:id="97" w:name="xdx_90C_eus-gaap--PreferredStockSharesAu"/>
            <w:bookmarkEnd w:id="96"/>
            <w:bookmarkEnd w:id="97"/>
            <w:r>
              <w:rPr>
                <w:rFonts w:ascii="Times New Roman;Times;Serif" w:hAnsi="Times New Roman;Times;Serif"/>
              </w:rPr>
              <w:t xml:space="preserve">5,000,000 shares authorized; </w:t>
            </w:r>
            <w:bookmarkStart w:id="98" w:name="xdx_908_eus-gaap--PreferredStockSharesOu"/>
            <w:bookmarkStart w:id="99" w:name="xdx_90A_eus-gaap--PreferredStockSharesIs"/>
            <w:bookmarkStart w:id="100" w:name="xdx_90E_eus-gaap--PreferredStockSharesOu"/>
            <w:bookmarkStart w:id="101" w:name="xdx_905_eus-gaap--PreferredStockSharesIs"/>
            <w:bookmarkEnd w:id="98"/>
            <w:bookmarkEnd w:id="99"/>
            <w:bookmarkEnd w:id="100"/>
            <w:bookmarkEnd w:id="101"/>
            <w:r>
              <w:rPr>
                <w:rFonts w:ascii="Times New Roman;Times;Serif" w:hAnsi="Times New Roman;Times;Serif"/>
              </w:rPr>
              <w:t>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02" w:name="xdx_40E_eus-gaap--CommonStockValue_i02I_"/>
            <w:bookmarkEnd w:id="102"/>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 $</w:t>
            </w:r>
            <w:bookmarkStart w:id="103" w:name="xdx_902_eus-gaap--CommonStockParOrStated"/>
            <w:bookmarkStart w:id="104" w:name="xdx_900_eus-gaap--CommonStockParOrStated"/>
            <w:bookmarkEnd w:id="103"/>
            <w:bookmarkEnd w:id="104"/>
            <w:r>
              <w:rPr>
                <w:rFonts w:ascii="Times New Roman;Times;Serif" w:hAnsi="Times New Roman;Times;Serif"/>
              </w:rPr>
              <w:t xml:space="preserve">2.00 par value; </w:t>
            </w:r>
            <w:bookmarkStart w:id="105" w:name="xdx_904_eus-gaap--CommonStockSharesAutho"/>
            <w:bookmarkStart w:id="106" w:name="xdx_90E_eus-gaap--CommonStockSharesAutho"/>
            <w:bookmarkEnd w:id="105"/>
            <w:bookmarkEnd w:id="106"/>
            <w:r>
              <w:rPr>
                <w:rFonts w:ascii="Times New Roman;Times;Serif" w:hAnsi="Times New Roman;Times;Serif"/>
              </w:rPr>
              <w:t xml:space="preserve">40,000,000 shares authorized; </w:t>
            </w:r>
            <w:bookmarkStart w:id="107" w:name="xdx_907_eus-gaap--CommonStockSharesOutst"/>
            <w:bookmarkStart w:id="108" w:name="xdx_905_eus-gaap--CommonStockSharesIssue"/>
            <w:bookmarkEnd w:id="107"/>
            <w:bookmarkEnd w:id="108"/>
            <w:r>
              <w:rPr>
                <w:rFonts w:ascii="Times New Roman;Times;Serif" w:hAnsi="Times New Roman;Times;Serif"/>
              </w:rPr>
              <w:t xml:space="preserve">23,583,948 shares issued and outstanding as of June 30, 2026 and </w:t>
            </w:r>
            <w:bookmarkStart w:id="109" w:name="xdx_904_eus-gaap--CommonStockSharesOutst"/>
            <w:bookmarkStart w:id="110" w:name="xdx_909_eus-gaap--CommonStockSharesIssue"/>
            <w:bookmarkEnd w:id="109"/>
            <w:bookmarkEnd w:id="110"/>
            <w:r>
              <w:rPr>
                <w:rFonts w:ascii="Times New Roman;Times;Serif" w:hAnsi="Times New Roman;Times;Serif"/>
              </w:rPr>
              <w:t>23,551,670 (1)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47,167,896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44,857,250</w:t>
            </w:r>
          </w:p>
        </w:tc>
        <w:tc>
          <w:tcPr>
            <w:tcW w:w="110" w:type="dxa"/>
            <w:tcBorders/>
            <w:shd w:fill="FFFFFF" w:val="clear"/>
            <w:vAlign w:val="center"/>
          </w:tcPr>
          <w:p>
            <w:pPr>
              <w:pStyle w:val="TableContents"/>
              <w:bidi w:val="0"/>
              <w:spacing w:before="0" w:after="283"/>
              <w:jc w:val="left"/>
              <w:rPr/>
            </w:pPr>
            <w:r>
              <w:rPr/>
              <w:t> </w:t>
            </w:r>
            <w:bookmarkStart w:id="111" w:name="xdx_400_eus-gaap--CommonStockValue_i02I_"/>
            <w:bookmarkEnd w:id="111"/>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non-voting common stock - $</w:t>
            </w:r>
            <w:bookmarkStart w:id="112" w:name="xdx_902_eus-gaap--CommonStockParOrStated"/>
            <w:bookmarkStart w:id="113" w:name="xdx_907_eus-gaap--CommonStockParOrStated"/>
            <w:bookmarkEnd w:id="112"/>
            <w:bookmarkEnd w:id="113"/>
            <w:r>
              <w:rPr>
                <w:rFonts w:ascii="Times New Roman;Times;Serif" w:hAnsi="Times New Roman;Times;Serif"/>
              </w:rPr>
              <w:t xml:space="preserve">1.00 par value; </w:t>
            </w:r>
            <w:bookmarkStart w:id="114" w:name="xdx_90F_eus-gaap--CommonStockSharesAutho"/>
            <w:bookmarkStart w:id="115" w:name="xdx_901_eus-gaap--CommonStockSharesAutho"/>
            <w:bookmarkEnd w:id="114"/>
            <w:bookmarkEnd w:id="115"/>
            <w:r>
              <w:rPr>
                <w:rFonts w:ascii="Times New Roman;Times;Serif" w:hAnsi="Times New Roman;Times;Serif"/>
              </w:rPr>
              <w:t xml:space="preserve">5,000,000 shares authorized; </w:t>
            </w:r>
            <w:bookmarkStart w:id="116" w:name="xdx_90A_eus-gaap--CommonStockSharesOutst"/>
            <w:bookmarkStart w:id="117" w:name="xdx_906_eus-gaap--CommonStockSharesIssue"/>
            <w:bookmarkStart w:id="118" w:name="xdx_90C_eus-gaap--CommonStockSharesOutst"/>
            <w:bookmarkStart w:id="119" w:name="xdx_90A_eus-gaap--CommonStockSharesIssue"/>
            <w:bookmarkEnd w:id="116"/>
            <w:bookmarkEnd w:id="117"/>
            <w:bookmarkEnd w:id="118"/>
            <w:bookmarkEnd w:id="119"/>
            <w:r>
              <w:rPr>
                <w:rFonts w:ascii="Times New Roman;Times;Serif" w:hAnsi="Times New Roman;Times;Serif"/>
              </w:rPr>
              <w:t>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20" w:name="xdx_400_eus-gaap--CommonStockValue_i02I_"/>
            <w:bookmarkEnd w:id="120"/>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convertible common stock - $</w:t>
            </w:r>
            <w:bookmarkStart w:id="121" w:name="xdx_90B_eus-gaap--CommonStockParOrStated"/>
            <w:bookmarkStart w:id="122" w:name="xdx_900_eus-gaap--CommonStockParOrStated"/>
            <w:bookmarkEnd w:id="121"/>
            <w:bookmarkEnd w:id="122"/>
            <w:r>
              <w:rPr>
                <w:rFonts w:ascii="Times New Roman;Times;Serif" w:hAnsi="Times New Roman;Times;Serif"/>
              </w:rPr>
              <w:t xml:space="preserve">2.00 par value; </w:t>
            </w:r>
            <w:bookmarkStart w:id="123" w:name="xdx_90E_eus-gaap--CommonStockSharesAutho"/>
            <w:bookmarkStart w:id="124" w:name="xdx_90E_eus-gaap--CommonStockSharesAutho"/>
            <w:bookmarkEnd w:id="123"/>
            <w:bookmarkEnd w:id="124"/>
            <w:r>
              <w:rPr>
                <w:rFonts w:ascii="Times New Roman;Times;Serif" w:hAnsi="Times New Roman;Times;Serif"/>
              </w:rPr>
              <w:t xml:space="preserve">6,000,000 shares authorized; </w:t>
            </w:r>
            <w:bookmarkStart w:id="125" w:name="xdx_907_eus-gaap--CommonStockSharesOutst"/>
            <w:bookmarkStart w:id="126" w:name="xdx_90D_eus-gaap--CommonStockSharesIssue"/>
            <w:bookmarkEnd w:id="125"/>
            <w:bookmarkEnd w:id="126"/>
            <w:r>
              <w:rPr>
                <w:rFonts w:ascii="Times New Roman;Times;Serif" w:hAnsi="Times New Roman;Times;Serif"/>
              </w:rPr>
              <w:t xml:space="preserve">3,789,130 shares issued and outstanding as of June 30, 2026 and </w:t>
            </w:r>
            <w:bookmarkStart w:id="127" w:name="xdx_908_eus-gaap--CommonStockSharesOutst"/>
            <w:bookmarkStart w:id="128" w:name="xdx_901_eus-gaap--CommonStockSharesIssue"/>
            <w:bookmarkEnd w:id="127"/>
            <w:bookmarkEnd w:id="128"/>
            <w:r>
              <w:rPr>
                <w:rFonts w:ascii="Times New Roman;Times;Serif" w:hAnsi="Times New Roman;Times;Serif"/>
              </w:rPr>
              <w:t>3,767,672 (1)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7,174,474</w:t>
            </w:r>
          </w:p>
        </w:tc>
        <w:tc>
          <w:tcPr>
            <w:tcW w:w="110" w:type="dxa"/>
            <w:tcBorders/>
            <w:shd w:fill="FFFFFF" w:val="clear"/>
            <w:vAlign w:val="center"/>
          </w:tcPr>
          <w:p>
            <w:pPr>
              <w:pStyle w:val="TableContents"/>
              <w:bidi w:val="0"/>
              <w:spacing w:before="0" w:after="283"/>
              <w:jc w:val="left"/>
              <w:rPr/>
            </w:pPr>
            <w:r>
              <w:rPr/>
              <w:t> </w:t>
            </w:r>
            <w:bookmarkStart w:id="129" w:name="xdx_401_eus-gaap--CommonStockValue_i02I_"/>
            <w:bookmarkEnd w:id="129"/>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7,174,474</w:t>
            </w:r>
          </w:p>
        </w:tc>
        <w:tc>
          <w:tcPr>
            <w:tcW w:w="110" w:type="dxa"/>
            <w:tcBorders/>
            <w:shd w:fill="FFFFFF" w:val="clear"/>
            <w:vAlign w:val="center"/>
          </w:tcPr>
          <w:p>
            <w:pPr>
              <w:pStyle w:val="TableContents"/>
              <w:bidi w:val="0"/>
              <w:spacing w:before="0" w:after="283"/>
              <w:jc w:val="left"/>
              <w:rPr/>
            </w:pPr>
            <w:r>
              <w:rPr/>
              <w:t> </w:t>
            </w:r>
            <w:bookmarkStart w:id="130" w:name="xdx_408_eus-gaap--AdditionalPaidInCapita"/>
            <w:bookmarkEnd w:id="130"/>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101,194,577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89,867,763</w:t>
            </w:r>
          </w:p>
        </w:tc>
        <w:tc>
          <w:tcPr>
            <w:tcW w:w="110" w:type="dxa"/>
            <w:tcBorders/>
            <w:shd w:fill="CCEEFF" w:val="clear"/>
            <w:vAlign w:val="center"/>
          </w:tcPr>
          <w:p>
            <w:pPr>
              <w:pStyle w:val="TableContents"/>
              <w:bidi w:val="0"/>
              <w:spacing w:before="0" w:after="283"/>
              <w:jc w:val="left"/>
              <w:rPr/>
            </w:pPr>
            <w:r>
              <w:rPr/>
              <w:t> </w:t>
            </w:r>
            <w:bookmarkStart w:id="131" w:name="xdx_406_eus-gaap--AccumulatedOtherCompre"/>
            <w:bookmarkEnd w:id="131"/>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gain, net of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35,174,704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28,762,123</w:t>
            </w:r>
          </w:p>
        </w:tc>
        <w:tc>
          <w:tcPr>
            <w:tcW w:w="110" w:type="dxa"/>
            <w:tcBorders/>
            <w:shd w:fill="FFFFFF" w:val="clear"/>
            <w:vAlign w:val="center"/>
          </w:tcPr>
          <w:p>
            <w:pPr>
              <w:pStyle w:val="TableContents"/>
              <w:bidi w:val="0"/>
              <w:spacing w:before="0" w:after="283"/>
              <w:jc w:val="left"/>
              <w:rPr/>
            </w:pPr>
            <w:r>
              <w:rPr/>
              <w:t> </w:t>
            </w:r>
            <w:bookmarkStart w:id="132" w:name="xdx_40D_eus-gaap--RetainedEarningsAccumu"/>
            <w:bookmarkEnd w:id="132"/>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251,835,042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248,795,475</w:t>
            </w:r>
          </w:p>
        </w:tc>
        <w:tc>
          <w:tcPr>
            <w:tcW w:w="110" w:type="dxa"/>
            <w:tcBorders/>
            <w:shd w:fill="CCEEFF" w:val="clear"/>
            <w:vAlign w:val="center"/>
          </w:tcPr>
          <w:p>
            <w:pPr>
              <w:pStyle w:val="TableContents"/>
              <w:bidi w:val="0"/>
              <w:spacing w:before="0" w:after="283"/>
              <w:jc w:val="left"/>
              <w:rPr/>
            </w:pPr>
            <w:r>
              <w:rPr/>
              <w:t> </w:t>
            </w:r>
            <w:bookmarkStart w:id="133" w:name="xdx_406_eus-gaap--TreasuryStockValue_i02"/>
            <w:bookmarkEnd w:id="133"/>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 </w:t>
            </w:r>
            <w:bookmarkStart w:id="134" w:name="xdx_902_eus-gaap--TreasuryStockCommonSha"/>
            <w:bookmarkEnd w:id="134"/>
            <w:r>
              <w:rPr>
                <w:rFonts w:ascii="Times New Roman;Times;Serif" w:hAnsi="Times New Roman;Times;Serif"/>
              </w:rPr>
              <w:t xml:space="preserve">1,221,516 Class A shares and </w:t>
            </w:r>
            <w:bookmarkStart w:id="135" w:name="xdx_902_eus-gaap--TreasuryStockCommonSha"/>
            <w:bookmarkEnd w:id="135"/>
            <w:r>
              <w:rPr>
                <w:rFonts w:ascii="Times New Roman;Times;Serif" w:hAnsi="Times New Roman;Times;Serif"/>
              </w:rPr>
              <w:t xml:space="preserve">117,184 Class C shares as of June 30, 2026; and </w:t>
            </w:r>
            <w:bookmarkStart w:id="136" w:name="xdx_907_eus-gaap--TreasuryStockCommonSha"/>
            <w:bookmarkEnd w:id="136"/>
            <w:r>
              <w:rPr>
                <w:rFonts w:ascii="Times New Roman;Times;Serif" w:hAnsi="Times New Roman;Times;Serif"/>
              </w:rPr>
              <w:t xml:space="preserve">1,154,131 (1) Class A shares and </w:t>
            </w:r>
            <w:bookmarkStart w:id="137" w:name="xdx_903_eus-gaap--TreasuryStockCommonSha"/>
            <w:bookmarkEnd w:id="137"/>
            <w:r>
              <w:rPr>
                <w:rFonts w:ascii="Times New Roman;Times;Serif" w:hAnsi="Times New Roman;Times;Serif"/>
              </w:rPr>
              <w:t>110,184 (1) Class C shares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(9,914,561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(9,088,357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 w:name="xdx_40E_eus-gaap--StockholdersEquity_i02"/>
            <w:bookmarkEnd w:id="138"/>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433,035,918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410,368,728</w:t>
            </w:r>
          </w:p>
        </w:tc>
        <w:tc>
          <w:tcPr>
            <w:tcW w:w="110"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8_eus-gaap--LiabilitiesAndStockhol"/>
            <w:bookmarkEnd w:id="139"/>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1,609,314,968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1,561,844,604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000" w:type="dxa"/>
        <w:jc w:val="left"/>
        <w:tblInd w:w="0" w:type="dxa"/>
        <w:tblLayout w:type="fixed"/>
        <w:tblCellMar>
          <w:top w:w="0" w:type="dxa"/>
          <w:left w:w="0" w:type="dxa"/>
          <w:bottom w:w="0" w:type="dxa"/>
          <w:right w:w="0" w:type="dxa"/>
        </w:tblCellMar>
      </w:tblPr>
      <w:tblGrid>
        <w:gridCol w:w="290"/>
        <w:gridCol w:w="9710"/>
      </w:tblGrid>
      <w:tr>
        <w:trPr/>
        <w:tc>
          <w:tcPr>
            <w:tcW w:w="290" w:type="dxa"/>
            <w:tcBorders/>
            <w:vAlign w:val="center"/>
          </w:tcPr>
          <w:p>
            <w:pPr>
              <w:pStyle w:val="TableContents"/>
              <w:bidi w:val="0"/>
              <w:spacing w:before="0" w:after="283"/>
              <w:jc w:val="left"/>
              <w:rPr>
                <w:rFonts w:ascii="Times New Roman;Times;Serif" w:hAnsi="Times New Roman;Times;Serif"/>
              </w:rPr>
            </w:pPr>
            <w:bookmarkStart w:id="140" w:name="xdx_F0A_z7XJw2PMtVU5"/>
            <w:bookmarkEnd w:id="140"/>
            <w:r>
              <w:rPr>
                <w:rFonts w:ascii="Times New Roman;Times;Serif" w:hAnsi="Times New Roman;Times;Serif"/>
              </w:rPr>
              <w:t>(1)</w:t>
            </w:r>
          </w:p>
        </w:tc>
        <w:tc>
          <w:tcPr>
            <w:tcW w:w="9710" w:type="dxa"/>
            <w:tcBorders/>
            <w:vAlign w:val="center"/>
          </w:tcPr>
          <w:p>
            <w:pPr>
              <w:pStyle w:val="TableContents"/>
              <w:bidi w:val="0"/>
              <w:spacing w:before="0" w:after="283"/>
              <w:jc w:val="left"/>
              <w:rPr>
                <w:rFonts w:ascii="Times New Roman;Times;Serif" w:hAnsi="Times New Roman;Times;Serif"/>
              </w:rPr>
            </w:pPr>
            <w:bookmarkStart w:id="141" w:name="xdx_F18_z0iBMHvDk7xh"/>
            <w:bookmarkEnd w:id="141"/>
            <w:r>
              <w:rPr>
                <w:rFonts w:ascii="Times New Roman;Times;Serif" w:hAnsi="Times New Roman;Times;Serif"/>
              </w:rPr>
              <w:t>Issued and outstanding shares have been adjusted retroactively for the effect of annual stock 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42" w:name="TM_004"/>
      <w:bookmarkEnd w:id="142"/>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EARNINGS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3" w:name="xdx_306_113_zuZWNiuBjEe4"/>
      <w:bookmarkStart w:id="144" w:name="xdx_306_113_zuZWNiuBjEe4"/>
      <w:bookmarkEnd w:id="144"/>
    </w:p>
    <w:tbl>
      <w:tblPr>
        <w:tblW w:w="10205" w:type="dxa"/>
        <w:jc w:val="left"/>
        <w:tblInd w:w="0" w:type="dxa"/>
        <w:tblLayout w:type="fixed"/>
        <w:tblCellMar>
          <w:top w:w="0" w:type="dxa"/>
          <w:left w:w="0" w:type="dxa"/>
          <w:bottom w:w="0" w:type="dxa"/>
          <w:right w:w="0" w:type="dxa"/>
        </w:tblCellMar>
      </w:tblPr>
      <w:tblGrid>
        <w:gridCol w:w="4337"/>
        <w:gridCol w:w="60"/>
        <w:gridCol w:w="141"/>
        <w:gridCol w:w="1113"/>
        <w:gridCol w:w="96"/>
        <w:gridCol w:w="60"/>
        <w:gridCol w:w="141"/>
        <w:gridCol w:w="1113"/>
        <w:gridCol w:w="95"/>
        <w:gridCol w:w="60"/>
        <w:gridCol w:w="140"/>
        <w:gridCol w:w="1220"/>
        <w:gridCol w:w="95"/>
        <w:gridCol w:w="60"/>
        <w:gridCol w:w="140"/>
        <w:gridCol w:w="1220"/>
        <w:gridCol w:w="114"/>
      </w:tblGrid>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9E_20260401__20260630_zi0A8ndPTsW9"/>
            <w:bookmarkEnd w:id="145"/>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90_20250401__20250630_zpSXiLeBKK26"/>
            <w:bookmarkEnd w:id="146"/>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 w:name="xdx_493_20260101__20260630_z2mynnA2Dzol"/>
            <w:bookmarkEnd w:id="147"/>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 w:name="xdx_49D_20250101__20250630_znRltCfisbS2"/>
            <w:bookmarkEnd w:id="148"/>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4" w:type="dxa"/>
            <w:tcBorders/>
            <w:vAlign w:val="center"/>
          </w:tcPr>
          <w:p>
            <w:pPr>
              <w:pStyle w:val="TableContents"/>
              <w:bidi w:val="0"/>
              <w:spacing w:before="0" w:after="283"/>
              <w:jc w:val="left"/>
              <w:rPr/>
            </w:pPr>
            <w:r>
              <w:rPr/>
              <w:t> </w:t>
            </w:r>
          </w:p>
        </w:tc>
      </w:tr>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4" w:type="dxa"/>
            <w:tcBorders/>
            <w:vAlign w:val="center"/>
          </w:tcPr>
          <w:p>
            <w:pPr>
              <w:pStyle w:val="TableContents"/>
              <w:bidi w:val="0"/>
              <w:spacing w:before="0" w:after="283"/>
              <w:jc w:val="left"/>
              <w:rPr/>
            </w:pPr>
            <w:r>
              <w:rPr/>
              <w:t> </w:t>
            </w:r>
          </w:p>
        </w:tc>
      </w:tr>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4" w:type="dxa"/>
            <w:tcBorders/>
            <w:vAlign w:val="center"/>
          </w:tcPr>
          <w:p>
            <w:pPr>
              <w:pStyle w:val="TableContents"/>
              <w:bidi w:val="0"/>
              <w:spacing w:before="0" w:after="283"/>
              <w:jc w:val="left"/>
              <w:rPr/>
            </w:pPr>
            <w:r>
              <w:rPr/>
              <w:t> </w:t>
            </w:r>
            <w:bookmarkStart w:id="149" w:name="xdx_40A_eus-gaap--RevenuesAbstract_iB_zA"/>
            <w:bookmarkEnd w:id="149"/>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0" w:name="xdx_40A_eus-gaap--PremiumsEarnedNet_i01_"/>
            <w:bookmarkEnd w:id="150"/>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premiums and other considerations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28,704,662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30,185,854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57,559,916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59,965,379</w:t>
            </w:r>
          </w:p>
        </w:tc>
        <w:tc>
          <w:tcPr>
            <w:tcW w:w="114" w:type="dxa"/>
            <w:tcBorders/>
            <w:shd w:fill="FFFFFF" w:val="clear"/>
            <w:vAlign w:val="center"/>
          </w:tcPr>
          <w:p>
            <w:pPr>
              <w:pStyle w:val="TableContents"/>
              <w:bidi w:val="0"/>
              <w:spacing w:before="0" w:after="283"/>
              <w:jc w:val="left"/>
              <w:rPr/>
            </w:pPr>
            <w:r>
              <w:rPr/>
              <w:t> </w:t>
            </w:r>
            <w:bookmarkStart w:id="151" w:name="xdx_405_ecustom--MortgageFeeIncome_i01_m"/>
            <w:bookmarkEnd w:id="151"/>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fee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25,797,533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29,485,104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49,287,192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54,294,345</w:t>
            </w:r>
          </w:p>
        </w:tc>
        <w:tc>
          <w:tcPr>
            <w:tcW w:w="114" w:type="dxa"/>
            <w:tcBorders/>
            <w:shd w:fill="CCEEFF" w:val="clear"/>
            <w:vAlign w:val="center"/>
          </w:tcPr>
          <w:p>
            <w:pPr>
              <w:pStyle w:val="TableContents"/>
              <w:bidi w:val="0"/>
              <w:spacing w:before="0" w:after="283"/>
              <w:jc w:val="left"/>
              <w:rPr/>
            </w:pPr>
            <w:r>
              <w:rPr/>
              <w:t> </w:t>
            </w:r>
            <w:bookmarkStart w:id="152" w:name="xdx_40D_eus-gaap--NetInvestmentIncome_i0"/>
            <w:bookmarkEnd w:id="152"/>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16,428,901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20,580,988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34,930,249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39,783,612</w:t>
            </w:r>
          </w:p>
        </w:tc>
        <w:tc>
          <w:tcPr>
            <w:tcW w:w="114" w:type="dxa"/>
            <w:tcBorders/>
            <w:shd w:fill="FFFFFF" w:val="clear"/>
            <w:vAlign w:val="center"/>
          </w:tcPr>
          <w:p>
            <w:pPr>
              <w:pStyle w:val="TableContents"/>
              <w:bidi w:val="0"/>
              <w:spacing w:before="0" w:after="283"/>
              <w:jc w:val="left"/>
              <w:rPr/>
            </w:pPr>
            <w:r>
              <w:rPr/>
              <w:t> </w:t>
            </w:r>
            <w:bookmarkStart w:id="153" w:name="xdx_40C_ecustom--NetFuneralHomeAndCemete"/>
            <w:bookmarkEnd w:id="153"/>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funeral home and cemetery sales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7,599,588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14,557,938</w:t>
            </w:r>
          </w:p>
        </w:tc>
        <w:tc>
          <w:tcPr>
            <w:tcW w:w="114" w:type="dxa"/>
            <w:tcBorders/>
            <w:shd w:fill="CCEEFF" w:val="clear"/>
            <w:vAlign w:val="center"/>
          </w:tcPr>
          <w:p>
            <w:pPr>
              <w:pStyle w:val="TableContents"/>
              <w:bidi w:val="0"/>
              <w:spacing w:before="0" w:after="283"/>
              <w:jc w:val="left"/>
              <w:rPr/>
            </w:pPr>
            <w:r>
              <w:rPr/>
              <w:t> </w:t>
            </w:r>
            <w:bookmarkStart w:id="154" w:name="xdx_404_eus-gaap--GainLossOnInvestments_"/>
            <w:bookmarkEnd w:id="154"/>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Gains on investments and other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4,580,323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1,728,728</w:t>
            </w:r>
          </w:p>
        </w:tc>
        <w:tc>
          <w:tcPr>
            <w:tcW w:w="114" w:type="dxa"/>
            <w:tcBorders/>
            <w:shd w:fill="FFFFFF" w:val="clear"/>
            <w:vAlign w:val="center"/>
          </w:tcPr>
          <w:p>
            <w:pPr>
              <w:pStyle w:val="TableContents"/>
              <w:bidi w:val="0"/>
              <w:spacing w:before="0" w:after="283"/>
              <w:jc w:val="left"/>
              <w:rPr/>
            </w:pPr>
            <w:r>
              <w:rPr/>
              <w:t> </w:t>
            </w:r>
            <w:bookmarkStart w:id="155" w:name="xdx_404_eus-gaap--OtherIncome_i01_maCzgo"/>
            <w:bookmarkEnd w:id="155"/>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815,041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1,950,870</w:t>
            </w:r>
          </w:p>
        </w:tc>
        <w:tc>
          <w:tcPr>
            <w:tcW w:w="114" w:type="dxa"/>
            <w:tcBorders/>
            <w:shd w:fill="CCEEFF" w:val="clear"/>
            <w:vAlign w:val="center"/>
          </w:tcPr>
          <w:p>
            <w:pPr>
              <w:pStyle w:val="TableContents"/>
              <w:bidi w:val="0"/>
              <w:spacing w:before="0" w:after="283"/>
              <w:jc w:val="left"/>
              <w:rPr/>
            </w:pPr>
            <w:r>
              <w:rPr/>
              <w:t> </w:t>
            </w:r>
            <w:bookmarkStart w:id="156" w:name="xdx_402_eus-gaap--Revenues_i01T_mtCzgoy_"/>
            <w:bookmarkEnd w:id="156"/>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83,926,048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89,541,149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163,654,828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172,280,872</w:t>
            </w:r>
          </w:p>
        </w:tc>
        <w:tc>
          <w:tcPr>
            <w:tcW w:w="114"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7" w:name="xdx_409_eus-gaap--BenefitsLossesAndExpen"/>
            <w:bookmarkEnd w:id="157"/>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Benefits and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8" w:name="xdx_409_eus-gaap--PolicyholderBenefitsAn"/>
            <w:bookmarkEnd w:id="158"/>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Policyholder benefits and claims (including the impact of assumption updates to the liability for future policy benefits of </w:t>
            </w:r>
            <w:bookmarkStart w:id="159" w:name="xdx_906_eus-gaap--LiabilityForFuturePoli"/>
            <w:bookmarkStart w:id="160" w:name="xdx_906_eus-gaap--LiabilityForFuturePoli"/>
            <w:bookmarkEnd w:id="159"/>
            <w:bookmarkEnd w:id="160"/>
            <w:r>
              <w:rPr>
                <w:rFonts w:ascii="Times New Roman;Times;Serif" w:hAnsi="Times New Roman;Times;Serif"/>
              </w:rPr>
              <w:t xml:space="preserve">nil and </w:t>
            </w:r>
            <w:bookmarkStart w:id="161" w:name="xdx_90B_eus-gaap--LiabilityForFuturePoli"/>
            <w:bookmarkStart w:id="162" w:name="xdx_907_eus-gaap--LiabilityForFuturePoli"/>
            <w:bookmarkEnd w:id="161"/>
            <w:bookmarkEnd w:id="162"/>
            <w:r>
              <w:rPr>
                <w:rFonts w:ascii="Times New Roman;Times;Serif" w:hAnsi="Times New Roman;Times;Serif"/>
              </w:rPr>
              <w:t>nil for the three and six months ended June 30, 2026 and 2025,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24,317,248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25,515,540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48,856,645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50,970,714</w:t>
            </w:r>
          </w:p>
        </w:tc>
        <w:tc>
          <w:tcPr>
            <w:tcW w:w="114" w:type="dxa"/>
            <w:tcBorders/>
            <w:shd w:fill="CCEEFF" w:val="clear"/>
            <w:vAlign w:val="center"/>
          </w:tcPr>
          <w:p>
            <w:pPr>
              <w:pStyle w:val="TableContents"/>
              <w:bidi w:val="0"/>
              <w:spacing w:before="0" w:after="283"/>
              <w:jc w:val="left"/>
              <w:rPr/>
            </w:pPr>
            <w:r>
              <w:rPr/>
              <w:t> </w:t>
            </w:r>
            <w:bookmarkStart w:id="163" w:name="xdx_40A_eus-gaap--DeferredPolicyAcquisit"/>
            <w:bookmarkEnd w:id="163"/>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deferred policy and pre-need acquisition costs and value of business acquired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2,937,896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5,670,506</w:t>
            </w:r>
          </w:p>
        </w:tc>
        <w:tc>
          <w:tcPr>
            <w:tcW w:w="114" w:type="dxa"/>
            <w:tcBorders/>
            <w:shd w:fill="FFFFFF" w:val="clear"/>
            <w:vAlign w:val="center"/>
          </w:tcPr>
          <w:p>
            <w:pPr>
              <w:pStyle w:val="TableContents"/>
              <w:bidi w:val="0"/>
              <w:spacing w:before="0" w:after="283"/>
              <w:jc w:val="left"/>
              <w:rPr/>
            </w:pPr>
            <w:r>
              <w:rPr/>
              <w:t> </w:t>
            </w:r>
            <w:bookmarkStart w:id="164" w:name="xdx_40E_eus-gaap--SellingGeneralAndAdmin"/>
            <w:bookmarkEnd w:id="164"/>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5" w:name="xdx_409_eus-gaap--SalesCommissionsAndFee"/>
            <w:bookmarkEnd w:id="165"/>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10,316,926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13,465,338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19,110,786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23,903,719</w:t>
            </w:r>
          </w:p>
        </w:tc>
        <w:tc>
          <w:tcPr>
            <w:tcW w:w="114" w:type="dxa"/>
            <w:tcBorders/>
            <w:shd w:fill="FFFFFF" w:val="clear"/>
            <w:vAlign w:val="center"/>
          </w:tcPr>
          <w:p>
            <w:pPr>
              <w:pStyle w:val="TableContents"/>
              <w:bidi w:val="0"/>
              <w:spacing w:before="0" w:after="283"/>
              <w:jc w:val="left"/>
              <w:rPr/>
            </w:pPr>
            <w:r>
              <w:rPr/>
              <w:t> </w:t>
            </w:r>
            <w:bookmarkStart w:id="166" w:name="xdx_40F_eus-gaap--SalariesWagesAndOffice"/>
            <w:bookmarkEnd w:id="166"/>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20,505,977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22,171,345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41,107,613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44,353,753</w:t>
            </w:r>
          </w:p>
        </w:tc>
        <w:tc>
          <w:tcPr>
            <w:tcW w:w="114" w:type="dxa"/>
            <w:tcBorders/>
            <w:shd w:fill="CCEEFF" w:val="clear"/>
            <w:vAlign w:val="center"/>
          </w:tcPr>
          <w:p>
            <w:pPr>
              <w:pStyle w:val="TableContents"/>
              <w:bidi w:val="0"/>
              <w:spacing w:before="0" w:after="283"/>
              <w:jc w:val="left"/>
              <w:rPr/>
            </w:pPr>
            <w:r>
              <w:rPr/>
              <w:t> </w:t>
            </w:r>
            <w:bookmarkStart w:id="167" w:name="xdx_40A_eus-gaap--AdvertisingExpense_i02"/>
            <w:bookmarkEnd w:id="167"/>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Advertising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730,345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1,764,393</w:t>
            </w:r>
          </w:p>
        </w:tc>
        <w:tc>
          <w:tcPr>
            <w:tcW w:w="114" w:type="dxa"/>
            <w:tcBorders/>
            <w:shd w:fill="FFFFFF" w:val="clear"/>
            <w:vAlign w:val="center"/>
          </w:tcPr>
          <w:p>
            <w:pPr>
              <w:pStyle w:val="TableContents"/>
              <w:bidi w:val="0"/>
              <w:spacing w:before="0" w:after="283"/>
              <w:jc w:val="left"/>
              <w:rPr/>
            </w:pPr>
            <w:r>
              <w:rPr/>
              <w:t> </w:t>
            </w:r>
            <w:bookmarkStart w:id="168" w:name="xdx_407_ecustom--RentAndRentRelated_i02_"/>
            <w:bookmarkEnd w:id="168"/>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Rent and rent related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786,406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1,925,750</w:t>
            </w:r>
          </w:p>
        </w:tc>
        <w:tc>
          <w:tcPr>
            <w:tcW w:w="114" w:type="dxa"/>
            <w:tcBorders/>
            <w:shd w:fill="CCEEFF" w:val="clear"/>
            <w:vAlign w:val="center"/>
          </w:tcPr>
          <w:p>
            <w:pPr>
              <w:pStyle w:val="TableContents"/>
              <w:bidi w:val="0"/>
              <w:spacing w:before="0" w:after="283"/>
              <w:jc w:val="left"/>
              <w:rPr/>
            </w:pPr>
            <w:r>
              <w:rPr/>
              <w:t> </w:t>
            </w:r>
            <w:bookmarkStart w:id="169" w:name="xdx_40D_ecustom--DepreciationOnPropertyA"/>
            <w:bookmarkEnd w:id="169"/>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on property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587,485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1,214,153</w:t>
            </w:r>
          </w:p>
        </w:tc>
        <w:tc>
          <w:tcPr>
            <w:tcW w:w="114" w:type="dxa"/>
            <w:tcBorders/>
            <w:shd w:fill="FFFFFF" w:val="clear"/>
            <w:vAlign w:val="center"/>
          </w:tcPr>
          <w:p>
            <w:pPr>
              <w:pStyle w:val="TableContents"/>
              <w:bidi w:val="0"/>
              <w:spacing w:before="0" w:after="283"/>
              <w:jc w:val="left"/>
              <w:rPr/>
            </w:pPr>
            <w:r>
              <w:rPr/>
              <w:t> </w:t>
            </w:r>
            <w:bookmarkStart w:id="170" w:name="xdx_407_ecustom--CostOfFundingMortgageLo"/>
            <w:bookmarkEnd w:id="170"/>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 related to funding mortgage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1,610,111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3,284,088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3,307,041</w:t>
            </w:r>
          </w:p>
        </w:tc>
        <w:tc>
          <w:tcPr>
            <w:tcW w:w="114" w:type="dxa"/>
            <w:tcBorders/>
            <w:shd w:fill="CCEEFF" w:val="clear"/>
            <w:vAlign w:val="center"/>
          </w:tcPr>
          <w:p>
            <w:pPr>
              <w:pStyle w:val="TableContents"/>
              <w:bidi w:val="0"/>
              <w:spacing w:before="0" w:after="283"/>
              <w:jc w:val="left"/>
              <w:rPr/>
            </w:pPr>
            <w:r>
              <w:rPr/>
              <w:t> </w:t>
            </w:r>
            <w:bookmarkStart w:id="171" w:name="xdx_40A_eus-gaap--OtherExpenses_i02_maCz"/>
            <w:bookmarkEnd w:id="171"/>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8,192,720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7,955,635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15,911,916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15,356,322</w:t>
            </w:r>
          </w:p>
        </w:tc>
        <w:tc>
          <w:tcPr>
            <w:tcW w:w="114" w:type="dxa"/>
            <w:tcBorders/>
            <w:shd w:fill="FFFFFF" w:val="clear"/>
            <w:vAlign w:val="center"/>
          </w:tcPr>
          <w:p>
            <w:pPr>
              <w:pStyle w:val="TableContents"/>
              <w:bidi w:val="0"/>
              <w:spacing w:before="0" w:after="283"/>
              <w:jc w:val="left"/>
              <w:rPr/>
            </w:pPr>
            <w:r>
              <w:rPr/>
              <w:t> </w:t>
            </w:r>
            <w:bookmarkStart w:id="172" w:name="xdx_40A_eus-gaap--InterestExpense_i01_ma"/>
            <w:bookmarkEnd w:id="172"/>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1,104,549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2,412,966</w:t>
            </w:r>
          </w:p>
        </w:tc>
        <w:tc>
          <w:tcPr>
            <w:tcW w:w="114" w:type="dxa"/>
            <w:tcBorders/>
            <w:shd w:fill="CCEEFF" w:val="clear"/>
            <w:vAlign w:val="center"/>
          </w:tcPr>
          <w:p>
            <w:pPr>
              <w:pStyle w:val="TableContents"/>
              <w:bidi w:val="0"/>
              <w:spacing w:before="0" w:after="283"/>
              <w:jc w:val="left"/>
              <w:rPr/>
            </w:pPr>
            <w:r>
              <w:rPr/>
              <w:t> </w:t>
            </w:r>
            <w:bookmarkStart w:id="173" w:name="xdx_404_eus-gaap--CostOfGoodsAndServices"/>
            <w:bookmarkEnd w:id="173"/>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and services sold-funeral home and cemetery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1,177,676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2,411,125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2,412,553</w:t>
            </w:r>
          </w:p>
        </w:tc>
        <w:tc>
          <w:tcPr>
            <w:tcW w:w="114" w:type="dxa"/>
            <w:tcBorders/>
            <w:shd w:fill="FFFFFF" w:val="clear"/>
            <w:vAlign w:val="center"/>
          </w:tcPr>
          <w:p>
            <w:pPr>
              <w:pStyle w:val="TableContents"/>
              <w:bidi w:val="0"/>
              <w:spacing w:before="0" w:after="283"/>
              <w:jc w:val="left"/>
              <w:rPr/>
            </w:pPr>
            <w:r>
              <w:rPr/>
              <w:t> </w:t>
            </w:r>
            <w:bookmarkStart w:id="174" w:name="xdx_407_eus-gaap--BenefitsLossesAndExpen"/>
            <w:bookmarkEnd w:id="174"/>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benefits and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72,267,339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142,943,801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153,291,870</w:t>
            </w:r>
          </w:p>
        </w:tc>
        <w:tc>
          <w:tcPr>
            <w:tcW w:w="114" w:type="dxa"/>
            <w:tcBorders/>
            <w:shd w:fill="CCEEFF" w:val="clear"/>
            <w:vAlign w:val="center"/>
          </w:tcPr>
          <w:p>
            <w:pPr>
              <w:pStyle w:val="TableContents"/>
              <w:bidi w:val="0"/>
              <w:spacing w:before="0" w:after="283"/>
              <w:jc w:val="left"/>
              <w:rPr/>
            </w:pPr>
            <w:r>
              <w:rPr/>
              <w:t> </w:t>
            </w:r>
            <w:bookmarkStart w:id="175" w:name="xdx_408_eus-gaap--IncomeLossFromContinui"/>
            <w:bookmarkEnd w:id="175"/>
          </w:p>
        </w:tc>
      </w:tr>
      <w:tr>
        <w:trPr/>
        <w:tc>
          <w:tcPr>
            <w:tcW w:w="433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11,658,709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10,738,669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20,711,027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18,989,002</w:t>
            </w:r>
          </w:p>
        </w:tc>
        <w:tc>
          <w:tcPr>
            <w:tcW w:w="114" w:type="dxa"/>
            <w:tcBorders/>
            <w:shd w:fill="FFFFFF" w:val="clear"/>
            <w:vAlign w:val="center"/>
          </w:tcPr>
          <w:p>
            <w:pPr>
              <w:pStyle w:val="TableContents"/>
              <w:bidi w:val="0"/>
              <w:spacing w:before="0" w:after="283"/>
              <w:jc w:val="left"/>
              <w:rPr/>
            </w:pPr>
            <w:r>
              <w:rPr/>
              <w:t> </w:t>
            </w:r>
            <w:bookmarkStart w:id="176" w:name="xdx_40A_eus-gaap--IncomeTaxExpenseBenefi"/>
            <w:bookmarkEnd w:id="176"/>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(2,677,012</w:t>
            </w:r>
          </w:p>
        </w:tc>
        <w:tc>
          <w:tcPr>
            <w:tcW w:w="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(2,367,914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(4,727,904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(4,204,512</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7" w:name="xdx_400_eus-gaap--NetIncomeLoss_iT_mtCz1"/>
            <w:bookmarkEnd w:id="177"/>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8,981,697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14,784,490</w:t>
            </w:r>
          </w:p>
        </w:tc>
        <w:tc>
          <w:tcPr>
            <w:tcW w:w="11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8" w:name="xdx_40D_eus-gaap--EarningsPerShareBasic_"/>
            <w:bookmarkEnd w:id="178"/>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Net earnings per Class A Equivalent common share </w:t>
            </w:r>
            <w:bookmarkStart w:id="179" w:name="xdx_F4C_zXGzAahcnVkh"/>
            <w:bookmarkEnd w:id="179"/>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0" w:name="xdx_408_eus-gaap--EarningsPerShareDilute"/>
            <w:bookmarkEnd w:id="180"/>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Net earnings per Class A Equivalent common share-assuming dilution </w:t>
            </w:r>
            <w:bookmarkStart w:id="181" w:name="xdx_F45_zSzqjZGub8I2"/>
            <w:bookmarkEnd w:id="181"/>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11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2" w:name="xdx_405_eus-gaap--WeightedAverageNumberO"/>
            <w:bookmarkEnd w:id="182"/>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Weighted-average Class A equivalent common shares outstanding </w:t>
            </w:r>
            <w:bookmarkStart w:id="183" w:name="xdx_F4E_zAUo1bgxegrj"/>
            <w:bookmarkEnd w:id="183"/>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26,040,005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26,007,334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26,049,116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25,973,466</w:t>
            </w:r>
          </w:p>
        </w:tc>
        <w:tc>
          <w:tcPr>
            <w:tcW w:w="11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4" w:name="xdx_401_eus-gaap--WeightedAverageNumberO"/>
            <w:bookmarkEnd w:id="184"/>
          </w:p>
        </w:tc>
      </w:tr>
      <w:tr>
        <w:trPr/>
        <w:tc>
          <w:tcPr>
            <w:tcW w:w="4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Weighted-average Class A equivalent common shares outstanding-assuming dilution </w:t>
            </w:r>
            <w:bookmarkStart w:id="185" w:name="xdx_F45_zrpVGUfOVah8"/>
            <w:bookmarkEnd w:id="185"/>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26,892,689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26,806,867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26,838,648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26,907,436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right"/>
              <w:rPr>
                <w:rFonts w:ascii="Times New Roman;Times;Serif" w:hAnsi="Times New Roman;Times;Serif"/>
                <w:sz w:val="20"/>
              </w:rPr>
            </w:pPr>
            <w:bookmarkStart w:id="186" w:name="xdx_F05_zJE7MlOC4wE7"/>
            <w:bookmarkEnd w:id="186"/>
            <w:r>
              <w:rPr>
                <w:rFonts w:ascii="Times New Roman;Times;Serif" w:hAnsi="Times New Roman;Times;Serif"/>
                <w:sz w:val="20"/>
              </w:rPr>
              <w:t>(1)</w:t>
            </w:r>
          </w:p>
        </w:tc>
        <w:tc>
          <w:tcPr>
            <w:tcW w:w="9989" w:type="dxa"/>
            <w:tcBorders/>
            <w:vAlign w:val="center"/>
          </w:tcPr>
          <w:p>
            <w:pPr>
              <w:pStyle w:val="TableContents"/>
              <w:bidi w:val="0"/>
              <w:spacing w:before="0" w:after="283"/>
              <w:jc w:val="both"/>
              <w:rPr>
                <w:rFonts w:ascii="Times New Roman;Times;Serif" w:hAnsi="Times New Roman;Times;Serif"/>
                <w:sz w:val="20"/>
              </w:rPr>
            </w:pPr>
            <w:bookmarkStart w:id="187" w:name="xdx_F1F_z0vf5UMsncl8"/>
            <w:bookmarkEnd w:id="187"/>
            <w:r>
              <w:rPr>
                <w:rFonts w:ascii="Times New Roman;Times;Serif" w:hAnsi="Times New Roman;Times;Serif"/>
                <w:sz w:val="20"/>
              </w:rPr>
              <w:t>Net earnings per share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88" w:name="TM_005"/>
      <w:bookmarkEnd w:id="188"/>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COMPREHENSIVE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9" w:name="xdx_30C_113_zJbM030gP8Z7"/>
      <w:bookmarkStart w:id="190" w:name="xdx_30C_113_zJbM030gP8Z7"/>
      <w:bookmarkEnd w:id="190"/>
    </w:p>
    <w:tbl>
      <w:tblPr>
        <w:tblW w:w="10205" w:type="dxa"/>
        <w:jc w:val="left"/>
        <w:tblInd w:w="0" w:type="dxa"/>
        <w:tblLayout w:type="fixed"/>
        <w:tblCellMar>
          <w:top w:w="0" w:type="dxa"/>
          <w:left w:w="0" w:type="dxa"/>
          <w:bottom w:w="0" w:type="dxa"/>
          <w:right w:w="0" w:type="dxa"/>
        </w:tblCellMar>
      </w:tblPr>
      <w:tblGrid>
        <w:gridCol w:w="4444"/>
        <w:gridCol w:w="60"/>
        <w:gridCol w:w="149"/>
        <w:gridCol w:w="1130"/>
        <w:gridCol w:w="101"/>
        <w:gridCol w:w="64"/>
        <w:gridCol w:w="149"/>
        <w:gridCol w:w="1130"/>
        <w:gridCol w:w="95"/>
        <w:gridCol w:w="60"/>
        <w:gridCol w:w="140"/>
        <w:gridCol w:w="1100"/>
        <w:gridCol w:w="95"/>
        <w:gridCol w:w="60"/>
        <w:gridCol w:w="140"/>
        <w:gridCol w:w="1175"/>
        <w:gridCol w:w="113"/>
      </w:tblGrid>
      <w:tr>
        <w:trPr/>
        <w:tc>
          <w:tcPr>
            <w:tcW w:w="4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9C_20260401__20260630_zq0WxRYV4X5j"/>
            <w:bookmarkEnd w:id="191"/>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92" w:name="xdx_49F_20250401__20250630_zjyrfWmsN0qf"/>
            <w:bookmarkEnd w:id="192"/>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9D_20260101__20260630_zTK25fwLRVah"/>
            <w:bookmarkEnd w:id="193"/>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4" w:name="xdx_497_20250101__20250630_zbH94iL31YPh"/>
            <w:bookmarkEnd w:id="194"/>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3" w:type="dxa"/>
            <w:tcBorders/>
            <w:vAlign w:val="center"/>
          </w:tcPr>
          <w:p>
            <w:pPr>
              <w:pStyle w:val="TableContents"/>
              <w:bidi w:val="0"/>
              <w:spacing w:before="0" w:after="283"/>
              <w:jc w:val="left"/>
              <w:rPr/>
            </w:pPr>
            <w:r>
              <w:rPr/>
              <w:t> </w:t>
            </w:r>
          </w:p>
        </w:tc>
      </w:tr>
      <w:tr>
        <w:trPr/>
        <w:tc>
          <w:tcPr>
            <w:tcW w:w="4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3" w:type="dxa"/>
            <w:tcBorders/>
            <w:vAlign w:val="center"/>
          </w:tcPr>
          <w:p>
            <w:pPr>
              <w:pStyle w:val="TableContents"/>
              <w:bidi w:val="0"/>
              <w:spacing w:before="0" w:after="283"/>
              <w:jc w:val="left"/>
              <w:rPr/>
            </w:pPr>
            <w:r>
              <w:rPr/>
              <w:t> </w:t>
            </w:r>
          </w:p>
        </w:tc>
      </w:tr>
      <w:tr>
        <w:trPr/>
        <w:tc>
          <w:tcPr>
            <w:tcW w:w="4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3" w:type="dxa"/>
            <w:tcBorders/>
            <w:vAlign w:val="center"/>
          </w:tcPr>
          <w:p>
            <w:pPr>
              <w:pStyle w:val="TableContents"/>
              <w:bidi w:val="0"/>
              <w:spacing w:before="0" w:after="283"/>
              <w:jc w:val="left"/>
              <w:rPr/>
            </w:pPr>
            <w:r>
              <w:rPr/>
              <w:t> </w:t>
            </w:r>
            <w:bookmarkStart w:id="195" w:name="xdx_404_eus-gaap--NetIncomeLoss_maCzVh0_"/>
            <w:bookmarkEnd w:id="195"/>
          </w:p>
        </w:tc>
      </w:tr>
      <w:tr>
        <w:trPr/>
        <w:tc>
          <w:tcPr>
            <w:tcW w:w="44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8,981,697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14,784,490</w:t>
            </w:r>
          </w:p>
        </w:tc>
        <w:tc>
          <w:tcPr>
            <w:tcW w:w="113" w:type="dxa"/>
            <w:tcBorders/>
            <w:shd w:fill="CCEEFF" w:val="clear"/>
            <w:vAlign w:val="center"/>
          </w:tcPr>
          <w:p>
            <w:pPr>
              <w:pStyle w:val="TableContents"/>
              <w:bidi w:val="0"/>
              <w:spacing w:before="0" w:after="283"/>
              <w:jc w:val="left"/>
              <w:rPr/>
            </w:pPr>
            <w:r>
              <w:rPr/>
              <w:t> </w:t>
            </w:r>
            <w:bookmarkStart w:id="196" w:name="xdx_402_eus-gaap--OtherComprehensiveInco"/>
            <w:bookmarkEnd w:id="196"/>
          </w:p>
        </w:tc>
      </w:tr>
      <w:tr>
        <w:trPr/>
        <w:tc>
          <w:tcPr>
            <w:tcW w:w="44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7" w:name="xdx_40C_eus-gaap--OtherComprehensiveInco"/>
            <w:bookmarkEnd w:id="197"/>
          </w:p>
        </w:tc>
      </w:tr>
      <w:tr>
        <w:trPr/>
        <w:tc>
          <w:tcPr>
            <w:tcW w:w="44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gains (losses) on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(473,827</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2,772,234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6,633,491</w:t>
            </w:r>
          </w:p>
        </w:tc>
        <w:tc>
          <w:tcPr>
            <w:tcW w:w="113" w:type="dxa"/>
            <w:tcBorders/>
            <w:shd w:fill="CCEEFF" w:val="clear"/>
            <w:vAlign w:val="center"/>
          </w:tcPr>
          <w:p>
            <w:pPr>
              <w:pStyle w:val="TableContents"/>
              <w:bidi w:val="0"/>
              <w:spacing w:before="0" w:after="283"/>
              <w:jc w:val="left"/>
              <w:rPr/>
            </w:pPr>
            <w:r>
              <w:rPr/>
              <w:t> </w:t>
            </w:r>
            <w:bookmarkStart w:id="198" w:name="xdx_409_ecustom--OtherComprehensiveIncom"/>
            <w:bookmarkEnd w:id="198"/>
          </w:p>
        </w:tc>
      </w:tr>
      <w:tr>
        <w:trPr/>
        <w:tc>
          <w:tcPr>
            <w:tcW w:w="44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Unrealized gains (losses) on restricted assets </w:t>
            </w:r>
            <w:bookmarkStart w:id="199" w:name="xdx_F45_z8N1JSuwMsZh"/>
            <w:bookmarkEnd w:id="199"/>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 w:name="xdx_409_ecustom--OtherComprehensiveIncom"/>
            <w:bookmarkEnd w:id="200"/>
          </w:p>
        </w:tc>
      </w:tr>
      <w:tr>
        <w:trPr/>
        <w:tc>
          <w:tcPr>
            <w:tcW w:w="44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Unrealized gains (losses) on cemetery perpetual care trust investments </w:t>
            </w:r>
            <w:bookmarkStart w:id="201" w:name="xdx_F46_zlmJkROZrasg"/>
            <w:bookmarkEnd w:id="201"/>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w:t>
            </w:r>
          </w:p>
        </w:tc>
        <w:tc>
          <w:tcPr>
            <w:tcW w:w="113" w:type="dxa"/>
            <w:tcBorders/>
            <w:shd w:fill="CCEEFF" w:val="clear"/>
            <w:vAlign w:val="center"/>
          </w:tcPr>
          <w:p>
            <w:pPr>
              <w:pStyle w:val="TableContents"/>
              <w:bidi w:val="0"/>
              <w:spacing w:before="0" w:after="283"/>
              <w:jc w:val="left"/>
              <w:rPr/>
            </w:pPr>
            <w:r>
              <w:rPr/>
              <w:t> </w:t>
            </w:r>
            <w:bookmarkStart w:id="202" w:name="xdx_400_eus-gaap--OciLiabilityForFutureP"/>
            <w:bookmarkEnd w:id="202"/>
          </w:p>
        </w:tc>
      </w:tr>
      <w:tr>
        <w:trPr/>
        <w:tc>
          <w:tcPr>
            <w:tcW w:w="44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 remeasurement of future policy benefits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(1,632,362</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(2,038,836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12,903,719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(10,161,681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A_eus-gaap--OtherComprehensiveInco"/>
            <w:bookmarkEnd w:id="203"/>
          </w:p>
        </w:tc>
      </w:tr>
      <w:tr>
        <w:trPr/>
        <w:tc>
          <w:tcPr>
            <w:tcW w:w="44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 before income tax</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(2,105,208</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8,111,587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(3,527,057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5_eus-gaap--OtherComprehensiveInco"/>
            <w:bookmarkEnd w:id="204"/>
          </w:p>
        </w:tc>
      </w:tr>
      <w:tr>
        <w:trPr/>
        <w:tc>
          <w:tcPr>
            <w:tcW w:w="44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443,850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(1,699,006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740,152</w:t>
            </w:r>
          </w:p>
        </w:tc>
        <w:tc>
          <w:tcPr>
            <w:tcW w:w="113" w:type="dxa"/>
            <w:tcBorders/>
            <w:shd w:fill="FFFFFF" w:val="clear"/>
            <w:vAlign w:val="center"/>
          </w:tcPr>
          <w:p>
            <w:pPr>
              <w:pStyle w:val="TableContents"/>
              <w:bidi w:val="0"/>
              <w:spacing w:before="0" w:after="283"/>
              <w:jc w:val="left"/>
              <w:rPr/>
            </w:pPr>
            <w:r>
              <w:rPr/>
              <w:t> </w:t>
            </w:r>
            <w:bookmarkStart w:id="205" w:name="xdx_40D_eus-gaap--OtherComprehensiveInco"/>
            <w:bookmarkEnd w:id="205"/>
          </w:p>
        </w:tc>
      </w:tr>
      <w:tr>
        <w:trPr/>
        <w:tc>
          <w:tcPr>
            <w:tcW w:w="444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comprehensive income (loss), net of income tax</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(1,661,358</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(2,786,905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 w:name="xdx_405_eus-gaap--ComprehensiveIncomeNet"/>
            <w:bookmarkEnd w:id="206"/>
          </w:p>
        </w:tc>
      </w:tr>
      <w:tr>
        <w:trPr/>
        <w:tc>
          <w:tcPr>
            <w:tcW w:w="44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7,320,339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8,945,987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22,395,704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11,997,585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3700" w:type="dxa"/>
        <w:jc w:val="left"/>
        <w:tblInd w:w="0" w:type="dxa"/>
        <w:tblLayout w:type="fixed"/>
        <w:tblCellMar>
          <w:top w:w="0" w:type="dxa"/>
          <w:left w:w="0" w:type="dxa"/>
          <w:bottom w:w="0" w:type="dxa"/>
          <w:right w:w="0" w:type="dxa"/>
        </w:tblCellMar>
      </w:tblPr>
      <w:tblGrid>
        <w:gridCol w:w="245"/>
        <w:gridCol w:w="3455"/>
      </w:tblGrid>
      <w:tr>
        <w:trPr/>
        <w:tc>
          <w:tcPr>
            <w:tcW w:w="245" w:type="dxa"/>
            <w:tcBorders/>
            <w:vAlign w:val="center"/>
          </w:tcPr>
          <w:p>
            <w:pPr>
              <w:pStyle w:val="TableContents"/>
              <w:bidi w:val="0"/>
              <w:spacing w:before="0" w:after="283"/>
              <w:jc w:val="left"/>
              <w:rPr>
                <w:rFonts w:ascii="Times New Roman;Times;Serif" w:hAnsi="Times New Roman;Times;Serif"/>
                <w:sz w:val="20"/>
              </w:rPr>
            </w:pPr>
            <w:bookmarkStart w:id="207" w:name="xdx_F0F_z5rvASpcENq"/>
            <w:bookmarkEnd w:id="207"/>
            <w:r>
              <w:rPr>
                <w:rFonts w:ascii="Times New Roman;Times;Serif" w:hAnsi="Times New Roman;Times;Serif"/>
                <w:sz w:val="20"/>
              </w:rPr>
              <w:t>(1)</w:t>
            </w:r>
          </w:p>
        </w:tc>
        <w:tc>
          <w:tcPr>
            <w:tcW w:w="3455" w:type="dxa"/>
            <w:tcBorders/>
            <w:vAlign w:val="center"/>
          </w:tcPr>
          <w:p>
            <w:pPr>
              <w:pStyle w:val="TableContents"/>
              <w:bidi w:val="0"/>
              <w:spacing w:before="0" w:after="283"/>
              <w:jc w:val="left"/>
              <w:rPr>
                <w:rFonts w:ascii="Times New Roman;Times;Serif" w:hAnsi="Times New Roman;Times;Serif"/>
                <w:sz w:val="20"/>
              </w:rPr>
            </w:pPr>
            <w:bookmarkStart w:id="208" w:name="xdx_F14_z6oyecWao0ug"/>
            <w:bookmarkEnd w:id="208"/>
            <w:r>
              <w:rPr>
                <w:rFonts w:ascii="Times New Roman;Times;Serif" w:hAnsi="Times New Roman;Times;Serif"/>
                <w:sz w:val="20"/>
              </w:rPr>
              <w:t>Fixed maturity securities available for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09" w:name="TM_006"/>
      <w:bookmarkEnd w:id="209"/>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0" w:name="xdx_30A_114_ztQEsRgMt2d1"/>
      <w:bookmarkStart w:id="211" w:name="xdx_30A_114_ztQEsRgMt2d1"/>
      <w:bookmarkEnd w:id="211"/>
    </w:p>
    <w:tbl>
      <w:tblPr>
        <w:tblW w:w="11665" w:type="dxa"/>
        <w:jc w:val="left"/>
        <w:tblInd w:w="0" w:type="dxa"/>
        <w:tblLayout w:type="fixed"/>
        <w:tblCellMar>
          <w:top w:w="0" w:type="dxa"/>
          <w:left w:w="0" w:type="dxa"/>
          <w:bottom w:w="0" w:type="dxa"/>
          <w:right w:w="0" w:type="dxa"/>
        </w:tblCellMar>
      </w:tblPr>
      <w:tblGrid>
        <w:gridCol w:w="1460"/>
        <w:gridCol w:w="60"/>
        <w:gridCol w:w="140"/>
        <w:gridCol w:w="1100"/>
        <w:gridCol w:w="60"/>
        <w:gridCol w:w="60"/>
        <w:gridCol w:w="140"/>
        <w:gridCol w:w="980"/>
        <w:gridCol w:w="95"/>
        <w:gridCol w:w="60"/>
        <w:gridCol w:w="140"/>
        <w:gridCol w:w="1220"/>
        <w:gridCol w:w="95"/>
        <w:gridCol w:w="60"/>
        <w:gridCol w:w="169"/>
        <w:gridCol w:w="1336"/>
        <w:gridCol w:w="95"/>
        <w:gridCol w:w="60"/>
        <w:gridCol w:w="140"/>
        <w:gridCol w:w="1220"/>
        <w:gridCol w:w="95"/>
        <w:gridCol w:w="60"/>
        <w:gridCol w:w="140"/>
        <w:gridCol w:w="1055"/>
        <w:gridCol w:w="95"/>
        <w:gridCol w:w="60"/>
        <w:gridCol w:w="140"/>
        <w:gridCol w:w="1220"/>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BC_us-gaap--StatementEquityComponen"/>
            <w:bookmarkEnd w:id="212"/>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3" w:name="xdx_4BF_us-gaap--StatementEquityComponen"/>
            <w:bookmarkEnd w:id="213"/>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 w:name="xdx_4B4_us-gaap--StatementEquityComponen"/>
            <w:bookmarkEnd w:id="214"/>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B7_us-gaap--StatementEquityComponen"/>
            <w:bookmarkEnd w:id="215"/>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B3_us-gaap--StatementEquityComponen"/>
            <w:bookmarkEnd w:id="216"/>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BE_us-gaap--StatementEquityComponen"/>
            <w:bookmarkEnd w:id="217"/>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BB_zLwQ2D1ddBla"/>
            <w:bookmarkEnd w:id="218"/>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2026</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A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C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Additional Paid-in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 Other Comprehensive 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19" w:name="xdx_435_c20260101__20260331_eus-gaap--St"/>
            <w:bookmarkEnd w:id="219"/>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7,174,474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89,867,763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248,795,475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(9,088,357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410,368,728</w:t>
            </w:r>
          </w:p>
        </w:tc>
        <w:tc>
          <w:tcPr>
            <w:tcW w:w="110" w:type="dxa"/>
            <w:tcBorders/>
            <w:shd w:fill="CCEEFF" w:val="clear"/>
            <w:vAlign w:val="center"/>
          </w:tcPr>
          <w:p>
            <w:pPr>
              <w:pStyle w:val="TableContents"/>
              <w:bidi w:val="0"/>
              <w:spacing w:before="0" w:after="283"/>
              <w:jc w:val="left"/>
              <w:rPr/>
            </w:pPr>
            <w:r>
              <w:rPr/>
              <w:t> </w:t>
            </w:r>
            <w:bookmarkStart w:id="220" w:name="xdx_403_eus-gaap--NetIncomeLoss_zx11U7sg"/>
            <w:bookmarkEnd w:id="22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7,001,426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7,001,426</w:t>
            </w:r>
          </w:p>
        </w:tc>
        <w:tc>
          <w:tcPr>
            <w:tcW w:w="110" w:type="dxa"/>
            <w:tcBorders/>
            <w:shd w:fill="FFFFFF" w:val="clear"/>
            <w:vAlign w:val="center"/>
          </w:tcPr>
          <w:p>
            <w:pPr>
              <w:pStyle w:val="TableContents"/>
              <w:bidi w:val="0"/>
              <w:spacing w:before="0" w:after="283"/>
              <w:jc w:val="left"/>
              <w:rPr/>
            </w:pPr>
            <w:r>
              <w:rPr/>
              <w:t> </w:t>
            </w:r>
            <w:bookmarkStart w:id="221" w:name="xdx_40C_eus-gaap--OtherComprehensiveInco"/>
            <w:bookmarkEnd w:id="22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8,073,939</w:t>
            </w:r>
          </w:p>
        </w:tc>
        <w:tc>
          <w:tcPr>
            <w:tcW w:w="110" w:type="dxa"/>
            <w:tcBorders/>
            <w:shd w:fill="CCEEFF" w:val="clear"/>
            <w:vAlign w:val="center"/>
          </w:tcPr>
          <w:p>
            <w:pPr>
              <w:pStyle w:val="TableContents"/>
              <w:bidi w:val="0"/>
              <w:spacing w:before="0" w:after="283"/>
              <w:jc w:val="left"/>
              <w:rPr/>
            </w:pPr>
            <w:r>
              <w:rPr/>
              <w:t> </w:t>
            </w:r>
            <w:bookmarkStart w:id="222" w:name="xdx_40E_eus-gaap--AdjustmentsToAdditiona"/>
            <w:bookmarkEnd w:id="22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469,131</w:t>
            </w:r>
          </w:p>
        </w:tc>
        <w:tc>
          <w:tcPr>
            <w:tcW w:w="110" w:type="dxa"/>
            <w:tcBorders/>
            <w:shd w:fill="FFFFFF" w:val="clear"/>
            <w:vAlign w:val="center"/>
          </w:tcPr>
          <w:p>
            <w:pPr>
              <w:pStyle w:val="TableContents"/>
              <w:bidi w:val="0"/>
              <w:spacing w:before="0" w:after="283"/>
              <w:jc w:val="left"/>
              <w:rPr/>
            </w:pPr>
            <w:r>
              <w:rPr/>
              <w:t> </w:t>
            </w:r>
            <w:bookmarkStart w:id="223" w:name="xdx_404_eus-gaap--StockIssuedDuringPerio"/>
            <w:bookmarkEnd w:id="223"/>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6,642</w:t>
            </w:r>
          </w:p>
        </w:tc>
        <w:tc>
          <w:tcPr>
            <w:tcW w:w="110" w:type="dxa"/>
            <w:tcBorders/>
            <w:shd w:fill="CCEEFF" w:val="clear"/>
            <w:vAlign w:val="center"/>
          </w:tcPr>
          <w:p>
            <w:pPr>
              <w:pStyle w:val="TableContents"/>
              <w:bidi w:val="0"/>
              <w:spacing w:before="0" w:after="283"/>
              <w:jc w:val="left"/>
              <w:rPr/>
            </w:pPr>
            <w:r>
              <w:rPr/>
              <w:t> </w:t>
            </w:r>
            <w:bookmarkStart w:id="224" w:name="xdx_40A_eus-gaap--StockIssuedDuringPerio"/>
            <w:bookmarkEnd w:id="224"/>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25" w:name="xdx_408_eus-gaap--StockIssuedDuringPerio"/>
            <w:bookmarkEnd w:id="225"/>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381,165</w:t>
            </w:r>
          </w:p>
        </w:tc>
        <w:tc>
          <w:tcPr>
            <w:tcW w:w="110" w:type="dxa"/>
            <w:tcBorders/>
            <w:shd w:fill="CCEEFF" w:val="clear"/>
            <w:vAlign w:val="center"/>
          </w:tcPr>
          <w:p>
            <w:pPr>
              <w:pStyle w:val="TableContents"/>
              <w:bidi w:val="0"/>
              <w:spacing w:before="0" w:after="283"/>
              <w:jc w:val="left"/>
              <w:rPr/>
            </w:pPr>
            <w:r>
              <w:rPr/>
              <w:t> </w:t>
            </w:r>
            <w:bookmarkStart w:id="226" w:name="xdx_409_eus-gaap--TreasuryStockValueAcqu"/>
            <w:bookmarkEnd w:id="226"/>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(785,521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(785,521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7" w:name="xdx_439_c20260401__20260630_eus-gaap--St"/>
            <w:bookmarkEnd w:id="227"/>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44,865,526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7,174,474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90,395,465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36,836,062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255,796,901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(9,552,918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425,515,510</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03_eus-gaap--NetIncomeLoss_z3HHnQOj"/>
            <w:bookmarkEnd w:id="22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8,981,697</w:t>
            </w:r>
          </w:p>
        </w:tc>
        <w:tc>
          <w:tcPr>
            <w:tcW w:w="110" w:type="dxa"/>
            <w:tcBorders/>
            <w:shd w:fill="CCEEFF" w:val="clear"/>
            <w:vAlign w:val="center"/>
          </w:tcPr>
          <w:p>
            <w:pPr>
              <w:pStyle w:val="TableContents"/>
              <w:bidi w:val="0"/>
              <w:spacing w:before="0" w:after="283"/>
              <w:jc w:val="left"/>
              <w:rPr/>
            </w:pPr>
            <w:r>
              <w:rPr/>
              <w:t> </w:t>
            </w:r>
            <w:bookmarkStart w:id="229" w:name="xdx_40C_eus-gaap--OtherComprehensiveInco"/>
            <w:bookmarkEnd w:id="229"/>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(1,661,358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(1,661,358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0" w:name="xdx_40E_eus-gaap--AdjustmentsToAdditiona"/>
            <w:bookmarkEnd w:id="230"/>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457,371</w:t>
            </w:r>
          </w:p>
        </w:tc>
        <w:tc>
          <w:tcPr>
            <w:tcW w:w="110" w:type="dxa"/>
            <w:tcBorders/>
            <w:shd w:fill="CCEEFF" w:val="clear"/>
            <w:vAlign w:val="center"/>
          </w:tcPr>
          <w:p>
            <w:pPr>
              <w:pStyle w:val="TableContents"/>
              <w:bidi w:val="0"/>
              <w:spacing w:before="0" w:after="283"/>
              <w:jc w:val="left"/>
              <w:rPr/>
            </w:pPr>
            <w:r>
              <w:rPr/>
              <w:t> </w:t>
            </w:r>
            <w:bookmarkStart w:id="231" w:name="xdx_404_eus-gaap--StockIssuedDuringPerio"/>
            <w:bookmarkEnd w:id="23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47,151</w:t>
            </w:r>
          </w:p>
        </w:tc>
        <w:tc>
          <w:tcPr>
            <w:tcW w:w="110" w:type="dxa"/>
            <w:tcBorders/>
            <w:shd w:fill="FFFFFF" w:val="clear"/>
            <w:vAlign w:val="center"/>
          </w:tcPr>
          <w:p>
            <w:pPr>
              <w:pStyle w:val="TableContents"/>
              <w:bidi w:val="0"/>
              <w:spacing w:before="0" w:after="283"/>
              <w:jc w:val="left"/>
              <w:rPr/>
            </w:pPr>
            <w:r>
              <w:rPr/>
              <w:t> </w:t>
            </w:r>
            <w:bookmarkStart w:id="232" w:name="xdx_40A_eus-gaap--StockIssuedDuringPerio"/>
            <w:bookmarkEnd w:id="23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33" w:name="xdx_408_eus-gaap--StockIssuedDuringPerio"/>
            <w:bookmarkEnd w:id="23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246,552</w:t>
            </w:r>
          </w:p>
        </w:tc>
        <w:tc>
          <w:tcPr>
            <w:tcW w:w="110" w:type="dxa"/>
            <w:tcBorders/>
            <w:shd w:fill="FFFFFF" w:val="clear"/>
            <w:vAlign w:val="center"/>
          </w:tcPr>
          <w:p>
            <w:pPr>
              <w:pStyle w:val="TableContents"/>
              <w:bidi w:val="0"/>
              <w:spacing w:before="0" w:after="283"/>
              <w:jc w:val="left"/>
              <w:rPr/>
            </w:pPr>
            <w:r>
              <w:rPr/>
              <w:t> </w:t>
            </w:r>
            <w:bookmarkStart w:id="234" w:name="xdx_409_eus-gaap--TreasuryStockValueAcqu"/>
            <w:bookmarkEnd w:id="23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5" w:name="xdx_401_ecustom--ConversionClassCToClass"/>
            <w:bookmarkEnd w:id="23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Class C to Class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36" w:name="xdx_40F_ecustom--StockIssuedDuringPeriod"/>
            <w:bookmarkEnd w:id="236"/>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10,336,596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(12,943,556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37" w:name="xdx_438_c20260401__20260630_eus-gaap--St"/>
            <w:bookmarkEnd w:id="237"/>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47,167,896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101,194,577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35,174,704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251,835,042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(9,914,561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433,035,918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545" w:type="dxa"/>
        <w:jc w:val="left"/>
        <w:tblInd w:w="0" w:type="dxa"/>
        <w:tblLayout w:type="fixed"/>
        <w:tblCellMar>
          <w:top w:w="0" w:type="dxa"/>
          <w:left w:w="0" w:type="dxa"/>
          <w:bottom w:w="0" w:type="dxa"/>
          <w:right w:w="0" w:type="dxa"/>
        </w:tblCellMar>
      </w:tblPr>
      <w:tblGrid>
        <w:gridCol w:w="1460"/>
        <w:gridCol w:w="60"/>
        <w:gridCol w:w="140"/>
        <w:gridCol w:w="1100"/>
        <w:gridCol w:w="60"/>
        <w:gridCol w:w="60"/>
        <w:gridCol w:w="140"/>
        <w:gridCol w:w="980"/>
        <w:gridCol w:w="95"/>
        <w:gridCol w:w="60"/>
        <w:gridCol w:w="140"/>
        <w:gridCol w:w="1100"/>
        <w:gridCol w:w="95"/>
        <w:gridCol w:w="60"/>
        <w:gridCol w:w="169"/>
        <w:gridCol w:w="1336"/>
        <w:gridCol w:w="95"/>
        <w:gridCol w:w="60"/>
        <w:gridCol w:w="140"/>
        <w:gridCol w:w="1220"/>
        <w:gridCol w:w="95"/>
        <w:gridCol w:w="60"/>
        <w:gridCol w:w="140"/>
        <w:gridCol w:w="1055"/>
        <w:gridCol w:w="95"/>
        <w:gridCol w:w="60"/>
        <w:gridCol w:w="140"/>
        <w:gridCol w:w="1220"/>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2025</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A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C 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Additional Paid-in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 Other Comprehensive 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38" w:name="xdx_436_c20250101__20250331_eus-gaap--St"/>
            <w:bookmarkEnd w:id="23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42,510,012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6,643,666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79,698,367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33,719,629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227,804,439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(8,477,686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381,898,427</w:t>
            </w:r>
          </w:p>
        </w:tc>
        <w:tc>
          <w:tcPr>
            <w:tcW w:w="110" w:type="dxa"/>
            <w:tcBorders/>
            <w:shd w:fill="CCEEFF" w:val="clear"/>
            <w:vAlign w:val="center"/>
          </w:tcPr>
          <w:p>
            <w:pPr>
              <w:pStyle w:val="TableContents"/>
              <w:bidi w:val="0"/>
              <w:spacing w:before="0" w:after="283"/>
              <w:jc w:val="left"/>
              <w:rPr/>
            </w:pPr>
            <w:r>
              <w:rPr/>
              <w:t> </w:t>
            </w:r>
            <w:bookmarkStart w:id="239" w:name="xdx_40F_eus-gaap--NetIncomeLoss_zlVM6CE0"/>
            <w:bookmarkEnd w:id="239"/>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6,413,735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6,413,735</w:t>
            </w:r>
          </w:p>
        </w:tc>
        <w:tc>
          <w:tcPr>
            <w:tcW w:w="110" w:type="dxa"/>
            <w:tcBorders/>
            <w:shd w:fill="FFFFFF" w:val="clear"/>
            <w:vAlign w:val="center"/>
          </w:tcPr>
          <w:p>
            <w:pPr>
              <w:pStyle w:val="TableContents"/>
              <w:bidi w:val="0"/>
              <w:spacing w:before="0" w:after="283"/>
              <w:jc w:val="left"/>
              <w:rPr/>
            </w:pPr>
            <w:r>
              <w:rPr/>
              <w:t> </w:t>
            </w:r>
            <w:bookmarkStart w:id="240" w:name="xdx_40E_eus-gaap--OtherComprehensiveInco"/>
            <w:bookmarkEnd w:id="240"/>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(3,362,137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(3,362,137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F_eus-gaap--AdjustmentsToAdditiona"/>
            <w:bookmarkEnd w:id="24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309,260</w:t>
            </w:r>
          </w:p>
        </w:tc>
        <w:tc>
          <w:tcPr>
            <w:tcW w:w="110" w:type="dxa"/>
            <w:tcBorders/>
            <w:shd w:fill="FFFFFF" w:val="clear"/>
            <w:vAlign w:val="center"/>
          </w:tcPr>
          <w:p>
            <w:pPr>
              <w:pStyle w:val="TableContents"/>
              <w:bidi w:val="0"/>
              <w:spacing w:before="0" w:after="283"/>
              <w:jc w:val="left"/>
              <w:rPr/>
            </w:pPr>
            <w:r>
              <w:rPr/>
              <w:t> </w:t>
            </w:r>
            <w:bookmarkStart w:id="242" w:name="xdx_40F_eus-gaap--StockIssuedDuringPerio"/>
            <w:bookmarkEnd w:id="24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(92,965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81,246</w:t>
            </w:r>
          </w:p>
        </w:tc>
        <w:tc>
          <w:tcPr>
            <w:tcW w:w="110" w:type="dxa"/>
            <w:tcBorders/>
            <w:shd w:fill="CCEEFF" w:val="clear"/>
            <w:vAlign w:val="center"/>
          </w:tcPr>
          <w:p>
            <w:pPr>
              <w:pStyle w:val="TableContents"/>
              <w:bidi w:val="0"/>
              <w:spacing w:before="0" w:after="283"/>
              <w:jc w:val="left"/>
              <w:rPr/>
            </w:pPr>
            <w:r>
              <w:rPr/>
              <w:t> </w:t>
            </w:r>
            <w:bookmarkStart w:id="243" w:name="xdx_404_eus-gaap--StockIssuedDuringPerio"/>
            <w:bookmarkEnd w:id="24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4" w:name="xdx_40A_eus-gaap--StockIssuedDuringPerio"/>
            <w:bookmarkEnd w:id="24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227,262</w:t>
            </w:r>
          </w:p>
        </w:tc>
        <w:tc>
          <w:tcPr>
            <w:tcW w:w="110" w:type="dxa"/>
            <w:tcBorders/>
            <w:shd w:fill="CCEEFF" w:val="clear"/>
            <w:vAlign w:val="center"/>
          </w:tcPr>
          <w:p>
            <w:pPr>
              <w:pStyle w:val="TableContents"/>
              <w:bidi w:val="0"/>
              <w:spacing w:before="0" w:after="283"/>
              <w:jc w:val="left"/>
              <w:rPr/>
            </w:pPr>
            <w:r>
              <w:rPr/>
              <w:t> </w:t>
            </w:r>
            <w:bookmarkStart w:id="245" w:name="xdx_40F_eus-gaap--TreasuryStockValueAcqu"/>
            <w:bookmarkEnd w:id="24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(242,265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6" w:name="xdx_439_c20250401__20250630_eus-gaap--St"/>
            <w:bookmarkEnd w:id="246"/>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42,643,478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6,834,340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80,004,637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30,357,492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234,218,174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(8,732,593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385,325,528</w:t>
            </w:r>
          </w:p>
        </w:tc>
        <w:tc>
          <w:tcPr>
            <w:tcW w:w="11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F_eus-gaap--NetIncomeLoss_z5rF66NM"/>
            <w:bookmarkEnd w:id="247"/>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110" w:type="dxa"/>
            <w:tcBorders/>
            <w:shd w:fill="CCEEFF" w:val="clear"/>
            <w:vAlign w:val="center"/>
          </w:tcPr>
          <w:p>
            <w:pPr>
              <w:pStyle w:val="TableContents"/>
              <w:bidi w:val="0"/>
              <w:spacing w:before="0" w:after="283"/>
              <w:jc w:val="left"/>
              <w:rPr/>
            </w:pPr>
            <w:r>
              <w:rPr/>
              <w:t> </w:t>
            </w:r>
            <w:bookmarkStart w:id="248" w:name="xdx_40E_eus-gaap--OtherComprehensiveInco"/>
            <w:bookmarkEnd w:id="248"/>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575,232</w:t>
            </w:r>
          </w:p>
        </w:tc>
        <w:tc>
          <w:tcPr>
            <w:tcW w:w="110" w:type="dxa"/>
            <w:tcBorders/>
            <w:shd w:fill="FFFFFF" w:val="clear"/>
            <w:vAlign w:val="center"/>
          </w:tcPr>
          <w:p>
            <w:pPr>
              <w:pStyle w:val="TableContents"/>
              <w:bidi w:val="0"/>
              <w:spacing w:before="0" w:after="283"/>
              <w:jc w:val="left"/>
              <w:rPr/>
            </w:pPr>
            <w:r>
              <w:rPr/>
              <w:t> </w:t>
            </w:r>
            <w:bookmarkStart w:id="249" w:name="xdx_40F_eus-gaap--AdjustmentsToAdditiona"/>
            <w:bookmarkEnd w:id="249"/>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320,379</w:t>
            </w:r>
          </w:p>
        </w:tc>
        <w:tc>
          <w:tcPr>
            <w:tcW w:w="110" w:type="dxa"/>
            <w:tcBorders/>
            <w:shd w:fill="CCEEFF" w:val="clear"/>
            <w:vAlign w:val="center"/>
          </w:tcPr>
          <w:p>
            <w:pPr>
              <w:pStyle w:val="TableContents"/>
              <w:bidi w:val="0"/>
              <w:spacing w:before="0" w:after="283"/>
              <w:jc w:val="left"/>
              <w:rPr/>
            </w:pPr>
            <w:r>
              <w:rPr/>
              <w:t> </w:t>
            </w:r>
            <w:bookmarkStart w:id="250" w:name="xdx_404_eus-gaap--StockIssuedDuringPerio"/>
            <w:bookmarkEnd w:id="25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51" w:name="xdx_40A_eus-gaap--StockIssuedDuringPerio"/>
            <w:bookmarkEnd w:id="25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272,206</w:t>
            </w:r>
          </w:p>
        </w:tc>
        <w:tc>
          <w:tcPr>
            <w:tcW w:w="110" w:type="dxa"/>
            <w:tcBorders/>
            <w:shd w:fill="CCEEFF" w:val="clear"/>
            <w:vAlign w:val="center"/>
          </w:tcPr>
          <w:p>
            <w:pPr>
              <w:pStyle w:val="TableContents"/>
              <w:bidi w:val="0"/>
              <w:spacing w:before="0" w:after="283"/>
              <w:jc w:val="left"/>
              <w:rPr/>
            </w:pPr>
            <w:r>
              <w:rPr/>
              <w:t> </w:t>
            </w:r>
            <w:bookmarkStart w:id="252" w:name="xdx_40F_eus-gaap--TreasuryStockValueAcqu"/>
            <w:bookmarkEnd w:id="25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(961,419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(961,419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3" w:name="xdx_401_ecustom--ConversionClassCToClass"/>
            <w:bookmarkEnd w:id="253"/>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Class C to Class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54" w:name="xdx_40F_ecustom--StockIssuedDuringPeriod"/>
            <w:bookmarkEnd w:id="254"/>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8,685,530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(11,160,040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55" w:name="xdx_431_c20250401__20250630_eus-gaap--St"/>
            <w:bookmarkEnd w:id="255"/>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44,783,274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89,068,179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30,932,724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231,428,889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(9,485,613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393,902,681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56" w:name="TM_007"/>
      <w:bookmarkEnd w:id="256"/>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7" w:name="xdx_304_112_zoqYdLO5vPe6"/>
      <w:bookmarkStart w:id="258" w:name="xdx_304_112_zoqYdLO5vPe6"/>
      <w:bookmarkEnd w:id="258"/>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9" w:name="xdx_493_20260101__20260630_z9uWGioKoIBd"/>
            <w:bookmarkEnd w:id="259"/>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0" w:name="xdx_494_20250101__20250630_z7YCxGLAwopa"/>
            <w:bookmarkEnd w:id="260"/>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bookmarkStart w:id="261" w:name="xdx_405_eus-gaap--NetCashProvidedByUsedI"/>
            <w:bookmarkEnd w:id="261"/>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2" w:name="xdx_406_eus-gaap--NetCashProvidedByUsedI"/>
            <w:bookmarkEnd w:id="26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36,933,720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1,904,880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3" w:name="xdx_40E_eus-gaap--NetCashProvidedByUsedI"/>
            <w:bookmarkEnd w:id="263"/>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4" w:name="xdx_40C_eus-gaap--PaymentsToAcquireAvail"/>
            <w:bookmarkEnd w:id="264"/>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maturity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(39,027,131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(54,885,176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5" w:name="xdx_405_eus-gaap--ProceedsFromSaleAndMat"/>
            <w:bookmarkEnd w:id="265"/>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calls and maturities of fixed maturity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36,581,679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36,743,084</w:t>
            </w:r>
          </w:p>
        </w:tc>
        <w:tc>
          <w:tcPr>
            <w:tcW w:w="110" w:type="dxa"/>
            <w:tcBorders/>
            <w:shd w:fill="FFFFFF" w:val="clear"/>
            <w:vAlign w:val="center"/>
          </w:tcPr>
          <w:p>
            <w:pPr>
              <w:pStyle w:val="TableContents"/>
              <w:bidi w:val="0"/>
              <w:spacing w:before="0" w:after="283"/>
              <w:jc w:val="left"/>
              <w:rPr/>
            </w:pPr>
            <w:r>
              <w:rPr/>
              <w:t> </w:t>
            </w:r>
            <w:bookmarkStart w:id="266" w:name="xdx_40A_eus-gaap--PaymentsToAcquireEquit"/>
            <w:bookmarkEnd w:id="26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(2,510,554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(1,602,500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7" w:name="xdx_407_eus-gaap--ProceedsFromSaleOfEqui"/>
            <w:bookmarkEnd w:id="26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1,529,484</w:t>
            </w:r>
          </w:p>
        </w:tc>
        <w:tc>
          <w:tcPr>
            <w:tcW w:w="110" w:type="dxa"/>
            <w:tcBorders/>
            <w:shd w:fill="FFFFFF" w:val="clear"/>
            <w:vAlign w:val="center"/>
          </w:tcPr>
          <w:p>
            <w:pPr>
              <w:pStyle w:val="TableContents"/>
              <w:bidi w:val="0"/>
              <w:spacing w:before="0" w:after="283"/>
              <w:jc w:val="left"/>
              <w:rPr/>
            </w:pPr>
            <w:r>
              <w:rPr/>
              <w:t> </w:t>
            </w:r>
            <w:bookmarkStart w:id="268" w:name="xdx_406_eus-gaap--PaymentsToAcquireRestr"/>
            <w:bookmarkEnd w:id="26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restricted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(3,971,938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(2,397,575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9" w:name="xdx_40A_eus-gaap--ProceedsFromSaleOfRest"/>
            <w:bookmarkEnd w:id="26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calls and maturities of restricted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1,330,555</w:t>
            </w:r>
          </w:p>
        </w:tc>
        <w:tc>
          <w:tcPr>
            <w:tcW w:w="110" w:type="dxa"/>
            <w:tcBorders/>
            <w:shd w:fill="FFFFFF" w:val="clear"/>
            <w:vAlign w:val="center"/>
          </w:tcPr>
          <w:p>
            <w:pPr>
              <w:pStyle w:val="TableContents"/>
              <w:bidi w:val="0"/>
              <w:spacing w:before="0" w:after="283"/>
              <w:jc w:val="left"/>
              <w:rPr/>
            </w:pPr>
            <w:r>
              <w:rPr/>
              <w:t> </w:t>
            </w:r>
            <w:bookmarkStart w:id="270" w:name="xdx_404_ecustom--PaymentsToAcquireCemete"/>
            <w:bookmarkEnd w:id="27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cemetery perpetual care trust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1" w:name="xdx_408_ecustom--ProceedsFromSaleAndMatu"/>
            <w:bookmarkEnd w:id="271"/>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calls and maturities of perpetual care trust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955,014</w:t>
            </w:r>
          </w:p>
        </w:tc>
        <w:tc>
          <w:tcPr>
            <w:tcW w:w="110" w:type="dxa"/>
            <w:tcBorders/>
            <w:shd w:fill="FFFFFF" w:val="clear"/>
            <w:vAlign w:val="center"/>
          </w:tcPr>
          <w:p>
            <w:pPr>
              <w:pStyle w:val="TableContents"/>
              <w:bidi w:val="0"/>
              <w:spacing w:before="0" w:after="283"/>
              <w:jc w:val="left"/>
              <w:rPr/>
            </w:pPr>
            <w:r>
              <w:rPr/>
              <w:t> </w:t>
            </w:r>
            <w:bookmarkStart w:id="272" w:name="xdx_400_eus-gaap--PaymentsToAcquireLoans"/>
            <w:bookmarkEnd w:id="272"/>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 other investments and policy loans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(361,275,839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(446,677,580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3" w:name="xdx_403_eus-gaap--ProceedsFromSaleOfLoan"/>
            <w:bookmarkEnd w:id="273"/>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received for mortgage loans held for investment, other investments and policy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393,762,043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412,639,393</w:t>
            </w:r>
          </w:p>
        </w:tc>
        <w:tc>
          <w:tcPr>
            <w:tcW w:w="110" w:type="dxa"/>
            <w:tcBorders/>
            <w:shd w:fill="FFFFFF" w:val="clear"/>
            <w:vAlign w:val="center"/>
          </w:tcPr>
          <w:p>
            <w:pPr>
              <w:pStyle w:val="TableContents"/>
              <w:bidi w:val="0"/>
              <w:spacing w:before="0" w:after="283"/>
              <w:jc w:val="left"/>
              <w:rPr/>
            </w:pPr>
            <w:r>
              <w:rPr/>
              <w:t> </w:t>
            </w:r>
            <w:bookmarkStart w:id="274" w:name="xdx_40E_eus-gaap--PaymentsToAcquirePrope"/>
            <w:bookmarkEnd w:id="274"/>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(496,501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(884,076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 w:name="xdx_409_eus-gaap--ProceedsFromSaleOfProp"/>
            <w:bookmarkEnd w:id="275"/>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110" w:type="dxa"/>
            <w:tcBorders/>
            <w:shd w:fill="FFFFFF" w:val="clear"/>
            <w:vAlign w:val="center"/>
          </w:tcPr>
          <w:p>
            <w:pPr>
              <w:pStyle w:val="TableContents"/>
              <w:bidi w:val="0"/>
              <w:spacing w:before="0" w:after="283"/>
              <w:jc w:val="left"/>
              <w:rPr/>
            </w:pPr>
            <w:r>
              <w:rPr/>
              <w:t> </w:t>
            </w:r>
            <w:bookmarkStart w:id="276" w:name="xdx_40F_eus-gaap--PaymentsToAcquireRealE"/>
            <w:bookmarkEnd w:id="27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real estate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(45,636,547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(38,492,419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7" w:name="xdx_409_eus-gaap--ProceedsFromSaleOfOthe"/>
            <w:bookmarkEnd w:id="27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real estate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24,136,880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19,442,304</w:t>
            </w:r>
          </w:p>
        </w:tc>
        <w:tc>
          <w:tcPr>
            <w:tcW w:w="110" w:type="dxa"/>
            <w:tcBorders/>
            <w:shd w:fill="FFFFFF" w:val="clear"/>
            <w:vAlign w:val="center"/>
          </w:tcPr>
          <w:p>
            <w:pPr>
              <w:pStyle w:val="TableContents"/>
              <w:bidi w:val="0"/>
              <w:spacing w:before="0" w:after="283"/>
              <w:jc w:val="left"/>
              <w:rPr/>
            </w:pPr>
            <w:r>
              <w:rPr/>
              <w:t> </w:t>
            </w:r>
            <w:bookmarkStart w:id="278" w:name="xdx_40F_eus-gaap--NetCashProvidedByUsedI"/>
            <w:bookmarkEnd w:id="27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6,151,107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(72,442,859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9" w:name="xdx_401_eus-gaap--NetCashProvidedByUsedI"/>
            <w:bookmarkEnd w:id="279"/>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9_eus-gaap--ProceedsFromAnnuitiesA"/>
            <w:bookmarkEnd w:id="280"/>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Policyholder account balances -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5,174,044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6,230,904</w:t>
            </w:r>
          </w:p>
        </w:tc>
        <w:tc>
          <w:tcPr>
            <w:tcW w:w="110" w:type="dxa"/>
            <w:tcBorders/>
            <w:shd w:fill="FFFFFF" w:val="clear"/>
            <w:vAlign w:val="center"/>
          </w:tcPr>
          <w:p>
            <w:pPr>
              <w:pStyle w:val="TableContents"/>
              <w:bidi w:val="0"/>
              <w:spacing w:before="0" w:after="283"/>
              <w:jc w:val="left"/>
              <w:rPr/>
            </w:pPr>
            <w:r>
              <w:rPr/>
              <w:t> </w:t>
            </w:r>
            <w:bookmarkStart w:id="281" w:name="xdx_406_eus-gaap--RepaymentsOfAnnuitiesA"/>
            <w:bookmarkEnd w:id="281"/>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Policyholder account balances - withdrawals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(8,323,094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(8,421,749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2" w:name="xdx_40B_eus-gaap--ProceedsFromStockOptio"/>
            <w:bookmarkEnd w:id="28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stock options exercised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81,246</w:t>
            </w:r>
          </w:p>
        </w:tc>
        <w:tc>
          <w:tcPr>
            <w:tcW w:w="110" w:type="dxa"/>
            <w:tcBorders/>
            <w:shd w:fill="FFFFFF" w:val="clear"/>
            <w:vAlign w:val="center"/>
          </w:tcPr>
          <w:p>
            <w:pPr>
              <w:pStyle w:val="TableContents"/>
              <w:bidi w:val="0"/>
              <w:spacing w:before="0" w:after="283"/>
              <w:jc w:val="left"/>
              <w:rPr/>
            </w:pPr>
            <w:r>
              <w:rPr/>
              <w:t> </w:t>
            </w:r>
            <w:bookmarkStart w:id="283" w:name="xdx_40F_eus-gaap--PaymentsForRepurchaseO"/>
            <w:bookmarkEnd w:id="28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(1,336,526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4" w:name="xdx_40B_eus-gaap--RepaymentsOfBankDebt_i"/>
            <w:bookmarkEnd w:id="284"/>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bank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(18,012,268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5" w:name="xdx_406_eus-gaap--ProceedsFromBankDebt_i"/>
            <w:bookmarkEnd w:id="285"/>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32,000,000</w:t>
            </w:r>
          </w:p>
        </w:tc>
        <w:tc>
          <w:tcPr>
            <w:tcW w:w="110" w:type="dxa"/>
            <w:tcBorders/>
            <w:shd w:fill="CCEEFF" w:val="clear"/>
            <w:vAlign w:val="center"/>
          </w:tcPr>
          <w:p>
            <w:pPr>
              <w:pStyle w:val="TableContents"/>
              <w:bidi w:val="0"/>
              <w:spacing w:before="0" w:after="283"/>
              <w:jc w:val="left"/>
              <w:rPr/>
            </w:pPr>
            <w:r>
              <w:rPr/>
              <w:t> </w:t>
            </w:r>
            <w:bookmarkStart w:id="286" w:name="xdx_40B_eus-gaap--LineOfCreditFacilityIn"/>
            <w:bookmarkEnd w:id="286"/>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warehouse line borrowings for loans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24,782,098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2,164,373</w:t>
            </w:r>
          </w:p>
        </w:tc>
        <w:tc>
          <w:tcPr>
            <w:tcW w:w="110" w:type="dxa"/>
            <w:tcBorders/>
            <w:shd w:fill="FFFFFF" w:val="clear"/>
            <w:vAlign w:val="center"/>
          </w:tcPr>
          <w:p>
            <w:pPr>
              <w:pStyle w:val="TableContents"/>
              <w:bidi w:val="0"/>
              <w:spacing w:before="0" w:after="283"/>
              <w:jc w:val="left"/>
              <w:rPr/>
            </w:pPr>
            <w:r>
              <w:rPr/>
              <w:t> </w:t>
            </w:r>
            <w:bookmarkStart w:id="287" w:name="xdx_40D_eus-gaap--NetCashProvidedByUsedI"/>
            <w:bookmarkEnd w:id="287"/>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19,291,735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12,838,822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8" w:name="xdx_40C_eus-gaap--CashCashEquivalentsRes"/>
            <w:bookmarkEnd w:id="28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cash, cash equivalents, restricted cash and restricted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62,376,562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(57,699,157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9" w:name="xdx_400_eus-gaap--CashCashEquivalentsRes"/>
            <w:bookmarkEnd w:id="289"/>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restricted cash and restricted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114,112,108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150,102,620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0" w:name="xdx_409_eus-gaap--CashCashEquivalentsRes"/>
            <w:bookmarkEnd w:id="29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restricted cash and restricted cash equivalents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176,488,670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92,403,463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1" w:name="xdx_404_eus-gaap--SupplementalCashFlowIn"/>
            <w:bookmarkEnd w:id="291"/>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2" w:name="xdx_40F_ecustom--CashPaidDuringYearAbstr"/>
            <w:bookmarkEnd w:id="29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3" w:name="xdx_404_eus-gaap--InterestPaidNet_i01_zi"/>
            <w:bookmarkEnd w:id="29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2,422,711</w:t>
            </w:r>
          </w:p>
        </w:tc>
        <w:tc>
          <w:tcPr>
            <w:tcW w:w="110" w:type="dxa"/>
            <w:tcBorders/>
            <w:shd w:fill="CCEEFF" w:val="clear"/>
            <w:vAlign w:val="center"/>
          </w:tcPr>
          <w:p>
            <w:pPr>
              <w:pStyle w:val="TableContents"/>
              <w:bidi w:val="0"/>
              <w:spacing w:before="0" w:after="283"/>
              <w:jc w:val="left"/>
              <w:rPr/>
            </w:pPr>
            <w:r>
              <w:rPr/>
              <w:t> </w:t>
            </w:r>
            <w:bookmarkStart w:id="294" w:name="xdx_40E_eus-gaap--IncomeTaxPaidFederalAf"/>
            <w:bookmarkEnd w:id="294"/>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4,475,089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2,117,229</w:t>
            </w:r>
          </w:p>
        </w:tc>
        <w:tc>
          <w:tcPr>
            <w:tcW w:w="110" w:type="dxa"/>
            <w:tcBorders/>
            <w:shd w:fill="FFFFFF" w:val="clear"/>
            <w:vAlign w:val="center"/>
          </w:tcPr>
          <w:p>
            <w:pPr>
              <w:pStyle w:val="TableContents"/>
              <w:bidi w:val="0"/>
              <w:spacing w:before="0" w:after="283"/>
              <w:jc w:val="left"/>
              <w:rPr/>
            </w:pPr>
            <w:r>
              <w:rPr/>
              <w:t> </w:t>
            </w:r>
            <w:bookmarkStart w:id="295" w:name="xdx_40E_eus-gaap--IncomeTaxPaidStateAndL"/>
            <w:bookmarkEnd w:id="295"/>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110,870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6" w:name="xdx_407_eus-gaap--CashFlowNoncashInvesti"/>
            <w:bookmarkEnd w:id="29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 Cash Operating,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7" w:name="xdx_400_ecustom--MortgageLoansHeldForInv"/>
            <w:bookmarkEnd w:id="29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 foreclosed into real estate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3,322,938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98" w:name="xdx_40C_ecustom--BenefitPlansFundedWithT"/>
            <w:bookmarkEnd w:id="29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 plans funded with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499,468</w:t>
            </w:r>
          </w:p>
        </w:tc>
        <w:tc>
          <w:tcPr>
            <w:tcW w:w="110" w:type="dxa"/>
            <w:tcBorders/>
            <w:shd w:fill="CCEEFF" w:val="clear"/>
            <w:vAlign w:val="center"/>
          </w:tcPr>
          <w:p>
            <w:pPr>
              <w:pStyle w:val="TableContents"/>
              <w:bidi w:val="0"/>
              <w:spacing w:before="0" w:after="283"/>
              <w:jc w:val="left"/>
              <w:rPr/>
            </w:pPr>
            <w:r>
              <w:rPr/>
              <w:t> </w:t>
            </w:r>
            <w:bookmarkStart w:id="299" w:name="xdx_40C_eus-gaap--RightOfUseAssetObtaine"/>
            <w:bookmarkEnd w:id="29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1,069,880</w:t>
            </w:r>
          </w:p>
        </w:tc>
        <w:tc>
          <w:tcPr>
            <w:tcW w:w="110" w:type="dxa"/>
            <w:tcBorders/>
            <w:shd w:fill="FFFFFF" w:val="clear"/>
            <w:vAlign w:val="center"/>
          </w:tcPr>
          <w:p>
            <w:pPr>
              <w:pStyle w:val="TableContents"/>
              <w:bidi w:val="0"/>
              <w:spacing w:before="0" w:after="283"/>
              <w:jc w:val="left"/>
              <w:rPr/>
            </w:pPr>
            <w:r>
              <w:rPr/>
              <w:t> </w:t>
            </w:r>
            <w:bookmarkStart w:id="300" w:name="xdx_405_eus-gaap--RightOfUseAssetObtaine"/>
            <w:bookmarkEnd w:id="30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01" w:name="xdx_40A_ecustom--TransferFromFixedMaturi"/>
            <w:bookmarkEnd w:id="301"/>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from fixed maturity securities available for sale to other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1,185,603</w:t>
            </w:r>
          </w:p>
        </w:tc>
        <w:tc>
          <w:tcPr>
            <w:tcW w:w="110" w:type="dxa"/>
            <w:tcBorders/>
            <w:shd w:fill="FFFFFF" w:val="clear"/>
            <w:vAlign w:val="center"/>
          </w:tcPr>
          <w:p>
            <w:pPr>
              <w:pStyle w:val="TableContents"/>
              <w:bidi w:val="0"/>
              <w:spacing w:before="0" w:after="283"/>
              <w:jc w:val="left"/>
              <w:rPr/>
            </w:pPr>
            <w:r>
              <w:rPr/>
              <w:t> </w:t>
            </w:r>
            <w:bookmarkStart w:id="302" w:name="xdx_409_ecustom--LoansHeldForSaleForeclo"/>
            <w:bookmarkEnd w:id="302"/>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held for sale foreclosed into 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380,000</w:t>
            </w:r>
          </w:p>
        </w:tc>
        <w:tc>
          <w:tcPr>
            <w:tcW w:w="110" w:type="dxa"/>
            <w:tcBorders/>
            <w:shd w:fill="CCEEFF" w:val="clear"/>
            <w:vAlign w:val="center"/>
          </w:tcPr>
          <w:p>
            <w:pPr>
              <w:pStyle w:val="TableContents"/>
              <w:bidi w:val="0"/>
              <w:spacing w:before="0" w:after="283"/>
              <w:jc w:val="left"/>
              <w:rPr/>
            </w:pPr>
            <w:r>
              <w:rPr/>
              <w:t> </w:t>
            </w:r>
            <w:bookmarkStart w:id="303" w:name="xdx_40E_ecustom--TransferOfLoansHeldForS"/>
            <w:bookmarkEnd w:id="303"/>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of loans held for sale to mortgage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828,063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cash, cash equivalents, restricted cash and restricted cash equivalents as shown in the condensed consolidated statements of cash flows are presented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0"/>
        <w:gridCol w:w="60"/>
        <w:gridCol w:w="140"/>
        <w:gridCol w:w="1220"/>
        <w:gridCol w:w="60"/>
        <w:gridCol w:w="60"/>
        <w:gridCol w:w="140"/>
        <w:gridCol w:w="1100"/>
        <w:gridCol w:w="75"/>
      </w:tblGrid>
      <w:tr>
        <w:trPr/>
        <w:tc>
          <w:tcPr>
            <w:tcW w:w="7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4" w:name="xdx_49F_20260630_zqwN2MpH6dv1"/>
            <w:bookmarkEnd w:id="304"/>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5" w:name="xdx_494_20250630_zYNIvJWbwILa"/>
            <w:bookmarkEnd w:id="305"/>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br/>
              <w:t>2025</w:t>
            </w:r>
          </w:p>
        </w:tc>
        <w:tc>
          <w:tcPr>
            <w:tcW w:w="75" w:type="dxa"/>
            <w:tcBorders/>
            <w:vAlign w:val="center"/>
          </w:tcPr>
          <w:p>
            <w:pPr>
              <w:pStyle w:val="TableContents"/>
              <w:bidi w:val="0"/>
              <w:spacing w:before="0" w:after="283"/>
              <w:jc w:val="left"/>
              <w:rPr/>
            </w:pPr>
            <w:r>
              <w:rPr/>
              <w:t> </w:t>
            </w:r>
            <w:bookmarkStart w:id="306" w:name="xdx_400_eus-gaap--CashAndCashEquivalents"/>
            <w:bookmarkEnd w:id="306"/>
          </w:p>
        </w:tc>
      </w:tr>
      <w:tr>
        <w:trPr/>
        <w:tc>
          <w:tcPr>
            <w:tcW w:w="7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163,441,869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79,317,770</w:t>
            </w:r>
          </w:p>
        </w:tc>
        <w:tc>
          <w:tcPr>
            <w:tcW w:w="75" w:type="dxa"/>
            <w:tcBorders/>
            <w:shd w:fill="CCEEFF" w:val="clear"/>
            <w:vAlign w:val="center"/>
          </w:tcPr>
          <w:p>
            <w:pPr>
              <w:pStyle w:val="TableContents"/>
              <w:bidi w:val="0"/>
              <w:spacing w:before="0" w:after="283"/>
              <w:jc w:val="left"/>
              <w:rPr/>
            </w:pPr>
            <w:r>
              <w:rPr/>
              <w:t> </w:t>
            </w:r>
            <w:bookmarkStart w:id="307" w:name="xdx_407_ecustom--ReconciliationOnRestric"/>
            <w:bookmarkEnd w:id="307"/>
          </w:p>
        </w:tc>
      </w:tr>
      <w:tr>
        <w:trPr/>
        <w:tc>
          <w:tcPr>
            <w:tcW w:w="7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12,065,713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12,680,488</w:t>
            </w:r>
          </w:p>
        </w:tc>
        <w:tc>
          <w:tcPr>
            <w:tcW w:w="75" w:type="dxa"/>
            <w:tcBorders/>
            <w:shd w:fill="FFFFFF" w:val="clear"/>
            <w:vAlign w:val="center"/>
          </w:tcPr>
          <w:p>
            <w:pPr>
              <w:pStyle w:val="TableContents"/>
              <w:bidi w:val="0"/>
              <w:spacing w:before="0" w:after="283"/>
              <w:jc w:val="left"/>
              <w:rPr/>
            </w:pPr>
            <w:r>
              <w:rPr/>
              <w:t> </w:t>
            </w:r>
            <w:bookmarkStart w:id="308" w:name="xdx_401_ecustom--ReconciliationCemeteryP"/>
            <w:bookmarkEnd w:id="308"/>
          </w:p>
        </w:tc>
      </w:tr>
      <w:tr>
        <w:trPr/>
        <w:tc>
          <w:tcPr>
            <w:tcW w:w="7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Cemetery perpetual care trust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405,205</w:t>
            </w:r>
          </w:p>
        </w:tc>
        <w:tc>
          <w:tcPr>
            <w:tcW w:w="75" w:type="dxa"/>
            <w:tcBorders/>
            <w:shd w:fill="CCEEFF" w:val="clear"/>
            <w:vAlign w:val="center"/>
          </w:tcPr>
          <w:p>
            <w:pPr>
              <w:pStyle w:val="TableContents"/>
              <w:bidi w:val="0"/>
              <w:spacing w:before="0" w:after="283"/>
              <w:jc w:val="left"/>
              <w:rPr/>
            </w:pPr>
            <w:r>
              <w:rPr/>
              <w:t> </w:t>
            </w:r>
            <w:bookmarkStart w:id="309" w:name="xdx_406_eus-gaap--CashCashEquivalentsRes"/>
            <w:bookmarkEnd w:id="309"/>
          </w:p>
        </w:tc>
      </w:tr>
      <w:tr>
        <w:trPr/>
        <w:tc>
          <w:tcPr>
            <w:tcW w:w="7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restricted cash and restricted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176,488,670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92,403,463</w:t>
            </w:r>
          </w:p>
        </w:tc>
        <w:tc>
          <w:tcPr>
            <w:tcW w:w="75" w:type="dxa"/>
            <w:tcBorders/>
            <w:shd w:fill="FFFFFF" w:val="clear"/>
            <w:vAlign w:val="center"/>
          </w:tcPr>
          <w:p>
            <w:pPr>
              <w:pStyle w:val="TableContents"/>
              <w:bidi w:val="0"/>
              <w:spacing w:before="0" w:after="283"/>
              <w:jc w:val="left"/>
              <w:rPr/>
            </w:pPr>
            <w:r>
              <w:rPr/>
              <w:t> </w:t>
            </w:r>
            <w:bookmarkStart w:id="310" w:name="xdx_402_eus-gaap--CashCashEquivalentsRes"/>
            <w:bookmarkEnd w:id="310"/>
          </w:p>
        </w:tc>
      </w:tr>
      <w:tr>
        <w:trPr/>
        <w:tc>
          <w:tcPr>
            <w:tcW w:w="7350" w:type="dxa"/>
            <w:tcBorders/>
            <w:shd w:fill="FFFFFF" w:val="clear"/>
            <w:vAlign w:val="center"/>
          </w:tcPr>
          <w:p>
            <w:pPr>
              <w:pStyle w:val="TableContents"/>
              <w:bidi w:val="0"/>
              <w:spacing w:before="0" w:after="283"/>
              <w:jc w:val="left"/>
              <w:rPr/>
            </w:pPr>
            <w:r>
              <w:rPr/>
              <w:t>Cash, cash equivalents, restricted cash and restricted cash equivalents at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176,488,670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92,403,463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11" w:name="TM_008"/>
      <w:bookmarkEnd w:id="311"/>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 w:name="xdx_80A_ecustom--BasisOfPresentationAndR"/>
      <w:bookmarkEnd w:id="312"/>
      <w:r>
        <w:rPr>
          <w:rFonts w:ascii="Times New Roman;Times;Serif" w:hAnsi="Times New Roman;Times;Serif"/>
          <w:b w:val="false"/>
          <w:i w:val="false"/>
          <w:caps w:val="false"/>
          <w:smallCaps w:val="false"/>
          <w:sz w:val="20"/>
        </w:rPr>
        <w:t xml:space="preserve">1) </w:t>
      </w:r>
      <w:bookmarkStart w:id="313" w:name="xdx_820_z75IXcaV4KEk"/>
      <w:bookmarkStart w:id="314" w:name="TM_009"/>
      <w:bookmarkEnd w:id="313"/>
      <w:bookmarkEnd w:id="314"/>
      <w:r>
        <w:rPr>
          <w:rFonts w:ascii="Times New Roman;Times;Serif" w:hAnsi="Times New Roman;Times;Serif"/>
          <w:b w:val="false"/>
          <w:i w:val="false"/>
          <w:caps w:val="false"/>
          <w:smallCaps w:val="false"/>
          <w:sz w:val="20"/>
          <w:u w:val="single"/>
        </w:rPr>
        <w:t>Basis of Presentation and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5" w:name="xdx_864_zGY0rYyNDfU9"/>
      <w:bookmarkStart w:id="316" w:name="xdx_846_eus-gaap--BasisOfAccountingPolic"/>
      <w:bookmarkEnd w:id="315"/>
      <w:bookmarkEnd w:id="316"/>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2025, included in the Company’s Annual Report on Form 10-K (File Number 000-09341). In the opinion of management, all adjustments (consisting of normal recurring accruals) considered necessary for a fair presentation have been included. Operating results for the three and six month periods ended June 30,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prior-period amounts related to accounting standards adopted have been reclassified to conform to the current-period presentation.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Basis of Presentation and Recent Accounting Pronouncements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62_zgbxPt7tZN42"/>
      <w:bookmarkStart w:id="318" w:name="xdx_844_eus-gaap--NewAccountingPronounce"/>
      <w:bookmarkEnd w:id="317"/>
      <w:bookmarkEnd w:id="318"/>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Accounting Standards Adopted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ASU No. 2018-12: “Financial Services – Insurance (Topic 944): Targeted Improvements to the Accounting for Long-Duration Contracts” </w:t>
      </w:r>
      <w:r>
        <w:rPr>
          <w:rFonts w:ascii="Times New Roman;Times;Serif" w:hAnsi="Times New Roman;Times;Serif"/>
          <w:b w:val="false"/>
          <w:i w:val="false"/>
          <w:caps w:val="false"/>
          <w:smallCaps w:val="false"/>
          <w:sz w:val="20"/>
        </w:rPr>
        <w:t>—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On December 31, 2025, the Company adopted ASU No. 2018-12, using the modified retrospective approach, for changes to the liability for future policy benefits and deferred policy acquisition costs. The Company applied the guidance as of a transition date of January 1, 2024, and retrospectively adjusted prior period amounts to reflect the new guidance. The Company’s condensed consolidated financial statements are presented under the new guidance for reporting periods beginning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adoption, cash flow assumptions, such as mortality, lapse, and expense, will be reviewed at least annually and, if necessary, they will be updated to reflect actual experience and current expectations in the calculation of the Company’s future policy benefits. Historically, cash flow assumptions were locked in at policy issuance and remained in place for the life of the business—even when material variances emerged between assumptions and actual experience—except in the case of a premium deficiency. Under the new guidance, net premiums are capped at 100 percent of gross premiums at the cohort level. Adoption of this standard also requires changes in the future treatment of the Company’s Deferred Acquisition Cost (“DAC”)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interest rate used to calculate the Company’s future policy benefits was set at policy issuance and remained in effect for the life of the policy. The Company used an expected investment portfolio rate of return based on a conservative experience assumption. The new guidance seeks to improve reporting on the financial impact associated with interest rate sensitivity. To accomplish this, future policy benefits are calculated using a discount rate based on an upper-medium-grade (A-rated) fixed income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future policy benefit for each cohort is calculated using the original discount rate and then remeasured using the current discount rate curve. The original rate is used to determine interest accretion on the liability—which is included in net earnings—as well as to calculate the net premiums in both scenarios. The impact of remeasurement, from the original locked-in discount rate to the current rate, is reported as a component of the Company’s AOCI. This original discount rate is locked in at the cohort’s inception or at the Transition Date and will continue to be used in determining the impact on future net earnings associated with that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DAC is used by insurance companies to defer costs related to acquiring insurance policies. Under the new guidance, amortization methods are simplified, and DAC for all insurance contracts will be subject to constant-level basis amortization over the lifetime of the policy. Historically, traditional life contracts were amortized in proportion to premiums over the expected premium-paying period. Additionally, shadow DAC is no longer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requirements of the new guidance did not impact capital and surplus or net income under statutory accounting practices, cash flows on the Company’s policies, or the underlying economics of the Company’s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Basis of Presentation and Recent Accounting Pronouncements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9C_eus-gaap--ScheduleOfErrorCorrect"/>
      <w:bookmarkEnd w:id="319"/>
      <w:r>
        <w:rPr>
          <w:rFonts w:ascii="Times New Roman;Times;Serif" w:hAnsi="Times New Roman;Times;Serif"/>
          <w:b w:val="false"/>
          <w:i w:val="false"/>
          <w:caps w:val="false"/>
          <w:smallCaps w:val="false"/>
          <w:sz w:val="20"/>
        </w:rPr>
        <w:t>The following tables present amounts as previously reported in 2025, the effect upon those amounts from the adoption of the new guidance under ASU No. 2018-12, and the resulting adjusted amounts that are reflected in the condensed consolidated financial statements included herein. The following tables only include those line items impacted by the adoption of the new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0" w:name="xdx_8BF_zo1b5p3vWUci"/>
      <w:bookmarkEnd w:id="320"/>
      <w:r>
        <w:rPr>
          <w:rFonts w:ascii="Times New Roman;Times;Serif" w:hAnsi="Times New Roman;Times;Serif"/>
          <w:b w:val="false"/>
          <w:i w:val="false"/>
          <w:caps w:val="false"/>
          <w:smallCaps w:val="false"/>
          <w:sz w:val="20"/>
        </w:rPr>
        <w:t>Schedule of Error Correcetion Prior Period Adjustments</w:t>
      </w:r>
    </w:p>
    <w:tbl>
      <w:tblPr>
        <w:tblW w:w="10265" w:type="dxa"/>
        <w:jc w:val="left"/>
        <w:tblInd w:w="0" w:type="dxa"/>
        <w:tblLayout w:type="fixed"/>
        <w:tblCellMar>
          <w:top w:w="0" w:type="dxa"/>
          <w:left w:w="0" w:type="dxa"/>
          <w:bottom w:w="0" w:type="dxa"/>
          <w:right w:w="0" w:type="dxa"/>
        </w:tblCellMar>
      </w:tblPr>
      <w:tblGrid>
        <w:gridCol w:w="1370"/>
        <w:gridCol w:w="60"/>
        <w:gridCol w:w="140"/>
        <w:gridCol w:w="1460"/>
        <w:gridCol w:w="95"/>
        <w:gridCol w:w="60"/>
        <w:gridCol w:w="140"/>
        <w:gridCol w:w="1055"/>
        <w:gridCol w:w="95"/>
        <w:gridCol w:w="60"/>
        <w:gridCol w:w="140"/>
        <w:gridCol w:w="1100"/>
        <w:gridCol w:w="95"/>
        <w:gridCol w:w="60"/>
        <w:gridCol w:w="140"/>
        <w:gridCol w:w="1220"/>
        <w:gridCol w:w="95"/>
        <w:gridCol w:w="60"/>
        <w:gridCol w:w="140"/>
        <w:gridCol w:w="1055"/>
        <w:gridCol w:w="95"/>
        <w:gridCol w:w="60"/>
        <w:gridCol w:w="140"/>
        <w:gridCol w:w="1220"/>
        <w:gridCol w:w="110"/>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D_20250401__20250630__srt--Restate"/>
            <w:bookmarkEnd w:id="321"/>
          </w:p>
        </w:tc>
        <w:tc>
          <w:tcPr>
            <w:tcW w:w="1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E_20250401__20250630__srt--Restate"/>
            <w:bookmarkEnd w:id="322"/>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3" w:name="xdx_493_20250401__20250630_zQ6bejErZfg6"/>
            <w:bookmarkEnd w:id="323"/>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9C_20250101__20250630__srt--Restate"/>
            <w:bookmarkEnd w:id="324"/>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5" w:name="xdx_49D_20250101__20250630__srt--Restate"/>
            <w:bookmarkEnd w:id="325"/>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9C_20250101__20250630_ze0d5uoRSI41"/>
            <w:bookmarkEnd w:id="326"/>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11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Condensed Consolidated Statements of Earnings:</w:t>
            </w:r>
          </w:p>
        </w:tc>
        <w:tc>
          <w:tcPr>
            <w:tcW w:w="60" w:type="dxa"/>
            <w:tcBorders/>
            <w:vAlign w:val="center"/>
          </w:tcPr>
          <w:p>
            <w:pPr>
              <w:pStyle w:val="TableContents"/>
              <w:bidi w:val="0"/>
              <w:spacing w:before="0" w:after="283"/>
              <w:jc w:val="left"/>
              <w:rPr/>
            </w:pPr>
            <w:r>
              <w:rPr/>
              <w:t> </w:t>
            </w:r>
          </w:p>
        </w:tc>
        <w:tc>
          <w:tcPr>
            <w:tcW w:w="434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2025</w:t>
            </w:r>
          </w:p>
        </w:tc>
        <w:tc>
          <w:tcPr>
            <w:tcW w:w="11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110" w:type="dxa"/>
            <w:tcBorders/>
            <w:vAlign w:val="center"/>
          </w:tcPr>
          <w:p>
            <w:pPr>
              <w:pStyle w:val="TableContents"/>
              <w:bidi w:val="0"/>
              <w:spacing w:before="0" w:after="283"/>
              <w:jc w:val="left"/>
              <w:rPr/>
            </w:pPr>
            <w:r>
              <w:rPr/>
              <w:t> </w:t>
            </w:r>
            <w:bookmarkStart w:id="327" w:name="xdx_40C_eus-gaap--BenefitsLossesAndExpen"/>
            <w:bookmarkEnd w:id="327"/>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8" w:name="xdx_40C_eus-gaap--PolicyholderBenefitsAn"/>
            <w:bookmarkEnd w:id="328"/>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Policyholder benefits and claims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FFFFFF" w:val="clear"/>
            <w:vAlign w:val="center"/>
          </w:tcPr>
          <w:p>
            <w:pPr>
              <w:pStyle w:val="TableContents"/>
              <w:bidi w:val="0"/>
              <w:spacing w:before="0" w:after="283"/>
              <w:jc w:val="right"/>
              <w:rPr/>
            </w:pPr>
            <w:r>
              <w:rPr/>
              <w:t>      </w:t>
            </w:r>
            <w:r>
              <w:rPr>
                <w:rFonts w:ascii="Times New Roman;Times;Serif" w:hAnsi="Times New Roman;Times;Serif"/>
              </w:rPr>
              <w:t>25,053,422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25,515,540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51,288,499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(317,785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50,970,714</w:t>
            </w:r>
          </w:p>
        </w:tc>
        <w:tc>
          <w:tcPr>
            <w:tcW w:w="110" w:type="dxa"/>
            <w:tcBorders/>
            <w:shd w:fill="FFFFFF" w:val="clear"/>
            <w:vAlign w:val="center"/>
          </w:tcPr>
          <w:p>
            <w:pPr>
              <w:pStyle w:val="TableContents"/>
              <w:bidi w:val="0"/>
              <w:spacing w:before="0" w:after="283"/>
              <w:jc w:val="left"/>
              <w:rPr/>
            </w:pPr>
            <w:r>
              <w:rPr/>
              <w:t> </w:t>
            </w:r>
            <w:bookmarkStart w:id="329" w:name="xdx_401_eus-gaap--DeferredPolicyAcquisit"/>
            <w:bookmarkEnd w:id="329"/>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deferred policy and pre-need acquisition costs and value of business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5,737,675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(2,864,168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10,434,210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(4,763,704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5,670,506</w:t>
            </w:r>
          </w:p>
        </w:tc>
        <w:tc>
          <w:tcPr>
            <w:tcW w:w="110" w:type="dxa"/>
            <w:tcBorders/>
            <w:shd w:fill="CCEEFF" w:val="clear"/>
            <w:vAlign w:val="center"/>
          </w:tcPr>
          <w:p>
            <w:pPr>
              <w:pStyle w:val="TableContents"/>
              <w:bidi w:val="0"/>
              <w:spacing w:before="0" w:after="283"/>
              <w:jc w:val="left"/>
              <w:rPr/>
            </w:pPr>
            <w:r>
              <w:rPr/>
              <w:t> </w:t>
            </w:r>
            <w:bookmarkStart w:id="330" w:name="xdx_408_eus-gaap--BenefitsLossesAndExpen"/>
            <w:bookmarkEnd w:id="330"/>
          </w:p>
        </w:tc>
      </w:tr>
      <w:tr>
        <w:trPr/>
        <w:tc>
          <w:tcPr>
            <w:tcW w:w="1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benefits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81,204,530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(2,402,050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78,802,480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158,373,359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(5,081,489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153,291,870</w:t>
            </w:r>
          </w:p>
        </w:tc>
        <w:tc>
          <w:tcPr>
            <w:tcW w:w="110"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1" w:name="xdx_40D_eus-gaap--IncomeLossFromContinui"/>
            <w:bookmarkEnd w:id="331"/>
          </w:p>
        </w:tc>
      </w:tr>
      <w:tr>
        <w:trPr/>
        <w:tc>
          <w:tcPr>
            <w:tcW w:w="1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8,336,619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10,738,669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13,907,513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18,989,002</w:t>
            </w:r>
          </w:p>
        </w:tc>
        <w:tc>
          <w:tcPr>
            <w:tcW w:w="110" w:type="dxa"/>
            <w:tcBorders/>
            <w:shd w:fill="FFFFFF" w:val="clear"/>
            <w:vAlign w:val="center"/>
          </w:tcPr>
          <w:p>
            <w:pPr>
              <w:pStyle w:val="TableContents"/>
              <w:bidi w:val="0"/>
              <w:spacing w:before="0" w:after="283"/>
              <w:jc w:val="left"/>
              <w:rPr/>
            </w:pPr>
            <w:r>
              <w:rPr/>
              <w:t> </w:t>
            </w:r>
            <w:bookmarkStart w:id="332" w:name="xdx_40B_eus-gaap--IncomeTaxExpenseBenefi"/>
            <w:bookmarkEnd w:id="332"/>
          </w:p>
        </w:tc>
      </w:tr>
      <w:tr>
        <w:trPr/>
        <w:tc>
          <w:tcPr>
            <w:tcW w:w="1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(1,830,264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(537,650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(2,367,914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(3,062,866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(1,141,646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(4,204,512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3" w:name="xdx_40B_eus-gaap--NetIncomeLoss_zIggjSf9"/>
            <w:bookmarkEnd w:id="333"/>
          </w:p>
        </w:tc>
      </w:tr>
      <w:tr>
        <w:trPr/>
        <w:tc>
          <w:tcPr>
            <w:tcW w:w="1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14,784,490</w:t>
            </w:r>
          </w:p>
        </w:tc>
        <w:tc>
          <w:tcPr>
            <w:tcW w:w="110"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4" w:name="xdx_408_eus-gaap--EarningsPerShareBasic_"/>
            <w:bookmarkEnd w:id="334"/>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Net earnings per Class A equivalent common share </w:t>
            </w:r>
            <w:bookmarkStart w:id="335" w:name="xdx_F40_z6bsaEMWJJAh"/>
            <w:bookmarkEnd w:id="335"/>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0"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6" w:name="xdx_400_eus-gaap--EarningsPerShareDilute"/>
            <w:bookmarkEnd w:id="336"/>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Net earnings per Class A equivalent common share - assuming dilution </w:t>
            </w:r>
            <w:bookmarkStart w:id="337" w:name="xdx_F47_z2xecoUe1RLg"/>
            <w:bookmarkEnd w:id="337"/>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rFonts w:ascii="Times New Roman;Times;Serif" w:hAnsi="Times New Roman;Times;Serif"/>
                <w:sz w:val="20"/>
              </w:rPr>
            </w:pPr>
            <w:bookmarkStart w:id="338" w:name="xdx_F0C_znCYlWExcck2"/>
            <w:bookmarkEnd w:id="338"/>
            <w:r>
              <w:rPr>
                <w:rFonts w:ascii="Times New Roman;Times;Serif" w:hAnsi="Times New Roman;Times;Serif"/>
                <w:sz w:val="20"/>
              </w:rPr>
              <w:t>(1)</w:t>
            </w:r>
          </w:p>
        </w:tc>
        <w:tc>
          <w:tcPr>
            <w:tcW w:w="5045" w:type="dxa"/>
            <w:tcBorders/>
            <w:vAlign w:val="center"/>
          </w:tcPr>
          <w:p>
            <w:pPr>
              <w:pStyle w:val="TableContents"/>
              <w:bidi w:val="0"/>
              <w:spacing w:before="0" w:after="283"/>
              <w:jc w:val="left"/>
              <w:rPr>
                <w:rFonts w:ascii="Times New Roman;Times;Serif" w:hAnsi="Times New Roman;Times;Serif"/>
                <w:sz w:val="20"/>
              </w:rPr>
            </w:pPr>
            <w:bookmarkStart w:id="339" w:name="xdx_F10_zkRc71MOLhbj"/>
            <w:bookmarkEnd w:id="339"/>
            <w:r>
              <w:rPr>
                <w:rFonts w:ascii="Times New Roman;Times;Serif" w:hAnsi="Times New Roman;Times;Serif"/>
                <w:sz w:val="20"/>
              </w:rPr>
              <w:t>Adjusted retroactively for the effect of annual stock 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4"/>
        <w:gridCol w:w="60"/>
        <w:gridCol w:w="144"/>
        <w:gridCol w:w="1008"/>
        <w:gridCol w:w="95"/>
        <w:gridCol w:w="60"/>
        <w:gridCol w:w="140"/>
        <w:gridCol w:w="1055"/>
        <w:gridCol w:w="95"/>
        <w:gridCol w:w="60"/>
        <w:gridCol w:w="143"/>
        <w:gridCol w:w="1079"/>
        <w:gridCol w:w="95"/>
        <w:gridCol w:w="60"/>
        <w:gridCol w:w="143"/>
        <w:gridCol w:w="1126"/>
        <w:gridCol w:w="95"/>
        <w:gridCol w:w="60"/>
        <w:gridCol w:w="140"/>
        <w:gridCol w:w="1175"/>
        <w:gridCol w:w="95"/>
        <w:gridCol w:w="60"/>
        <w:gridCol w:w="142"/>
        <w:gridCol w:w="1196"/>
        <w:gridCol w:w="115"/>
      </w:tblGrid>
      <w:tr>
        <w:trPr/>
        <w:tc>
          <w:tcPr>
            <w:tcW w:w="1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0" w:name="xdx_499_20250401__20250630__srt--Restate"/>
            <w:bookmarkEnd w:id="340"/>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1" w:name="xdx_493_20250401__20250630__srt--Restate"/>
            <w:bookmarkEnd w:id="341"/>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2" w:name="xdx_49F_20250401__20250630_zmvtrwih5W77"/>
            <w:bookmarkEnd w:id="342"/>
          </w:p>
        </w:tc>
        <w:tc>
          <w:tcPr>
            <w:tcW w:w="12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3" w:name="xdx_491_20250101__20250630__srt--Restate"/>
            <w:bookmarkEnd w:id="343"/>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4" w:name="xdx_496_20250101__20250630__srt--Restate"/>
            <w:bookmarkEnd w:id="344"/>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5" w:name="xdx_497_20250101__20250630_zyHEXBt6ARl4"/>
            <w:bookmarkEnd w:id="345"/>
          </w:p>
        </w:tc>
        <w:tc>
          <w:tcPr>
            <w:tcW w:w="13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115" w:type="dxa"/>
            <w:tcBorders/>
            <w:vAlign w:val="center"/>
          </w:tcPr>
          <w:p>
            <w:pPr>
              <w:pStyle w:val="TableContents"/>
              <w:bidi w:val="0"/>
              <w:spacing w:before="0" w:after="283"/>
              <w:jc w:val="left"/>
              <w:rPr/>
            </w:pPr>
            <w:r>
              <w:rPr/>
              <w:t> </w:t>
            </w:r>
          </w:p>
        </w:tc>
      </w:tr>
      <w:tr>
        <w:trPr/>
        <w:tc>
          <w:tcPr>
            <w:tcW w:w="176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Condensed Consolidated Statements of Comprehensive Income:</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3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2025</w:t>
            </w:r>
          </w:p>
        </w:tc>
        <w:tc>
          <w:tcPr>
            <w:tcW w:w="115" w:type="dxa"/>
            <w:tcBorders/>
            <w:vAlign w:val="center"/>
          </w:tcPr>
          <w:p>
            <w:pPr>
              <w:pStyle w:val="TableContents"/>
              <w:bidi w:val="0"/>
              <w:spacing w:before="0" w:after="283"/>
              <w:jc w:val="left"/>
              <w:rPr/>
            </w:pPr>
            <w:r>
              <w:rPr/>
              <w:t> </w:t>
            </w:r>
          </w:p>
        </w:tc>
      </w:tr>
      <w:tr>
        <w:trPr/>
        <w:tc>
          <w:tcPr>
            <w:tcW w:w="1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Currently Reported</w:t>
            </w:r>
          </w:p>
        </w:tc>
        <w:tc>
          <w:tcPr>
            <w:tcW w:w="115" w:type="dxa"/>
            <w:tcBorders/>
            <w:vAlign w:val="center"/>
          </w:tcPr>
          <w:p>
            <w:pPr>
              <w:pStyle w:val="TableContents"/>
              <w:bidi w:val="0"/>
              <w:spacing w:before="0" w:after="283"/>
              <w:jc w:val="left"/>
              <w:rPr/>
            </w:pPr>
            <w:r>
              <w:rPr/>
              <w:t> </w:t>
            </w:r>
            <w:bookmarkStart w:id="346" w:name="xdx_408_eus-gaap--NetIncomeLoss_zLtuypBK"/>
            <w:bookmarkEnd w:id="346"/>
          </w:p>
        </w:tc>
      </w:tr>
      <w:tr>
        <w:trPr/>
        <w:tc>
          <w:tcPr>
            <w:tcW w:w="17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earnings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8,370,755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14,784,490</w:t>
            </w:r>
          </w:p>
        </w:tc>
        <w:tc>
          <w:tcPr>
            <w:tcW w:w="115" w:type="dxa"/>
            <w:tcBorders/>
            <w:shd w:fill="CCEEFF" w:val="clear"/>
            <w:vAlign w:val="center"/>
          </w:tcPr>
          <w:p>
            <w:pPr>
              <w:pStyle w:val="TableContents"/>
              <w:bidi w:val="0"/>
              <w:spacing w:before="0" w:after="283"/>
              <w:jc w:val="left"/>
              <w:rPr/>
            </w:pPr>
            <w:r>
              <w:rPr/>
              <w:t> </w:t>
            </w:r>
            <w:bookmarkStart w:id="347" w:name="xdx_402_eus-gaap--OtherComprehensiveInco"/>
            <w:bookmarkEnd w:id="347"/>
          </w:p>
        </w:tc>
      </w:tr>
      <w:tr>
        <w:trPr/>
        <w:tc>
          <w:tcPr>
            <w:tcW w:w="17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348" w:name="xdx_402_eus-gaap--OtherComprehensiveInco"/>
            <w:bookmarkEnd w:id="348"/>
          </w:p>
        </w:tc>
      </w:tr>
      <w:tr>
        <w:trPr/>
        <w:tc>
          <w:tcPr>
            <w:tcW w:w="17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gains on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2,693,245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2,772,234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6,481,974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6,633,491</w:t>
            </w:r>
          </w:p>
        </w:tc>
        <w:tc>
          <w:tcPr>
            <w:tcW w:w="115" w:type="dxa"/>
            <w:tcBorders/>
            <w:shd w:fill="CCEEFF" w:val="clear"/>
            <w:vAlign w:val="center"/>
          </w:tcPr>
          <w:p>
            <w:pPr>
              <w:pStyle w:val="TableContents"/>
              <w:bidi w:val="0"/>
              <w:spacing w:before="0" w:after="283"/>
              <w:jc w:val="left"/>
              <w:rPr/>
            </w:pPr>
            <w:r>
              <w:rPr/>
              <w:t> </w:t>
            </w:r>
            <w:bookmarkStart w:id="349" w:name="xdx_408_eus-gaap--OciLiabilityForFutureP"/>
            <w:bookmarkEnd w:id="349"/>
          </w:p>
        </w:tc>
      </w:tr>
      <w:tr>
        <w:trPr/>
        <w:tc>
          <w:tcPr>
            <w:tcW w:w="17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 remeasurement of future policy benefits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(2,038,836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(2,038,836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(10,161,681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(10,161,681</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0" w:name="xdx_40F_eus-gaap--OtherComprehensiveInco"/>
            <w:bookmarkEnd w:id="350"/>
          </w:p>
        </w:tc>
      </w:tr>
      <w:tr>
        <w:trPr/>
        <w:tc>
          <w:tcPr>
            <w:tcW w:w="17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 before income tax</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2,687,276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(1,959,847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6,483,107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(10,010,164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1" w:name="xdx_409_eus-gaap--OtherComprehensiveInco"/>
            <w:bookmarkEnd w:id="351"/>
          </w:p>
        </w:tc>
      </w:tr>
      <w:tr>
        <w:trPr/>
        <w:tc>
          <w:tcPr>
            <w:tcW w:w="17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(563,765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(1,361,984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740,152</w:t>
            </w:r>
          </w:p>
        </w:tc>
        <w:tc>
          <w:tcPr>
            <w:tcW w:w="115" w:type="dxa"/>
            <w:tcBorders/>
            <w:shd w:fill="FFFFFF" w:val="clear"/>
            <w:vAlign w:val="center"/>
          </w:tcPr>
          <w:p>
            <w:pPr>
              <w:pStyle w:val="TableContents"/>
              <w:bidi w:val="0"/>
              <w:spacing w:before="0" w:after="283"/>
              <w:jc w:val="left"/>
              <w:rPr/>
            </w:pPr>
            <w:r>
              <w:rPr/>
              <w:t> </w:t>
            </w:r>
            <w:bookmarkStart w:id="352" w:name="xdx_407_eus-gaap--OtherComprehensiveInco"/>
            <w:bookmarkEnd w:id="352"/>
          </w:p>
        </w:tc>
      </w:tr>
      <w:tr>
        <w:trPr/>
        <w:tc>
          <w:tcPr>
            <w:tcW w:w="17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 net of income tax</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5,121,123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(7,908,028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(2,786,905</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3" w:name="xdx_402_eus-gaap--ComprehensiveIncomeNet"/>
            <w:bookmarkEnd w:id="353"/>
          </w:p>
        </w:tc>
      </w:tr>
      <w:tr>
        <w:trPr/>
        <w:tc>
          <w:tcPr>
            <w:tcW w:w="17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8,629,866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8,945,987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15,965,770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(3,968,185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11,997,585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5"/>
        <w:gridCol w:w="60"/>
        <w:gridCol w:w="140"/>
        <w:gridCol w:w="1220"/>
        <w:gridCol w:w="95"/>
        <w:gridCol w:w="60"/>
        <w:gridCol w:w="140"/>
        <w:gridCol w:w="1100"/>
        <w:gridCol w:w="60"/>
        <w:gridCol w:w="60"/>
        <w:gridCol w:w="140"/>
        <w:gridCol w:w="1220"/>
        <w:gridCol w:w="75"/>
      </w:tblGrid>
      <w:tr>
        <w:trPr/>
        <w:tc>
          <w:tcPr>
            <w:tcW w:w="5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4" w:name="xdx_493_20250630__srt--RestatementAxis__"/>
            <w:bookmarkEnd w:id="354"/>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Previously</w:t>
            </w:r>
          </w:p>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5" w:name="xdx_49C_20250630__srt--RestatementAxis__"/>
            <w:bookmarkEnd w:id="355"/>
          </w:p>
        </w:tc>
        <w:tc>
          <w:tcPr>
            <w:tcW w:w="1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6" w:name="xdx_494_20250630_zIFUcKuqbIJ8"/>
            <w:bookmarkEnd w:id="356"/>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Currently</w:t>
            </w:r>
          </w:p>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75" w:type="dxa"/>
            <w:tcBorders/>
            <w:vAlign w:val="center"/>
          </w:tcPr>
          <w:p>
            <w:pPr>
              <w:pStyle w:val="TableContents"/>
              <w:bidi w:val="0"/>
              <w:spacing w:before="0" w:after="283"/>
              <w:jc w:val="left"/>
              <w:rPr/>
            </w:pPr>
            <w:r>
              <w:rPr/>
              <w:t> </w:t>
            </w:r>
          </w:p>
        </w:tc>
      </w:tr>
      <w:tr>
        <w:trPr/>
        <w:tc>
          <w:tcPr>
            <w:tcW w:w="58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Condensed Consolidated Statements of Stockholders’ Equity:</w:t>
            </w:r>
          </w:p>
        </w:tc>
        <w:tc>
          <w:tcPr>
            <w:tcW w:w="60" w:type="dxa"/>
            <w:tcBorders/>
            <w:vAlign w:val="center"/>
          </w:tcPr>
          <w:p>
            <w:pPr>
              <w:pStyle w:val="TableContents"/>
              <w:bidi w:val="0"/>
              <w:spacing w:before="0" w:after="283"/>
              <w:jc w:val="left"/>
              <w:rPr/>
            </w:pPr>
            <w:r>
              <w:rPr/>
              <w:t> </w:t>
            </w:r>
          </w:p>
        </w:tc>
        <w:tc>
          <w:tcPr>
            <w:tcW w:w="42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2025</w:t>
            </w:r>
          </w:p>
        </w:tc>
        <w:tc>
          <w:tcPr>
            <w:tcW w:w="75" w:type="dxa"/>
            <w:tcBorders/>
            <w:vAlign w:val="center"/>
          </w:tcPr>
          <w:p>
            <w:pPr>
              <w:pStyle w:val="TableContents"/>
              <w:bidi w:val="0"/>
              <w:spacing w:before="0" w:after="283"/>
              <w:jc w:val="left"/>
              <w:rPr/>
            </w:pPr>
            <w:r>
              <w:rPr/>
              <w:t> </w:t>
            </w:r>
          </w:p>
        </w:tc>
      </w:tr>
      <w:tr>
        <w:trPr/>
        <w:tc>
          <w:tcPr>
            <w:tcW w:w="5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Previously</w:t>
            </w:r>
          </w:p>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Effect of</w:t>
            </w:r>
          </w:p>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Currently</w:t>
            </w:r>
          </w:p>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75" w:type="dxa"/>
            <w:tcBorders/>
            <w:vAlign w:val="center"/>
          </w:tcPr>
          <w:p>
            <w:pPr>
              <w:pStyle w:val="TableContents"/>
              <w:bidi w:val="0"/>
              <w:spacing w:before="0" w:after="283"/>
              <w:jc w:val="left"/>
              <w:rPr/>
            </w:pPr>
            <w:r>
              <w:rPr/>
              <w:t> </w:t>
            </w:r>
            <w:bookmarkStart w:id="357" w:name="xdx_404_eus-gaap--AccumulatedOtherCompre"/>
            <w:bookmarkEnd w:id="357"/>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32,762,867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30,932,724</w:t>
            </w:r>
          </w:p>
        </w:tc>
        <w:tc>
          <w:tcPr>
            <w:tcW w:w="75" w:type="dxa"/>
            <w:tcBorders/>
            <w:shd w:fill="CCEEFF" w:val="clear"/>
            <w:vAlign w:val="center"/>
          </w:tcPr>
          <w:p>
            <w:pPr>
              <w:pStyle w:val="TableContents"/>
              <w:bidi w:val="0"/>
              <w:spacing w:before="0" w:after="283"/>
              <w:jc w:val="left"/>
              <w:rPr/>
            </w:pPr>
            <w:r>
              <w:rPr/>
              <w:t> </w:t>
            </w:r>
            <w:bookmarkStart w:id="358" w:name="xdx_406_eus-gaap--RetainedEarningsAccumu"/>
            <w:bookmarkEnd w:id="358"/>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225,043,793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6,385,096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231,428,889</w:t>
            </w:r>
          </w:p>
        </w:tc>
        <w:tc>
          <w:tcPr>
            <w:tcW w:w="75" w:type="dxa"/>
            <w:tcBorders/>
            <w:shd w:fill="FFFFFF" w:val="clear"/>
            <w:vAlign w:val="center"/>
          </w:tcPr>
          <w:p>
            <w:pPr>
              <w:pStyle w:val="TableContents"/>
              <w:bidi w:val="0"/>
              <w:spacing w:before="0" w:after="283"/>
              <w:jc w:val="left"/>
              <w:rPr/>
            </w:pPr>
            <w:r>
              <w:rPr/>
              <w:t> </w:t>
            </w:r>
            <w:bookmarkStart w:id="359" w:name="xdx_403_eus-gaap--StockholdersEquity_iI_"/>
            <w:bookmarkEnd w:id="359"/>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354,754,718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39,147,963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393,902,681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0" w:name="xdx_8AF_zWYcTLsMaWJ2"/>
      <w:bookmarkEnd w:id="36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Basis of Presentation and Recent Accounting Pronouncements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Accounting Standards Issued But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ASU No. 2024-03: “Income Statement-Reporting Comprehensive Income- Expense Disaggregation Disclosures (Subtopic 220-40): Disaggregation of Income Statement Expenses” </w:t>
      </w:r>
      <w:r>
        <w:rPr>
          <w:rFonts w:ascii="Times New Roman;Times;Serif" w:hAnsi="Times New Roman;Times;Serif"/>
          <w:b w:val="false"/>
          <w:i w:val="false"/>
          <w:caps w:val="false"/>
          <w:smallCaps w:val="false"/>
          <w:sz w:val="20"/>
        </w:rPr>
        <w:t>—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this new standard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ASU No. 2025-11: “Interim Reporting (Topic 270): Narrow-Scope Improvements” </w:t>
      </w:r>
      <w:r>
        <w:rPr>
          <w:rFonts w:ascii="Times New Roman;Times;Serif" w:hAnsi="Times New Roman;Times;Serif"/>
          <w:b w:val="false"/>
          <w:i w:val="false"/>
          <w:caps w:val="false"/>
          <w:smallCaps w:val="false"/>
          <w:sz w:val="20"/>
        </w:rPr>
        <w:t>— Issued in December 2025, ASU 2025-11 clarifies the form, content, and disclosure requirements for interim financial statements and the application of Topic 270. The update differentiates requirements by entity type: SEC registrants must continue to follow SEC rules for condensed financial statements; non-SEC registrants may present either full or condensed statements, using either the ASU’s guidance or SEC-style condensed guidance; and not-for-profit entities follow the non-SEC model with additional presentation considerations specific to NFP reporting. The ASU also compiles a comprehensive list of required interim disclosures for condensed statements from across the Codification, supported by conforming edits, to improve usability (while not replacing underlying guidance). In addition, the ASU reinforces a disclosure principle requiring entities to provide interim disclosures for significant events or transactions that have had a material effect since the most recent year-end, such as changes in accounting principles, key estimates, financing arrangements, long-term contracts, or the reporting entity. The amendments are effective for public business entities for interim periods within annual periods beginning after December 15, 2027, with early adoption permitted. The guidance may be applied prospectively or retrospectively. The Company is in the process of estimating the potential impact of this new standard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reviewed other recent accounting pronouncements and has determined that they will not significantly impact the Company’s results of operations or financial position.</w:t>
      </w:r>
    </w:p>
    <w:p>
      <w:pPr>
        <w:pStyle w:val="TextBody"/>
        <w:bidi w:val="0"/>
        <w:spacing w:before="0" w:after="0"/>
        <w:ind w:left="0" w:right="0" w:hanging="0"/>
        <w:jc w:val="both"/>
        <w:rPr>
          <w:caps w:val="false"/>
          <w:smallCaps w:val="false"/>
        </w:rPr>
      </w:pPr>
      <w:bookmarkStart w:id="361" w:name="xdx_854_zb6qjdfP4H8i"/>
      <w:bookmarkEnd w:id="36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04_eus-gaap--InvestmentsInDebtAndMa"/>
      <w:bookmarkEnd w:id="362"/>
      <w:r>
        <w:rPr>
          <w:rFonts w:ascii="Times New Roman;Times;Serif" w:hAnsi="Times New Roman;Times;Serif"/>
          <w:b w:val="false"/>
          <w:i w:val="false"/>
          <w:caps w:val="false"/>
          <w:smallCaps w:val="false"/>
          <w:sz w:val="20"/>
        </w:rPr>
        <w:t xml:space="preserve">2) </w:t>
      </w:r>
      <w:bookmarkStart w:id="363" w:name="xdx_82E_zxT0ASE9uPD9"/>
      <w:bookmarkStart w:id="364" w:name="TM_010"/>
      <w:bookmarkEnd w:id="363"/>
      <w:bookmarkEnd w:id="364"/>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5" w:name="xdx_89E_eus-gaap--ScheduleOfAvailableFor"/>
      <w:bookmarkEnd w:id="365"/>
      <w:r>
        <w:rPr>
          <w:rFonts w:ascii="Times New Roman;Times;Serif" w:hAnsi="Times New Roman;Times;Serif"/>
          <w:b w:val="false"/>
          <w:i w:val="false"/>
          <w:caps w:val="false"/>
          <w:smallCaps w:val="false"/>
          <w:sz w:val="20"/>
        </w:rPr>
        <w:t>The Company’s investments as of June 30, 2026, are summarized as follows:</w:t>
      </w:r>
    </w:p>
    <w:p>
      <w:pPr>
        <w:pStyle w:val="TextBody"/>
        <w:bidi w:val="0"/>
        <w:spacing w:before="0" w:after="0"/>
        <w:ind w:left="0" w:right="0" w:hanging="0"/>
        <w:jc w:val="both"/>
        <w:rPr>
          <w:caps w:val="false"/>
          <w:smallCaps w:val="false"/>
        </w:rPr>
      </w:pPr>
      <w:r>
        <w:rPr>
          <w:caps w:val="false"/>
          <w:smallCaps w:val="false"/>
        </w:rPr>
        <w:t> </w:t>
      </w:r>
      <w:bookmarkStart w:id="366" w:name="xdx_8B0_zkAV2icETgJf"/>
      <w:bookmarkEnd w:id="366"/>
      <w:r>
        <w:rPr>
          <w:rFonts w:ascii="Times New Roman;Times;Serif" w:hAnsi="Times New Roman;Times;Serif"/>
          <w:b w:val="false"/>
          <w:i w:val="false"/>
          <w:caps w:val="false"/>
          <w:smallCaps w:val="false"/>
          <w:sz w:val="20"/>
        </w:rPr>
        <w:t>Schedule of Investments</w:t>
      </w:r>
    </w:p>
    <w:tbl>
      <w:tblPr>
        <w:tblW w:w="10205" w:type="dxa"/>
        <w:jc w:val="left"/>
        <w:tblInd w:w="0" w:type="dxa"/>
        <w:tblLayout w:type="fixed"/>
        <w:tblCellMar>
          <w:top w:w="0" w:type="dxa"/>
          <w:left w:w="0" w:type="dxa"/>
          <w:bottom w:w="0" w:type="dxa"/>
          <w:right w:w="0" w:type="dxa"/>
        </w:tblCellMar>
      </w:tblPr>
      <w:tblGrid>
        <w:gridCol w:w="3189"/>
        <w:gridCol w:w="60"/>
        <w:gridCol w:w="140"/>
        <w:gridCol w:w="1400"/>
        <w:gridCol w:w="95"/>
        <w:gridCol w:w="60"/>
        <w:gridCol w:w="140"/>
        <w:gridCol w:w="980"/>
        <w:gridCol w:w="60"/>
        <w:gridCol w:w="60"/>
        <w:gridCol w:w="140"/>
        <w:gridCol w:w="1055"/>
        <w:gridCol w:w="95"/>
        <w:gridCol w:w="60"/>
        <w:gridCol w:w="145"/>
        <w:gridCol w:w="910"/>
        <w:gridCol w:w="95"/>
        <w:gridCol w:w="60"/>
        <w:gridCol w:w="142"/>
        <w:gridCol w:w="1242"/>
        <w:gridCol w:w="77"/>
      </w:tblGrid>
      <w:tr>
        <w:trPr/>
        <w:tc>
          <w:tcPr>
            <w:tcW w:w="3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Amortized 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Losses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Allowance</w:t>
            </w:r>
          </w:p>
          <w:p>
            <w:pPr>
              <w:pStyle w:val="TableContents"/>
              <w:bidi w:val="0"/>
              <w:jc w:val="center"/>
              <w:rPr>
                <w:rFonts w:ascii="Times New Roman;Times;Serif" w:hAnsi="Times New Roman;Times;Serif"/>
              </w:rPr>
            </w:pPr>
            <w:r>
              <w:rPr>
                <w:rFonts w:ascii="Times New Roman;Times;Serif" w:hAnsi="Times New Roman;Times;Serif"/>
              </w:rPr>
              <w:t>for Credit</w:t>
            </w:r>
          </w:p>
          <w:p>
            <w:pPr>
              <w:pStyle w:val="TableContents"/>
              <w:bidi w:val="0"/>
              <w:spacing w:before="0" w:after="283"/>
              <w:jc w:val="center"/>
              <w:rPr>
                <w:rFonts w:ascii="Times New Roman;Times;Serif" w:hAnsi="Times New Roman;Times;Serif"/>
              </w:rPr>
            </w:pPr>
            <w:r>
              <w:rPr>
                <w:rFonts w:ascii="Times New Roman;Times;Serif" w:hAnsi="Times New Roman;Times;Serif"/>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 xml:space="preserve">Estimated Fair </w:t>
            </w:r>
          </w:p>
          <w:p>
            <w:pPr>
              <w:pStyle w:val="TableContents"/>
              <w:bidi w:val="0"/>
              <w:spacing w:before="0" w:after="283"/>
              <w:jc w:val="center"/>
              <w:rPr/>
            </w:pPr>
            <w:r>
              <w:rPr/>
              <w:t>Value</w:t>
            </w:r>
          </w:p>
        </w:tc>
        <w:tc>
          <w:tcPr>
            <w:tcW w:w="77" w:type="dxa"/>
            <w:tcBorders/>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Treasury securities and obligations of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7" w:name="xdx_98C_eus-gaap--AvailableForSaleDebtSe"/>
            <w:bookmarkEnd w:id="367"/>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75,537,690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8" w:name="xdx_98C_eus-gaap--AvailableForSaleDebtSe"/>
            <w:bookmarkEnd w:id="36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9" w:name="xdx_98C_eus-gaap--AvailableForSaleDebtSe"/>
            <w:bookmarkEnd w:id="369"/>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0" w:name="xdx_988_eus-gaap--DebtSecuritiesAvailabl"/>
            <w:bookmarkEnd w:id="370"/>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1" w:name="xdx_985_eus-gaap--AvailableForSaleSecuri"/>
            <w:bookmarkEnd w:id="371"/>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75,412,884</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2" w:name="xdx_98A_eus-gaap--AvailableForSaleDebtSe"/>
            <w:bookmarkEnd w:id="372"/>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3" w:name="xdx_983_eus-gaap--AvailableForSaleDebtSe"/>
            <w:bookmarkEnd w:id="37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4" w:name="xdx_983_eus-gaap--AvailableForSaleDebtSe"/>
            <w:bookmarkEnd w:id="37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(185,443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375" w:name="xdx_98B_eus-gaap--DebtSecuritiesAvailabl"/>
            <w:bookmarkEnd w:id="375"/>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376" w:name="xdx_983_eus-gaap--AvailableForSaleSecuri"/>
            <w:bookmarkEnd w:id="376"/>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2,905,363</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securities including public utilities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7" w:name="xdx_98F_eus-gaap--AvailableForSaleDebtSe"/>
            <w:bookmarkEnd w:id="377"/>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284,497,104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8" w:name="xdx_98B_eus-gaap--AvailableForSaleDebtSe"/>
            <w:bookmarkEnd w:id="37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79" w:name="xdx_980_eus-gaap--AvailableForSaleDebtSe"/>
            <w:bookmarkEnd w:id="379"/>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(4,153,173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380" w:name="xdx_98F_eus-gaap--DebtSecuritiesAvailabl"/>
            <w:bookmarkEnd w:id="380"/>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(636,611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381" w:name="xdx_989_eus-gaap--AvailableForSaleSecuri"/>
            <w:bookmarkEnd w:id="381"/>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283,711,235</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2" w:name="xdx_981_eus-gaap--AvailableForSaleDebtSe"/>
            <w:bookmarkEnd w:id="382"/>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21,228,233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3" w:name="xdx_98F_eus-gaap--AvailableForSaleDebtSe"/>
            <w:bookmarkEnd w:id="38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4" w:name="xdx_98E_eus-gaap--AvailableForSaleDebtSe"/>
            <w:bookmarkEnd w:id="38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(3,384,006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385" w:name="xdx_98C_eus-gaap--DebtSecuritiesAvailabl"/>
            <w:bookmarkEnd w:id="385"/>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(204,049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386" w:name="xdx_984_eus-gaap--AvailableForSaleSecuri"/>
            <w:bookmarkEnd w:id="386"/>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17,677,668</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7" w:name="xdx_988_eus-gaap--AvailableForSaleDebtSe"/>
            <w:bookmarkEnd w:id="387"/>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8" w:name="xdx_985_eus-gaap--AvailableForSaleDebtSe"/>
            <w:bookmarkEnd w:id="38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9" w:name="xdx_98E_eus-gaap--AvailableForSaleDebtSe"/>
            <w:bookmarkEnd w:id="38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0" w:name="xdx_98D_eus-gaap--DebtSecuritiesAvailabl"/>
            <w:bookmarkEnd w:id="390"/>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1" w:name="xdx_98A_eus-gaap--AvailableForSaleSecuri"/>
            <w:bookmarkEnd w:id="391"/>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721,700</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maturity securities available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2" w:name="xdx_984_eus-gaap--AvailableForSaleDebtSe"/>
            <w:bookmarkEnd w:id="392"/>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385,103,571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3" w:name="xdx_98A_eus-gaap--AvailableForSaleDebtSe"/>
            <w:bookmarkEnd w:id="39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4,263,328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4" w:name="xdx_983_eus-gaap--AvailableForSaleDebtSe"/>
            <w:bookmarkEnd w:id="394"/>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(8,097,389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5" w:name="xdx_986_eus-gaap--DebtSecuritiesAvailabl"/>
            <w:bookmarkEnd w:id="395"/>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(840,660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6" w:name="xdx_982_eus-gaap--AvailableForSaleSecuri"/>
            <w:bookmarkEnd w:id="396"/>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380,428,850</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Industrial, miscellaneous and 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7" w:name="xdx_98D_eus-gaap--EquitySecuritiesFvNiCo"/>
            <w:bookmarkEnd w:id="397"/>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12,540,527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8" w:name="xdx_986_eus-gaap--EquitySecuritiesFvNiUn"/>
            <w:bookmarkEnd w:id="39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8,479,971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9" w:name="xdx_985_eus-gaap--EquitySecuritiesFvNiUn"/>
            <w:bookmarkEnd w:id="39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0" w:name="xdx_985_eus-gaap--EquitySecuritiesFvNi_i"/>
            <w:bookmarkEnd w:id="400"/>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20,782,573</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1" w:name="xdx_98D_eus-gaap--EquitySecuritiesFvNiCo"/>
            <w:bookmarkEnd w:id="401"/>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12,540,527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2" w:name="xdx_987_eus-gaap--EquitySecuritiesFvNiUn"/>
            <w:bookmarkEnd w:id="40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8,479,971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3" w:name="xdx_98E_eus-gaap--EquitySecuritiesFvNiUn"/>
            <w:bookmarkEnd w:id="403"/>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4" w:name="xdx_981_eus-gaap--EquitySecuritiesFvNi_i"/>
            <w:bookmarkEnd w:id="404"/>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20,782,573</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5" w:name="xdx_98E_eus-gaap--NotesReceivableGross_i"/>
            <w:bookmarkEnd w:id="405"/>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85,963,856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6" w:name="xdx_981_eus-gaap--NotesReceivableGross_i"/>
            <w:bookmarkEnd w:id="406"/>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7" w:name="xdx_983_eus-gaap--NotesReceivableGross_i"/>
            <w:bookmarkEnd w:id="407"/>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deferred loan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8" w:name="xdx_981_ecustom--MortgageLoansOnRealEsta"/>
            <w:bookmarkEnd w:id="408"/>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(1,552,440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9" w:name="xdx_98D_eus-gaap--FinancingReceivableAll"/>
            <w:bookmarkEnd w:id="409"/>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discounts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0" w:name="xdx_989_ecustom--MortgageLoansOnRealEsta"/>
            <w:bookmarkEnd w:id="410"/>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(244,309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mortgage 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1" w:name="xdx_985_eus-gaap--MortgageLoansOnRealEst"/>
            <w:bookmarkEnd w:id="411"/>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290,685,188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held for investment - net of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2" w:name="xdx_98D_eus-gaap--RealEstateInvestmentPr"/>
            <w:bookmarkEnd w:id="412"/>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116,634,085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3" w:name="xdx_987_eus-gaap--RealEstateInvestmentPr"/>
            <w:bookmarkEnd w:id="413"/>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118,437,302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real estate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4" w:name="xdx_988_eus-gaap--RealEstateInvestmentPr"/>
            <w:bookmarkEnd w:id="414"/>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235,071,387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5" w:name="xdx_98E_eus-gaap--RealEstateHeldforsale_"/>
            <w:bookmarkEnd w:id="415"/>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6,345,029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6" w:name="xdx_986_eus-gaap--RealEstateHeldforsale_"/>
            <w:bookmarkEnd w:id="416"/>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7" w:name="xdx_984_eus-gaap--RealEstateHeldforsale_"/>
            <w:bookmarkEnd w:id="417"/>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9,581,314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 and policy loans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8" w:name="xdx_988_ecustom--PolicyLoansAmortizedCos"/>
            <w:bookmarkEnd w:id="418"/>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14,616,118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assignments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9" w:name="xdx_98B_ecustom--InsuranceAssignmentsAmo"/>
            <w:bookmarkEnd w:id="419"/>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44,009,510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Home Loan Bank stock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0" w:name="xdx_98A_eus-gaap--FederalHomeLoanBankSto"/>
            <w:bookmarkEnd w:id="420"/>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1" w:name="xdx_981_ecustom--OtherInvestmentsAmortiz"/>
            <w:bookmarkEnd w:id="421"/>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22,223,337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 for insurance assignments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2" w:name="xdx_98A_eus-gaap--AllowanceForDoubtfulAc"/>
            <w:bookmarkEnd w:id="422"/>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(1,476,295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investments and policy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3" w:name="xdx_98D_ecustom--PolicyAndOtherLoansRece"/>
            <w:bookmarkEnd w:id="423"/>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80,052,870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1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4" w:name="xdx_987_eus-gaap--AccruedInvestmentIncom"/>
            <w:bookmarkEnd w:id="424"/>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9,393,407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18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5" w:name="xdx_98A_eus-gaap--Investments_iI_c202606"/>
            <w:bookmarkEnd w:id="425"/>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1,025,995,589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26" w:name="xdx_F01_zJ9cZvRVPhHd"/>
            <w:bookmarkEnd w:id="426"/>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27" w:name="xdx_F18_zRMCeDG54wKb"/>
            <w:bookmarkEnd w:id="427"/>
            <w:r>
              <w:rPr>
                <w:rFonts w:ascii="Times New Roman;Times;Serif" w:hAnsi="Times New Roman;Times;Serif"/>
                <w:b w:val="false"/>
                <w:i w:val="false"/>
                <w:caps w:val="false"/>
                <w:smallCaps w:val="false"/>
                <w:sz w:val="20"/>
              </w:rPr>
              <w:t>Gross unrealized losses are net of allowance for credit losses</w:t>
            </w:r>
          </w:p>
        </w:tc>
      </w:tr>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28" w:name="xdx_F05_z7sSBB9JXtmc"/>
            <w:bookmarkEnd w:id="428"/>
            <w:r>
              <w:rPr>
                <w:rFonts w:ascii="Times New Roman;Times;Serif" w:hAnsi="Times New Roman;Times;Serif"/>
                <w:b w:val="false"/>
                <w:i w:val="false"/>
                <w:caps w:val="false"/>
                <w:smallCaps w:val="false"/>
                <w:sz w:val="20"/>
              </w:rPr>
              <w:t>(2)</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9" w:name="xdx_F19_zsddzrZAsHmh"/>
            <w:bookmarkEnd w:id="429"/>
            <w:r>
              <w:rPr>
                <w:rFonts w:ascii="Times New Roman;Times;Serif" w:hAnsi="Times New Roman;Times;Serif"/>
                <w:b w:val="false"/>
                <w:i w:val="false"/>
                <w:caps w:val="false"/>
                <w:smallCaps w:val="false"/>
                <w:sz w:val="20"/>
              </w:rPr>
              <w:t>Includes $</w:t>
            </w:r>
            <w:bookmarkStart w:id="430" w:name="xdx_906_eus-gaap--FederalHomeLoanBankSto"/>
            <w:bookmarkEnd w:id="430"/>
            <w:r>
              <w:rPr>
                <w:rFonts w:ascii="Times New Roman;Times;Serif" w:hAnsi="Times New Roman;Times;Serif"/>
                <w:b w:val="false"/>
                <w:i w:val="false"/>
                <w:caps w:val="false"/>
                <w:smallCaps w:val="false"/>
                <w:sz w:val="20"/>
              </w:rPr>
              <w:t>612,800 of Membership stock and $</w:t>
            </w:r>
            <w:bookmarkStart w:id="431" w:name="xdx_90D_eus-gaap--FederalHomeLoanBankSto"/>
            <w:bookmarkEnd w:id="431"/>
            <w:r>
              <w:rPr>
                <w:rFonts w:ascii="Times New Roman;Times;Serif" w:hAnsi="Times New Roman;Times;Serif"/>
                <w:b w:val="false"/>
                <w:i w:val="false"/>
                <w:caps w:val="false"/>
                <w:smallCaps w:val="false"/>
                <w:sz w:val="20"/>
              </w:rPr>
              <w:t>67,400 of Activity stock attributable to short-term borrowings and letters of credit.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investments as of December 31, 2025,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5"/>
        <w:gridCol w:w="60"/>
        <w:gridCol w:w="140"/>
        <w:gridCol w:w="1400"/>
        <w:gridCol w:w="95"/>
        <w:gridCol w:w="60"/>
        <w:gridCol w:w="140"/>
        <w:gridCol w:w="980"/>
        <w:gridCol w:w="60"/>
        <w:gridCol w:w="60"/>
        <w:gridCol w:w="140"/>
        <w:gridCol w:w="1055"/>
        <w:gridCol w:w="95"/>
        <w:gridCol w:w="60"/>
        <w:gridCol w:w="145"/>
        <w:gridCol w:w="910"/>
        <w:gridCol w:w="95"/>
        <w:gridCol w:w="60"/>
        <w:gridCol w:w="140"/>
        <w:gridCol w:w="1220"/>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Amortized 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Losses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Allowance</w:t>
            </w:r>
          </w:p>
          <w:p>
            <w:pPr>
              <w:pStyle w:val="TableContents"/>
              <w:bidi w:val="0"/>
              <w:jc w:val="center"/>
              <w:rPr>
                <w:rFonts w:ascii="Times New Roman;Times;Serif" w:hAnsi="Times New Roman;Times;Serif"/>
              </w:rPr>
            </w:pPr>
            <w:r>
              <w:rPr>
                <w:rFonts w:ascii="Times New Roman;Times;Serif" w:hAnsi="Times New Roman;Times;Serif"/>
              </w:rPr>
              <w:t>for Credit</w:t>
            </w:r>
          </w:p>
          <w:p>
            <w:pPr>
              <w:pStyle w:val="TableContents"/>
              <w:bidi w:val="0"/>
              <w:spacing w:before="0" w:after="283"/>
              <w:jc w:val="center"/>
              <w:rPr>
                <w:rFonts w:ascii="Times New Roman;Times;Serif" w:hAnsi="Times New Roman;Times;Serif"/>
              </w:rPr>
            </w:pPr>
            <w:r>
              <w:rPr>
                <w:rFonts w:ascii="Times New Roman;Times;Serif" w:hAnsi="Times New Roman;Times;Serif"/>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Estimated</w:t>
            </w:r>
          </w:p>
          <w:p>
            <w:pPr>
              <w:pStyle w:val="TableContents"/>
              <w:bidi w:val="0"/>
              <w:jc w:val="center"/>
              <w:rPr>
                <w:rFonts w:ascii="Times New Roman;Times;Serif" w:hAnsi="Times New Roman;Times;Serif"/>
              </w:rPr>
            </w:pPr>
            <w:r>
              <w:rPr>
                <w:rFonts w:ascii="Times New Roman;Times;Serif" w:hAnsi="Times New Roman;Times;Serif"/>
              </w:rPr>
              <w:t>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Treasury securities and obligations of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2" w:name="xdx_98C_eus-gaap--AvailableForSaleDebtSe"/>
            <w:bookmarkEnd w:id="432"/>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75,713,307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3" w:name="xdx_98D_eus-gaap--AvailableForSaleDebtSe"/>
            <w:bookmarkEnd w:id="43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4" w:name="xdx_980_eus-gaap--AvailableForSaleDebtSe"/>
            <w:bookmarkEnd w:id="43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5" w:name="xdx_987_eus-gaap--DebtSecuritiesAvailabl"/>
            <w:bookmarkEnd w:id="435"/>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6" w:name="xdx_98A_eus-gaap--AvailableForSaleSecuri"/>
            <w:bookmarkEnd w:id="43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76,606,526</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7" w:name="xdx_982_eus-gaap--AvailableForSaleDebtSe"/>
            <w:bookmarkEnd w:id="437"/>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8" w:name="xdx_986_eus-gaap--AvailableForSaleDebtSe"/>
            <w:bookmarkEnd w:id="43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9" w:name="xdx_987_eus-gaap--AvailableForSaleDebtSe"/>
            <w:bookmarkEnd w:id="439"/>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440" w:name="xdx_98F_eus-gaap--DebtSecuritiesAvailabl"/>
            <w:bookmarkEnd w:id="440"/>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1" w:name="xdx_987_eus-gaap--AvailableForSaleSecuri"/>
            <w:bookmarkEnd w:id="44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3,236,477</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securities including public utilities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2" w:name="xdx_98E_eus-gaap--AvailableForSaleDebtSe"/>
            <w:bookmarkEnd w:id="442"/>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277,708,638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3" w:name="xdx_98B_eus-gaap--AvailableForSaleDebtSe"/>
            <w:bookmarkEnd w:id="44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7,029,453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4" w:name="xdx_987_eus-gaap--AvailableForSaleDebtSe"/>
            <w:bookmarkEnd w:id="44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(3,387,651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445" w:name="xdx_984_eus-gaap--DebtSecuritiesAvailabl"/>
            <w:bookmarkEnd w:id="445"/>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(425,401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6" w:name="xdx_98B_eus-gaap--AvailableForSaleSecuri"/>
            <w:bookmarkEnd w:id="44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280,925,039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7" w:name="xdx_98F_eus-gaap--AvailableForSaleDebtSe"/>
            <w:bookmarkEnd w:id="447"/>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24,832,349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8" w:name="xdx_985_eus-gaap--AvailableForSaleDebtSe"/>
            <w:bookmarkEnd w:id="44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49" w:name="xdx_985_eus-gaap--AvailableForSaleDebtSe"/>
            <w:bookmarkEnd w:id="449"/>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(3,553,214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450" w:name="xdx_98C_eus-gaap--DebtSecuritiesAvailabl"/>
            <w:bookmarkEnd w:id="450"/>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(154,049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1" w:name="xdx_980_eus-gaap--AvailableForSaleSecuri"/>
            <w:bookmarkEnd w:id="45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21,286,434</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2" w:name="xdx_981_eus-gaap--AvailableForSaleDebtSe"/>
            <w:bookmarkEnd w:id="452"/>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3" w:name="xdx_989_eus-gaap--AvailableForSaleDebtSe"/>
            <w:bookmarkEnd w:id="45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4" w:name="xdx_986_eus-gaap--AvailableForSaleDebtSe"/>
            <w:bookmarkEnd w:id="454"/>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5" w:name="xdx_98A_eus-gaap--DebtSecuritiesAvailabl"/>
            <w:bookmarkEnd w:id="455"/>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6" w:name="xdx_989_eus-gaap--AvailableForSaleSecuri"/>
            <w:bookmarkEnd w:id="456"/>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723,442</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maturity securities available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7" w:name="xdx_98D_eus-gaap--AvailableForSaleDebtSe"/>
            <w:bookmarkEnd w:id="457"/>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382,401,293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8" w:name="xdx_980_eus-gaap--AvailableForSaleDebtSe"/>
            <w:bookmarkEnd w:id="45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8,196,174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9" w:name="xdx_987_eus-gaap--AvailableForSaleDebtSe"/>
            <w:bookmarkEnd w:id="459"/>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(7,240,099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0" w:name="xdx_981_eus-gaap--DebtSecuritiesAvailabl"/>
            <w:bookmarkEnd w:id="460"/>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(579,450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1" w:name="xdx_989_eus-gaap--AvailableForSaleSecuri"/>
            <w:bookmarkEnd w:id="46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382,777,918</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Industrial, miscellaneous and 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2" w:name="xdx_98C_eus-gaap--EquitySecuritiesFvNiCo"/>
            <w:bookmarkEnd w:id="462"/>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3" w:name="xdx_985_eus-gaap--EquitySecuritiesFvNiUn"/>
            <w:bookmarkEnd w:id="46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4" w:name="xdx_98D_eus-gaap--EquitySecuritiesFvNiUn"/>
            <w:bookmarkEnd w:id="464"/>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5" w:name="xdx_98C_eus-gaap--EquitySecuritiesFvNi_i"/>
            <w:bookmarkEnd w:id="46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18,050,062</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6" w:name="xdx_98E_eus-gaap--EquitySecuritiesFvNiCo"/>
            <w:bookmarkEnd w:id="466"/>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7" w:name="xdx_989_eus-gaap--EquitySecuritiesFvNiUn"/>
            <w:bookmarkEnd w:id="46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8" w:name="xdx_980_eus-gaap--EquitySecuritiesFvNiUn"/>
            <w:bookmarkEnd w:id="46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9" w:name="xdx_98A_eus-gaap--EquitySecuritiesFvNi_i"/>
            <w:bookmarkEnd w:id="46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18,050,062</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0" w:name="xdx_983_eus-gaap--NotesReceivableGross_i"/>
            <w:bookmarkEnd w:id="470"/>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90,644,590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1" w:name="xdx_98D_eus-gaap--NotesReceivableGross_i"/>
            <w:bookmarkEnd w:id="471"/>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2" w:name="xdx_98F_eus-gaap--NotesReceivableGross_i"/>
            <w:bookmarkEnd w:id="472"/>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79,231,786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deferred loan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3" w:name="xdx_98A_ecustom--MortgageLoansOnRealEsta"/>
            <w:bookmarkEnd w:id="473"/>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(1,995,795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4" w:name="xdx_988_eus-gaap--FinancingReceivableAll"/>
            <w:bookmarkEnd w:id="474"/>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(2,588,918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discounts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5" w:name="xdx_98E_ecustom--MortgageLoansOnRealEsta"/>
            <w:bookmarkEnd w:id="475"/>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mortgage 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6" w:name="xdx_981_eus-gaap--MortgageLoansOnRealEst"/>
            <w:bookmarkEnd w:id="476"/>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322,435,385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held for investment - net of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7" w:name="xdx_98A_eus-gaap--RealEstateInvestmentPr"/>
            <w:bookmarkEnd w:id="477"/>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93,638,938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8" w:name="xdx_98B_eus-gaap--RealEstateInvestmentPr"/>
            <w:bookmarkEnd w:id="478"/>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121,258,192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real estate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9" w:name="xdx_98A_eus-gaap--RealEstateInvestmentPr"/>
            <w:bookmarkEnd w:id="479"/>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214,897,130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0" w:name="xdx_985_eus-gaap--RealEstateHeldforsale_"/>
            <w:bookmarkEnd w:id="480"/>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6,272,474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1" w:name="xdx_98A_eus-gaap--RealEstateHeldforsale_"/>
            <w:bookmarkEnd w:id="481"/>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real estate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2" w:name="xdx_98E_eus-gaap--RealEstateHeldforsale_"/>
            <w:bookmarkEnd w:id="482"/>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6,424,027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 and policy loans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Policy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3" w:name="xdx_983_ecustom--PolicyLoansAmortizedCos"/>
            <w:bookmarkEnd w:id="483"/>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14,467,357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assignments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4" w:name="xdx_985_ecustom--InsuranceAssignmentsAmo"/>
            <w:bookmarkEnd w:id="484"/>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46,183,999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Home Loan Bank stock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5" w:name="xdx_987_eus-gaap--FederalHomeLoanBankSto"/>
            <w:bookmarkEnd w:id="485"/>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6" w:name="xdx_98B_ecustom--OtherInvestmentsAmortiz"/>
            <w:bookmarkEnd w:id="486"/>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25,601,905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 for insurance assignments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7" w:name="xdx_980_eus-gaap--AllowanceForDoubtfulAc"/>
            <w:bookmarkEnd w:id="487"/>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(1,676,468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policy loans and other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8" w:name="xdx_987_ecustom--PolicyAndOtherLoansRece"/>
            <w:bookmarkEnd w:id="488"/>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85,223,293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9" w:name="xdx_989_eus-gaap--AccruedInvestmentIncom"/>
            <w:bookmarkEnd w:id="489"/>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0" w:name="xdx_984_eus-gaap--Investments_iI_c202512"/>
            <w:bookmarkEnd w:id="490"/>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1,038,862,460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rPr>
            </w:pPr>
            <w:bookmarkStart w:id="491" w:name="xdx_F0F_zH0KJaZPGR1c"/>
            <w:bookmarkEnd w:id="491"/>
            <w:r>
              <w:rPr>
                <w:rFonts w:ascii="Times New Roman;Times;Serif" w:hAnsi="Times New Roman;Times;Serif"/>
              </w:rPr>
              <w:t>(1)</w:t>
            </w:r>
          </w:p>
        </w:tc>
        <w:tc>
          <w:tcPr>
            <w:tcW w:w="9925" w:type="dxa"/>
            <w:tcBorders/>
            <w:vAlign w:val="center"/>
          </w:tcPr>
          <w:p>
            <w:pPr>
              <w:pStyle w:val="TableContents"/>
              <w:bidi w:val="0"/>
              <w:spacing w:before="0" w:after="283"/>
              <w:jc w:val="left"/>
              <w:rPr>
                <w:rFonts w:ascii="Times New Roman;Times;Serif" w:hAnsi="Times New Roman;Times;Serif"/>
              </w:rPr>
            </w:pPr>
            <w:bookmarkStart w:id="492" w:name="xdx_F1B_zA5Qdb7ykzR9"/>
            <w:bookmarkEnd w:id="492"/>
            <w:r>
              <w:rPr>
                <w:rFonts w:ascii="Times New Roman;Times;Serif" w:hAnsi="Times New Roman;Times;Serif"/>
              </w:rPr>
              <w:t>Gross unrealized losses are net of allowance for credit losses</w:t>
            </w:r>
          </w:p>
        </w:tc>
      </w:tr>
      <w:tr>
        <w:trPr/>
        <w:tc>
          <w:tcPr>
            <w:tcW w:w="280" w:type="dxa"/>
            <w:tcBorders/>
            <w:vAlign w:val="center"/>
          </w:tcPr>
          <w:p>
            <w:pPr>
              <w:pStyle w:val="TableContents"/>
              <w:bidi w:val="0"/>
              <w:spacing w:before="0" w:after="283"/>
              <w:jc w:val="left"/>
              <w:rPr>
                <w:rFonts w:ascii="Times New Roman;Times;Serif" w:hAnsi="Times New Roman;Times;Serif"/>
              </w:rPr>
            </w:pPr>
            <w:bookmarkStart w:id="493" w:name="xdx_F05_zAGZZOCK8hd2"/>
            <w:bookmarkEnd w:id="493"/>
            <w:r>
              <w:rPr>
                <w:rFonts w:ascii="Times New Roman;Times;Serif" w:hAnsi="Times New Roman;Times;Serif"/>
              </w:rPr>
              <w:t>(2)</w:t>
            </w:r>
          </w:p>
        </w:tc>
        <w:tc>
          <w:tcPr>
            <w:tcW w:w="9925" w:type="dxa"/>
            <w:tcBorders/>
            <w:vAlign w:val="center"/>
          </w:tcPr>
          <w:p>
            <w:pPr>
              <w:pStyle w:val="TableContents"/>
              <w:bidi w:val="0"/>
              <w:spacing w:before="0" w:after="283"/>
              <w:jc w:val="both"/>
              <w:rPr>
                <w:rFonts w:ascii="Times New Roman;Times;Serif" w:hAnsi="Times New Roman;Times;Serif"/>
              </w:rPr>
            </w:pPr>
            <w:bookmarkStart w:id="494" w:name="xdx_F13_zKxYcTqVOfp3"/>
            <w:bookmarkEnd w:id="494"/>
            <w:r>
              <w:rPr>
                <w:rFonts w:ascii="Times New Roman;Times;Serif" w:hAnsi="Times New Roman;Times;Serif"/>
              </w:rPr>
              <w:t>Includes $</w:t>
            </w:r>
            <w:bookmarkStart w:id="495" w:name="xdx_902_eus-gaap--FederalHomeLoanBankSto"/>
            <w:bookmarkEnd w:id="495"/>
            <w:r>
              <w:rPr>
                <w:rFonts w:ascii="Times New Roman;Times;Serif" w:hAnsi="Times New Roman;Times;Serif"/>
              </w:rPr>
              <w:t>581,600 of Membership stock and $</w:t>
            </w:r>
            <w:bookmarkStart w:id="496" w:name="xdx_90F_eus-gaap--FederalHomeLoanBankSto"/>
            <w:bookmarkEnd w:id="496"/>
            <w:r>
              <w:rPr>
                <w:rFonts w:ascii="Times New Roman;Times;Serif" w:hAnsi="Times New Roman;Times;Serif"/>
              </w:rPr>
              <w:t>64,900 of Activity stock due to short-term advances and letters of credit.</w:t>
            </w:r>
          </w:p>
        </w:tc>
      </w:tr>
    </w:tbl>
    <w:p>
      <w:pPr>
        <w:pStyle w:val="TextBody"/>
        <w:bidi w:val="0"/>
        <w:spacing w:before="0" w:after="0"/>
        <w:ind w:left="0" w:right="0" w:hanging="0"/>
        <w:jc w:val="both"/>
        <w:rPr>
          <w:caps w:val="false"/>
          <w:smallCaps w:val="false"/>
        </w:rPr>
      </w:pPr>
      <w:bookmarkStart w:id="497" w:name="xdx_8A9_zT03sgn6aLI3"/>
      <w:bookmarkEnd w:id="49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investments in fixed maturity securities or equity securities, aggregated by issuer, of more than 10% of shareholders’ equity (before net unrealized gains and losses on equity securities and fixed maturity securities) as of June 30, 2026, other than investments issued or guaranteed by the United States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Maturity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unrealized losses on fixed maturity securities available for sale that were carried at estimated fair value as of June 30, 2026, and December 31, 2025. The fair values of fixed maturity securities that are actively traded are based on quoted market prices. For fixed maturity securities that are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pStyle w:val="TextBody"/>
        <w:bidi w:val="0"/>
        <w:spacing w:before="0" w:after="0"/>
        <w:ind w:left="0" w:right="0" w:hanging="0"/>
        <w:jc w:val="both"/>
        <w:rPr>
          <w:caps w:val="false"/>
          <w:smallCaps w:val="false"/>
        </w:rPr>
      </w:pPr>
      <w:bookmarkStart w:id="498" w:name="xdx_89F_ecustom--ScheduleOfFairValueOfFi"/>
      <w:bookmarkEnd w:id="498"/>
      <w:r>
        <w:rPr>
          <w:caps w:val="false"/>
          <w:smallCaps w:val="false"/>
        </w:rPr>
        <w:t> </w:t>
      </w:r>
      <w:bookmarkStart w:id="499" w:name="xdx_8B4_ztFd5pt75dTh"/>
      <w:bookmarkEnd w:id="499"/>
      <w:r>
        <w:rPr>
          <w:rFonts w:ascii="Times New Roman;Times;Serif" w:hAnsi="Times New Roman;Times;Serif"/>
          <w:b w:val="false"/>
          <w:i w:val="false"/>
          <w:caps w:val="false"/>
          <w:smallCaps w:val="false"/>
          <w:sz w:val="20"/>
        </w:rPr>
        <w:t>Schedule of Fair Value of Fixed Maturity Securities</w:t>
      </w:r>
    </w:p>
    <w:tbl>
      <w:tblPr>
        <w:tblW w:w="10205" w:type="dxa"/>
        <w:jc w:val="left"/>
        <w:tblInd w:w="0" w:type="dxa"/>
        <w:tblLayout w:type="fixed"/>
        <w:tblCellMar>
          <w:top w:w="0" w:type="dxa"/>
          <w:left w:w="0" w:type="dxa"/>
          <w:bottom w:w="0" w:type="dxa"/>
          <w:right w:w="0" w:type="dxa"/>
        </w:tblCellMar>
      </w:tblPr>
      <w:tblGrid>
        <w:gridCol w:w="2142"/>
        <w:gridCol w:w="60"/>
        <w:gridCol w:w="140"/>
        <w:gridCol w:w="980"/>
        <w:gridCol w:w="60"/>
        <w:gridCol w:w="60"/>
        <w:gridCol w:w="140"/>
        <w:gridCol w:w="1220"/>
        <w:gridCol w:w="60"/>
        <w:gridCol w:w="60"/>
        <w:gridCol w:w="140"/>
        <w:gridCol w:w="980"/>
        <w:gridCol w:w="60"/>
        <w:gridCol w:w="60"/>
        <w:gridCol w:w="140"/>
        <w:gridCol w:w="1100"/>
        <w:gridCol w:w="60"/>
        <w:gridCol w:w="60"/>
        <w:gridCol w:w="140"/>
        <w:gridCol w:w="980"/>
        <w:gridCol w:w="60"/>
        <w:gridCol w:w="60"/>
        <w:gridCol w:w="140"/>
        <w:gridCol w:w="1226"/>
        <w:gridCol w:w="77"/>
      </w:tblGrid>
      <w:tr>
        <w:trPr/>
        <w:tc>
          <w:tcPr>
            <w:tcW w:w="2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jc w:val="center"/>
              <w:rPr>
                <w:rFonts w:ascii="Times New Roman;Times;Serif" w:hAnsi="Times New Roman;Times;Serif"/>
              </w:rPr>
            </w:pPr>
            <w:r>
              <w:rPr>
                <w:rFonts w:ascii="Times New Roman;Times;Serif" w:hAnsi="Times New Roman;Times;Serif"/>
              </w:rPr>
              <w:t>Losses</w:t>
            </w:r>
          </w:p>
          <w:p>
            <w:pPr>
              <w:pStyle w:val="TableContents"/>
              <w:bidi w:val="0"/>
              <w:jc w:val="center"/>
              <w:rPr>
                <w:rFonts w:ascii="Times New Roman;Times;Serif" w:hAnsi="Times New Roman;Times;Serif"/>
              </w:rPr>
            </w:pPr>
            <w:r>
              <w:rPr>
                <w:rFonts w:ascii="Times New Roman;Times;Serif" w:hAnsi="Times New Roman;Times;Serif"/>
              </w:rPr>
              <w:t>for Less</w:t>
            </w:r>
          </w:p>
          <w:p>
            <w:pPr>
              <w:pStyle w:val="TableContents"/>
              <w:bidi w:val="0"/>
              <w:jc w:val="center"/>
              <w:rPr>
                <w:rFonts w:ascii="Times New Roman;Times;Serif" w:hAnsi="Times New Roman;Times;Serif"/>
              </w:rPr>
            </w:pPr>
            <w:r>
              <w:rPr>
                <w:rFonts w:ascii="Times New Roman;Times;Serif" w:hAnsi="Times New Roman;Times;Serif"/>
              </w:rPr>
              <w:t>than</w:t>
            </w:r>
          </w:p>
          <w:p>
            <w:pPr>
              <w:pStyle w:val="TableContents"/>
              <w:bidi w:val="0"/>
              <w:jc w:val="center"/>
              <w:rPr>
                <w:rFonts w:ascii="Times New Roman;Times;Serif" w:hAnsi="Times New Roman;Times;Serif"/>
              </w:rPr>
            </w:pPr>
            <w:r>
              <w:rPr>
                <w:rFonts w:ascii="Times New Roman;Times;Serif" w:hAnsi="Times New Roman;Times;Serif"/>
              </w:rPr>
              <w:t>Twelve</w:t>
            </w:r>
          </w:p>
          <w:p>
            <w:pPr>
              <w:pStyle w:val="TableContents"/>
              <w:bidi w:val="0"/>
              <w:spacing w:before="0" w:after="283"/>
              <w:jc w:val="center"/>
              <w:rPr>
                <w:rFonts w:ascii="Times New Roman;Times;Serif" w:hAnsi="Times New Roman;Times;Serif"/>
              </w:rPr>
            </w:pPr>
            <w:r>
              <w:rPr>
                <w:rFonts w:ascii="Times New Roman;Times;Serif" w:hAnsi="Times New Roman;Times;Serif"/>
              </w:rPr>
              <w:t>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jc w:val="center"/>
              <w:rPr>
                <w:rFonts w:ascii="Times New Roman;Times;Serif" w:hAnsi="Times New Roman;Times;Serif"/>
              </w:rPr>
            </w:pPr>
            <w:r>
              <w:rPr>
                <w:rFonts w:ascii="Times New Roman;Times;Serif" w:hAnsi="Times New Roman;Times;Serif"/>
              </w:rPr>
              <w:t>Losses</w:t>
            </w:r>
          </w:p>
          <w:p>
            <w:pPr>
              <w:pStyle w:val="TableContents"/>
              <w:bidi w:val="0"/>
              <w:jc w:val="center"/>
              <w:rPr>
                <w:rFonts w:ascii="Times New Roman;Times;Serif" w:hAnsi="Times New Roman;Times;Serif"/>
              </w:rPr>
            </w:pPr>
            <w:r>
              <w:rPr>
                <w:rFonts w:ascii="Times New Roman;Times;Serif" w:hAnsi="Times New Roman;Times;Serif"/>
              </w:rPr>
              <w:t>for More</w:t>
            </w:r>
          </w:p>
          <w:p>
            <w:pPr>
              <w:pStyle w:val="TableContents"/>
              <w:bidi w:val="0"/>
              <w:jc w:val="center"/>
              <w:rPr>
                <w:rFonts w:ascii="Times New Roman;Times;Serif" w:hAnsi="Times New Roman;Times;Serif"/>
              </w:rPr>
            </w:pPr>
            <w:r>
              <w:rPr>
                <w:rFonts w:ascii="Times New Roman;Times;Serif" w:hAnsi="Times New Roman;Times;Serif"/>
              </w:rPr>
              <w:t>than</w:t>
            </w:r>
          </w:p>
          <w:p>
            <w:pPr>
              <w:pStyle w:val="TableContents"/>
              <w:bidi w:val="0"/>
              <w:jc w:val="center"/>
              <w:rPr>
                <w:rFonts w:ascii="Times New Roman;Times;Serif" w:hAnsi="Times New Roman;Times;Serif"/>
              </w:rPr>
            </w:pPr>
            <w:r>
              <w:rPr>
                <w:rFonts w:ascii="Times New Roman;Times;Serif" w:hAnsi="Times New Roman;Times;Serif"/>
              </w:rPr>
              <w:t>Twelve</w:t>
            </w:r>
          </w:p>
          <w:p>
            <w:pPr>
              <w:pStyle w:val="TableContents"/>
              <w:bidi w:val="0"/>
              <w:spacing w:before="0" w:after="283"/>
              <w:jc w:val="center"/>
              <w:rPr>
                <w:rFonts w:ascii="Times New Roman;Times;Serif" w:hAnsi="Times New Roman;Times;Serif"/>
              </w:rPr>
            </w:pPr>
            <w:r>
              <w:rPr>
                <w:rFonts w:ascii="Times New Roman;Times;Serif" w:hAnsi="Times New Roman;Times;Serif"/>
              </w:rPr>
              <w:t>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Total</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Combined 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77" w:type="dxa"/>
            <w:tcBorders/>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Treasury securities and obligations of U.S. Government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0" w:name="xdx_986_eus-gaap--DebtSecuritiesAvailabl"/>
            <w:bookmarkEnd w:id="50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1" w:name="xdx_988_eus-gaap--DebtSecuritiesAvailabl"/>
            <w:bookmarkEnd w:id="50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32,972,686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2" w:name="xdx_982_eus-gaap--DebtSecuritiesAvailabl"/>
            <w:bookmarkEnd w:id="50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3" w:name="xdx_981_eus-gaap--DebtSecuritiesAvailabl"/>
            <w:bookmarkEnd w:id="503"/>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1,566,865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4" w:name="xdx_981_eus-gaap--DebtSecuritiesAvailabl"/>
            <w:bookmarkEnd w:id="50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5" w:name="xdx_981_eus-gaap--DebtSecuritiesAvailabl"/>
            <w:bookmarkEnd w:id="505"/>
          </w:p>
        </w:tc>
        <w:tc>
          <w:tcPr>
            <w:tcW w:w="12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34,539,551</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6" w:name="xdx_984_eus-gaap--DebtSecuritiesAvailabl"/>
            <w:bookmarkEnd w:id="50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7" w:name="xdx_98A_eus-gaap--DebtSecuritiesAvailabl"/>
            <w:bookmarkEnd w:id="50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8" w:name="xdx_982_eus-gaap--DebtSecuritiesAvailabl"/>
            <w:bookmarkEnd w:id="50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9" w:name="xdx_98F_eus-gaap--DebtSecuritiesAvailabl"/>
            <w:bookmarkEnd w:id="50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0" w:name="xdx_984_eus-gaap--DebtSecuritiesAvailabl"/>
            <w:bookmarkEnd w:id="51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1" w:name="xdx_98D_eus-gaap--DebtSecuritiesAvailabl"/>
            <w:bookmarkEnd w:id="511"/>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2,269,817</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securities including public utilities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2" w:name="xdx_98C_eus-gaap--DebtSecuritiesAvailabl"/>
            <w:bookmarkEnd w:id="51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3" w:name="xdx_98B_eus-gaap--DebtSecuritiesAvailabl"/>
            <w:bookmarkEnd w:id="513"/>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86,172,801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4" w:name="xdx_984_eus-gaap--DebtSecuritiesAvailabl"/>
            <w:bookmarkEnd w:id="51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5" w:name="xdx_986_eus-gaap--DebtSecuritiesAvailabl"/>
            <w:bookmarkEnd w:id="51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37,121,227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6" w:name="xdx_981_eus-gaap--DebtSecuritiesAvailabl"/>
            <w:bookmarkEnd w:id="51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7" w:name="xdx_98A_eus-gaap--DebtSecuritiesAvailabl"/>
            <w:bookmarkEnd w:id="517"/>
          </w:p>
        </w:tc>
        <w:tc>
          <w:tcPr>
            <w:tcW w:w="12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123,294,028</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8" w:name="xdx_98B_eus-gaap--DebtSecuritiesAvailabl"/>
            <w:bookmarkEnd w:id="51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9" w:name="xdx_98B_eus-gaap--DebtSecuritiesAvailabl"/>
            <w:bookmarkEnd w:id="51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993,191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0" w:name="xdx_98E_eus-gaap--DebtSecuritiesAvailabl"/>
            <w:bookmarkEnd w:id="52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3,369,738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1" w:name="xdx_980_eus-gaap--DebtSecuritiesAvailabl"/>
            <w:bookmarkEnd w:id="52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14,700,113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2" w:name="xdx_988_eus-gaap--DebtSecuritiesAvailabl"/>
            <w:bookmarkEnd w:id="52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3" w:name="xdx_987_eus-gaap--DebtSecuritiesAvailabl"/>
            <w:bookmarkEnd w:id="523"/>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15,693,304</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4" w:name="xdx_981_eus-gaap--DebtSecuritiesAvailabl"/>
            <w:bookmarkEnd w:id="52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5" w:name="xdx_989_eus-gaap--DebtSecuritiesAvailabl"/>
            <w:bookmarkEnd w:id="52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6" w:name="xdx_98F_eus-gaap--DebtSecuritiesAvailabl"/>
            <w:bookmarkEnd w:id="52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7" w:name="xdx_980_eus-gaap--DebtSecuritiesAvailabl"/>
            <w:bookmarkEnd w:id="52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8" w:name="xdx_985_eus-gaap--DebtSecuritiesAvailabl"/>
            <w:bookmarkEnd w:id="52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9" w:name="xdx_98B_eus-gaap--DebtSecuritiesAvailabl"/>
            <w:bookmarkEnd w:id="529"/>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212,500</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0" w:name="xdx_98B_eus-gaap--DebtSecuritiesAvailabl"/>
            <w:bookmarkEnd w:id="53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1" w:name="xdx_98D_eus-gaap--DebtSecuritiesAvailabl"/>
            <w:bookmarkEnd w:id="531"/>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120,547,516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2" w:name="xdx_98E_eus-gaap--DebtSecuritiesAvailabl"/>
            <w:bookmarkEnd w:id="53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6,578,499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3" w:name="xdx_98F_eus-gaap--DebtSecuritiesAvailabl"/>
            <w:bookmarkEnd w:id="53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55,461,684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4" w:name="xdx_984_eus-gaap--DebtSecuritiesAvailabl"/>
            <w:bookmarkEnd w:id="53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8,097,389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5" w:name="xdx_98F_eus-gaap--DebtSecuritiesAvailabl"/>
            <w:bookmarkEnd w:id="535"/>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176,009,200</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Treasury securities and obligations of U.S. Government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6" w:name="xdx_98A_eus-gaap--DebtSecuritiesAvailabl"/>
            <w:bookmarkEnd w:id="53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7_eus-gaap--DebtSecuritiesAvailabl"/>
            <w:bookmarkEnd w:id="537"/>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8" w:name="xdx_98B_eus-gaap--DebtSecuritiesAvailabl"/>
            <w:bookmarkEnd w:id="53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9" w:name="xdx_980_eus-gaap--DebtSecuritiesAvailabl"/>
            <w:bookmarkEnd w:id="53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11,033,603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0" w:name="xdx_98B_eus-gaap--DebtSecuritiesAvailabl"/>
            <w:bookmarkEnd w:id="54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1" w:name="xdx_98E_eus-gaap--DebtSecuritiesAvailabl"/>
            <w:bookmarkEnd w:id="541"/>
          </w:p>
        </w:tc>
        <w:tc>
          <w:tcPr>
            <w:tcW w:w="12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13,080,883</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2" w:name="xdx_98F_eus-gaap--DebtSecuritiesAvailabl"/>
            <w:bookmarkEnd w:id="54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3" w:name="xdx_98C_eus-gaap--DebtSecuritiesAvailabl"/>
            <w:bookmarkEnd w:id="54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4" w:name="xdx_982_eus-gaap--DebtSecuritiesAvailabl"/>
            <w:bookmarkEnd w:id="54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5" w:name="xdx_983_eus-gaap--DebtSecuritiesAvailabl"/>
            <w:bookmarkEnd w:id="54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6" w:name="xdx_981_eus-gaap--DebtSecuritiesAvailabl"/>
            <w:bookmarkEnd w:id="54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7" w:name="xdx_983_eus-gaap--DebtSecuritiesAvailabl"/>
            <w:bookmarkEnd w:id="547"/>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2,290,336</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securities including public utilities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8" w:name="xdx_988_eus-gaap--DebtSecuritiesAvailabl"/>
            <w:bookmarkEnd w:id="54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9" w:name="xdx_98A_eus-gaap--DebtSecuritiesAvailabl"/>
            <w:bookmarkEnd w:id="54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30,085,561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0" w:name="xdx_98A_eus-gaap--DebtSecuritiesAvailabl"/>
            <w:bookmarkEnd w:id="55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2,749,214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1" w:name="xdx_98A_eus-gaap--DebtSecuritiesAvailabl"/>
            <w:bookmarkEnd w:id="55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42,688,720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2" w:name="xdx_98F_eus-gaap--DebtSecuritiesAvailabl"/>
            <w:bookmarkEnd w:id="55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3,387,650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3" w:name="xdx_983_eus-gaap--DebtSecuritiesAvailabl"/>
            <w:bookmarkEnd w:id="553"/>
          </w:p>
        </w:tc>
        <w:tc>
          <w:tcPr>
            <w:tcW w:w="12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72,774,281</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4" w:name="xdx_98E_eus-gaap--DebtSecuritiesAvailabl"/>
            <w:bookmarkEnd w:id="55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5" w:name="xdx_98A_eus-gaap--DebtSecuritiesAvailabl"/>
            <w:bookmarkEnd w:id="55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6" w:name="xdx_98A_eus-gaap--DebtSecuritiesAvailabl"/>
            <w:bookmarkEnd w:id="55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3,548,862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7" w:name="xdx_986_eus-gaap--DebtSecuritiesAvailabl"/>
            <w:bookmarkEnd w:id="55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17,504,265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8" w:name="xdx_98C_eus-gaap--DebtSecuritiesAvailabl"/>
            <w:bookmarkEnd w:id="55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9" w:name="xdx_98D_eus-gaap--DebtSecuritiesAvailabl"/>
            <w:bookmarkEnd w:id="559"/>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17,696,507</w:t>
            </w:r>
          </w:p>
        </w:tc>
        <w:tc>
          <w:tcPr>
            <w:tcW w:w="77" w:type="dxa"/>
            <w:tcBorders/>
            <w:shd w:fill="CCEEFF" w:val="cle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0" w:name="xdx_985_eus-gaap--DebtSecuritiesAvailabl"/>
            <w:bookmarkEnd w:id="56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1" w:name="xdx_988_eus-gaap--DebtSecuritiesAvailabl"/>
            <w:bookmarkEnd w:id="561"/>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2" w:name="xdx_988_eus-gaap--DebtSecuritiesAvailabl"/>
            <w:bookmarkEnd w:id="56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3" w:name="xdx_980_eus-gaap--DebtSecuritiesAvailabl"/>
            <w:bookmarkEnd w:id="56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4" w:name="xdx_98D_eus-gaap--DebtSecuritiesAvailabl"/>
            <w:bookmarkEnd w:id="56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5" w:name="xdx_982_eus-gaap--DebtSecuritiesAvailabl"/>
            <w:bookmarkEnd w:id="565"/>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212,500</w:t>
            </w:r>
          </w:p>
        </w:tc>
        <w:tc>
          <w:tcPr>
            <w:tcW w:w="77" w:type="dxa"/>
            <w:tcBorders/>
            <w:shd w:fill="FFFFFF" w:val="clear"/>
            <w:vAlign w:val="center"/>
          </w:tcPr>
          <w:p>
            <w:pPr>
              <w:pStyle w:val="TableContents"/>
              <w:bidi w:val="0"/>
              <w:spacing w:before="0" w:after="283"/>
              <w:jc w:val="left"/>
              <w:rPr/>
            </w:pPr>
            <w:r>
              <w:rPr/>
              <w:t> </w:t>
            </w:r>
          </w:p>
        </w:tc>
      </w:tr>
      <w:tr>
        <w:trPr/>
        <w:tc>
          <w:tcPr>
            <w:tcW w:w="2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6" w:name="xdx_986_eus-gaap--DebtSecuritiesAvailabl"/>
            <w:bookmarkEnd w:id="56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7" w:name="xdx_98F_eus-gaap--DebtSecuritiesAvailabl"/>
            <w:bookmarkEnd w:id="567"/>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8" w:name="xdx_98D_eus-gaap--DebtSecuritiesAvailabl"/>
            <w:bookmarkEnd w:id="56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9" w:name="xdx_989_eus-gaap--DebtSecuritiesAvailabl"/>
            <w:bookmarkEnd w:id="56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73,321,808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0" w:name="xdx_98E_eus-gaap--DebtSecuritiesAvailabl"/>
            <w:bookmarkEnd w:id="57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1" w:name="xdx_989_eus-gaap--DebtSecuritiesAvailabl"/>
            <w:bookmarkEnd w:id="571"/>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106,054,507</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5_z3sB12ofsr6b"/>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Relevant holdings were comprised of 549 securities with fair values aggregating </w:t>
      </w:r>
      <w:bookmarkStart w:id="573" w:name="xdx_902_ecustom--AverageMarketValueOverA"/>
      <w:bookmarkEnd w:id="573"/>
      <w:r>
        <w:rPr>
          <w:rFonts w:ascii="Times New Roman;Times;Serif" w:hAnsi="Times New Roman;Times;Serif"/>
          <w:b w:val="false"/>
          <w:i w:val="false"/>
          <w:caps w:val="false"/>
          <w:smallCaps w:val="false"/>
          <w:sz w:val="20"/>
        </w:rPr>
        <w:t xml:space="preserve">95.6% of the aggregate amortized cost as of June 30, 2026, compared to 338 securities with fair values aggregating </w:t>
      </w:r>
      <w:bookmarkStart w:id="574" w:name="xdx_900_ecustom--AverageMarketValueOverA"/>
      <w:bookmarkEnd w:id="574"/>
      <w:r>
        <w:rPr>
          <w:rFonts w:ascii="Times New Roman;Times;Serif" w:hAnsi="Times New Roman;Times;Serif"/>
          <w:b w:val="false"/>
          <w:i w:val="false"/>
          <w:caps w:val="false"/>
          <w:smallCaps w:val="false"/>
          <w:sz w:val="20"/>
        </w:rPr>
        <w:t>93.6% of the aggregate amortized cost as of December 31, 2025. A credit loss provision of $</w:t>
      </w:r>
      <w:bookmarkStart w:id="575" w:name="xdx_90C_eus-gaap--DebtSecuritiesAvailabl"/>
      <w:bookmarkEnd w:id="575"/>
      <w:r>
        <w:rPr>
          <w:rFonts w:ascii="Times New Roman;Times;Serif" w:hAnsi="Times New Roman;Times;Serif"/>
          <w:b w:val="false"/>
          <w:i w:val="false"/>
          <w:caps w:val="false"/>
          <w:smallCaps w:val="false"/>
          <w:sz w:val="20"/>
        </w:rPr>
        <w:t>164,663 and of $</w:t>
      </w:r>
      <w:bookmarkStart w:id="576" w:name="xdx_902_eus-gaap--DebtSecuritiesAvailabl"/>
      <w:bookmarkEnd w:id="576"/>
      <w:r>
        <w:rPr>
          <w:rFonts w:ascii="Times New Roman;Times;Serif" w:hAnsi="Times New Roman;Times;Serif"/>
          <w:b w:val="false"/>
          <w:i w:val="false"/>
          <w:caps w:val="false"/>
          <w:smallCaps w:val="false"/>
          <w:sz w:val="20"/>
        </w:rPr>
        <w:t>20,313 have been recognized for the three-month periods ended June 30, 2026, and 2025, respectively. A credit loss provision of $</w:t>
      </w:r>
      <w:bookmarkStart w:id="577" w:name="xdx_906_eus-gaap--DebtSecuritiesAvailabl"/>
      <w:bookmarkEnd w:id="577"/>
      <w:r>
        <w:rPr>
          <w:rFonts w:ascii="Times New Roman;Times;Serif" w:hAnsi="Times New Roman;Times;Serif"/>
          <w:b w:val="false"/>
          <w:i w:val="false"/>
          <w:caps w:val="false"/>
          <w:smallCaps w:val="false"/>
          <w:sz w:val="20"/>
        </w:rPr>
        <w:t>261,210 and of $</w:t>
      </w:r>
      <w:bookmarkStart w:id="578" w:name="xdx_90F_eus-gaap--DebtSecuritiesAvailabl"/>
      <w:bookmarkEnd w:id="578"/>
      <w:r>
        <w:rPr>
          <w:rFonts w:ascii="Times New Roman;Times;Serif" w:hAnsi="Times New Roman;Times;Serif"/>
          <w:b w:val="false"/>
          <w:i w:val="false"/>
          <w:caps w:val="false"/>
          <w:smallCaps w:val="false"/>
          <w:sz w:val="20"/>
        </w:rPr>
        <w:t>65,993 have been recognized for the six-month periods ended June 30, 2026, and 2025, respectively. Credit losses are included in gains (losses) on investments and other assets on the condensed consolidated statements of earnings. Other unrealized losses for which no credit loss was recognized are primarily the result of increases in interest rates.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payments in accordance with the terms of the financial instrument. Securities with a rating of 6 are automatically determined to be impaired, and a credit loss is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calculate a credit loss allowance on accrued interest income, included in accrued investment income on the condensed consolidated balance sheets, as the Company writes off any accrued interest income to net investment income if the accrued but unpaid amount exceeds 90 days.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Quality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NAIC securities designations, the Company had </w:t>
      </w:r>
      <w:bookmarkStart w:id="579" w:name="xdx_904_ecustom--DebtSecuritiesAvailable"/>
      <w:bookmarkEnd w:id="579"/>
      <w:r>
        <w:rPr>
          <w:rFonts w:ascii="Times New Roman;Times;Serif" w:hAnsi="Times New Roman;Times;Serif"/>
          <w:b w:val="false"/>
          <w:i w:val="false"/>
          <w:caps w:val="false"/>
          <w:smallCaps w:val="false"/>
          <w:sz w:val="20"/>
        </w:rPr>
        <w:t xml:space="preserve">98.4% and </w:t>
      </w:r>
      <w:bookmarkStart w:id="580" w:name="xdx_90C_ecustom--DebtSecuritiesAvailable"/>
      <w:bookmarkEnd w:id="580"/>
      <w:r>
        <w:rPr>
          <w:rFonts w:ascii="Times New Roman;Times;Serif" w:hAnsi="Times New Roman;Times;Serif"/>
          <w:b w:val="false"/>
          <w:i w:val="false"/>
          <w:caps w:val="false"/>
          <w:smallCaps w:val="false"/>
          <w:sz w:val="20"/>
        </w:rPr>
        <w:t>98.5% of its fixed maturity securities rated investment grade as of June 30, 2026, and December 31, 2025, respectively. The following table summarizes the credit quality, by NAIC designation, of the Company’s fixed maturity securities available for sale, excluding redeemable preferred stock.</w:t>
      </w:r>
    </w:p>
    <w:p>
      <w:pPr>
        <w:pStyle w:val="TextBody"/>
        <w:bidi w:val="0"/>
        <w:spacing w:before="0" w:after="0"/>
        <w:ind w:left="0" w:right="0" w:hanging="0"/>
        <w:jc w:val="both"/>
        <w:rPr>
          <w:caps w:val="false"/>
          <w:smallCaps w:val="false"/>
        </w:rPr>
      </w:pPr>
      <w:bookmarkStart w:id="581" w:name="xdx_891_ecustom--ScheduleofCreditQuality"/>
      <w:bookmarkEnd w:id="581"/>
      <w:r>
        <w:rPr>
          <w:caps w:val="false"/>
          <w:smallCaps w:val="false"/>
        </w:rPr>
        <w:t> </w:t>
      </w:r>
      <w:bookmarkStart w:id="582" w:name="xdx_8BB_zO0qYZCXV167"/>
      <w:bookmarkEnd w:id="582"/>
      <w:r>
        <w:rPr>
          <w:rFonts w:ascii="Times New Roman;Times;Serif" w:hAnsi="Times New Roman;Times;Serif"/>
          <w:b w:val="false"/>
          <w:i w:val="false"/>
          <w:caps w:val="false"/>
          <w:smallCaps w:val="false"/>
          <w:sz w:val="20"/>
        </w:rPr>
        <w:t>Schedule of Credit Quality of Fixed Maturity Security Portfolio by NAIC Designation</w:t>
      </w:r>
    </w:p>
    <w:tbl>
      <w:tblPr>
        <w:tblW w:w="7818" w:type="dxa"/>
        <w:jc w:val="left"/>
        <w:tblInd w:w="0" w:type="dxa"/>
        <w:tblLayout w:type="fixed"/>
        <w:tblCellMar>
          <w:top w:w="0" w:type="dxa"/>
          <w:left w:w="0" w:type="dxa"/>
          <w:bottom w:w="0" w:type="dxa"/>
          <w:right w:w="0" w:type="dxa"/>
        </w:tblCellMar>
      </w:tblPr>
      <w:tblGrid>
        <w:gridCol w:w="1835"/>
        <w:gridCol w:w="60"/>
        <w:gridCol w:w="140"/>
        <w:gridCol w:w="1220"/>
        <w:gridCol w:w="60"/>
        <w:gridCol w:w="60"/>
        <w:gridCol w:w="142"/>
        <w:gridCol w:w="1242"/>
        <w:gridCol w:w="60"/>
        <w:gridCol w:w="60"/>
        <w:gridCol w:w="140"/>
        <w:gridCol w:w="1220"/>
        <w:gridCol w:w="60"/>
        <w:gridCol w:w="60"/>
        <w:gridCol w:w="142"/>
        <w:gridCol w:w="1242"/>
        <w:gridCol w:w="7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NAIC Designation</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Amortized</w:t>
            </w:r>
          </w:p>
          <w:p>
            <w:pPr>
              <w:pStyle w:val="TableContents"/>
              <w:bidi w:val="0"/>
              <w:spacing w:before="0" w:after="283"/>
              <w:jc w:val="center"/>
              <w:rPr>
                <w:rFonts w:ascii="Times New Roman;Times;Serif" w:hAnsi="Times New Roman;Times;Serif"/>
              </w:rPr>
            </w:pPr>
            <w:r>
              <w:rPr>
                <w:rFonts w:ascii="Times New Roman;Times;Serif" w:hAnsi="Times New Roman;Times;Serif"/>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Estimated 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Amortized</w:t>
            </w:r>
          </w:p>
          <w:p>
            <w:pPr>
              <w:pStyle w:val="TableContents"/>
              <w:bidi w:val="0"/>
              <w:spacing w:before="0" w:after="283"/>
              <w:jc w:val="center"/>
              <w:rPr>
                <w:rFonts w:ascii="Times New Roman;Times;Serif" w:hAnsi="Times New Roman;Times;Serif"/>
              </w:rPr>
            </w:pPr>
            <w:r>
              <w:rPr>
                <w:rFonts w:ascii="Times New Roman;Times;Serif" w:hAnsi="Times New Roman;Times;Serif"/>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Estimated 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3" w:name="xdx_98D_eus-gaap--AvailableForSaleDebtSe"/>
            <w:bookmarkEnd w:id="58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202,837,866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4" w:name="xdx_988_eus-gaap--AvailableForSaleSecuri"/>
            <w:bookmarkEnd w:id="584"/>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199,876,553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5" w:name="xdx_98C_eus-gaap--AvailableForSaleDebtSe"/>
            <w:bookmarkEnd w:id="58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198,055,737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6" w:name="xdx_989_eus-gaap--AvailableForSaleSecuri"/>
            <w:bookmarkEnd w:id="586"/>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197,788,945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7" w:name="xdx_981_eus-gaap--AvailableForSaleDebtSe"/>
            <w:bookmarkEnd w:id="587"/>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174,316,179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88" w:name="xdx_983_eus-gaap--AvailableForSaleSecuri"/>
            <w:bookmarkEnd w:id="588"/>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173,864,555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9" w:name="xdx_985_eus-gaap--AvailableForSaleDebtSe"/>
            <w:bookmarkEnd w:id="58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177,242,472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90" w:name="xdx_981_eus-gaap--AvailableForSaleSecuri"/>
            <w:bookmarkEnd w:id="590"/>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178,441,019</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1" w:name="xdx_98F_eus-gaap--AvailableForSaleDebtSe"/>
            <w:bookmarkEnd w:id="59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5,798,920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592" w:name="xdx_981_eus-gaap--AvailableForSaleSecuri"/>
            <w:bookmarkEnd w:id="592"/>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5,093,932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3" w:name="xdx_984_eus-gaap--AvailableForSaleDebtSe"/>
            <w:bookmarkEnd w:id="59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594" w:name="xdx_987_eus-gaap--AvailableForSaleSecuri"/>
            <w:bookmarkEnd w:id="594"/>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5,616,342</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95" w:name="xdx_98B_eus-gaap--AvailableForSaleDebtSe"/>
            <w:bookmarkEnd w:id="595"/>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96" w:name="xdx_98F_eus-gaap--AvailableForSaleSecuri"/>
            <w:bookmarkEnd w:id="596"/>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97" w:name="xdx_985_eus-gaap--AvailableForSaleDebtSe"/>
            <w:bookmarkEnd w:id="597"/>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598" w:name="xdx_989_eus-gaap--AvailableForSaleSecuri"/>
            <w:bookmarkEnd w:id="598"/>
          </w:p>
        </w:tc>
        <w:tc>
          <w:tcPr>
            <w:tcW w:w="12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160,830</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9" w:name="xdx_980_eus-gaap--AvailableForSaleDebtSe"/>
            <w:bookmarkEnd w:id="59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600" w:name="xdx_98F_eus-gaap--AvailableForSaleSecuri"/>
            <w:bookmarkEnd w:id="600"/>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01" w:name="xdx_986_eus-gaap--AvailableForSaleDebtSe"/>
            <w:bookmarkEnd w:id="60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602" w:name="xdx_982_eus-gaap--AvailableForSaleSecuri"/>
            <w:bookmarkEnd w:id="602"/>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3" w:name="xdx_988_eus-gaap--AvailableForSaleDebtSe"/>
            <w:bookmarkEnd w:id="603"/>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4" w:name="xdx_98B_eus-gaap--AvailableForSaleSecuri"/>
            <w:bookmarkEnd w:id="604"/>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8_eus-gaap--AvailableForSaleDebtSe"/>
            <w:bookmarkEnd w:id="605"/>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6" w:name="xdx_988_eus-gaap--AvailableForSaleSecuri"/>
            <w:bookmarkEnd w:id="606"/>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47,340</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7" w:name="xdx_98F_eus-gaap--AvailableForSaleDebtSe"/>
            <w:bookmarkEnd w:id="607"/>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384,353,571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8" w:name="xdx_985_eus-gaap--AvailableForSaleSecuri"/>
            <w:bookmarkEnd w:id="608"/>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379,707,150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9" w:name="xdx_984_eus-gaap--AvailableForSaleDebtSe"/>
            <w:bookmarkEnd w:id="60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381,651,293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0" w:name="xdx_981_eus-gaap--AvailableForSaleSecuri"/>
            <w:bookmarkEnd w:id="610"/>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382,054,476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1" w:name="xdx_8A3_zCX5ZgVba516"/>
      <w:bookmarkEnd w:id="6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92_eus-gaap--DebtSecuritiesAvailabl"/>
      <w:bookmarkEnd w:id="612"/>
      <w:r>
        <w:rPr>
          <w:rFonts w:ascii="Times New Roman;Times;Serif" w:hAnsi="Times New Roman;Times;Serif"/>
          <w:b w:val="false"/>
          <w:i w:val="false"/>
          <w:caps w:val="false"/>
          <w:smallCaps w:val="false"/>
          <w:sz w:val="20"/>
        </w:rPr>
        <w:t>The following tables present a roll forward of the Company’s allowance for credit losses on fixed maturity securities available for sale for the three-month periods ended June 30, 2026, and 2025:</w:t>
      </w:r>
    </w:p>
    <w:p>
      <w:pPr>
        <w:pStyle w:val="TextBody"/>
        <w:bidi w:val="0"/>
        <w:spacing w:before="0" w:after="0"/>
        <w:ind w:left="0" w:right="0" w:hanging="0"/>
        <w:jc w:val="both"/>
        <w:rPr>
          <w:caps w:val="false"/>
          <w:smallCaps w:val="false"/>
        </w:rPr>
      </w:pPr>
      <w:r>
        <w:rPr>
          <w:caps w:val="false"/>
          <w:smallCaps w:val="false"/>
        </w:rPr>
        <w:t> </w:t>
      </w:r>
      <w:bookmarkStart w:id="613" w:name="xdx_8B3_zNNweTnaCZ2c"/>
      <w:bookmarkEnd w:id="613"/>
      <w:r>
        <w:rPr>
          <w:rFonts w:ascii="Times New Roman;Times;Serif" w:hAnsi="Times New Roman;Times;Serif"/>
          <w:b w:val="false"/>
          <w:i w:val="false"/>
          <w:caps w:val="false"/>
          <w:smallCaps w:val="false"/>
          <w:sz w:val="20"/>
        </w:rPr>
        <w:t>Schedule of Allowance for Credit Losses on Fixed Maturity Securities Available for Sale</w:t>
      </w:r>
    </w:p>
    <w:tbl>
      <w:tblPr>
        <w:tblW w:w="10205" w:type="dxa"/>
        <w:jc w:val="left"/>
        <w:tblInd w:w="0" w:type="dxa"/>
        <w:tblLayout w:type="fixed"/>
        <w:tblCellMar>
          <w:top w:w="0" w:type="dxa"/>
          <w:left w:w="0" w:type="dxa"/>
          <w:bottom w:w="0" w:type="dxa"/>
          <w:right w:w="0" w:type="dxa"/>
        </w:tblCellMar>
      </w:tblPr>
      <w:tblGrid>
        <w:gridCol w:w="3899"/>
        <w:gridCol w:w="60"/>
        <w:gridCol w:w="769"/>
        <w:gridCol w:w="523"/>
        <w:gridCol w:w="60"/>
        <w:gridCol w:w="60"/>
        <w:gridCol w:w="770"/>
        <w:gridCol w:w="524"/>
        <w:gridCol w:w="60"/>
        <w:gridCol w:w="60"/>
        <w:gridCol w:w="184"/>
        <w:gridCol w:w="999"/>
        <w:gridCol w:w="60"/>
        <w:gridCol w:w="60"/>
        <w:gridCol w:w="145"/>
        <w:gridCol w:w="834"/>
        <w:gridCol w:w="60"/>
        <w:gridCol w:w="60"/>
        <w:gridCol w:w="140"/>
        <w:gridCol w:w="800"/>
        <w:gridCol w:w="78"/>
      </w:tblGrid>
      <w:tr>
        <w:trPr/>
        <w:tc>
          <w:tcPr>
            <w:tcW w:w="3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B8_us-gaap--FairValueByAssetClassAx"/>
            <w:bookmarkEnd w:id="614"/>
          </w:p>
        </w:tc>
        <w:tc>
          <w:tcPr>
            <w:tcW w:w="129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U.S. Treasury</w:t>
            </w:r>
          </w:p>
          <w:p>
            <w:pPr>
              <w:pStyle w:val="TableContents"/>
              <w:bidi w:val="0"/>
              <w:jc w:val="center"/>
              <w:rPr>
                <w:rFonts w:ascii="Times New Roman;Times;Serif" w:hAnsi="Times New Roman;Times;Serif"/>
                <w:sz w:val="20"/>
              </w:rPr>
            </w:pPr>
            <w:r>
              <w:rPr>
                <w:rFonts w:ascii="Times New Roman;Times;Serif" w:hAnsi="Times New Roman;Times;Serif"/>
                <w:sz w:val="20"/>
              </w:rPr>
              <w:t>securities and</w:t>
            </w:r>
          </w:p>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U.S.</w:t>
            </w:r>
          </w:p>
          <w:p>
            <w:pPr>
              <w:pStyle w:val="TableContents"/>
              <w:bidi w:val="0"/>
              <w:jc w:val="center"/>
              <w:rPr>
                <w:rFonts w:ascii="Times New Roman;Times;Serif" w:hAnsi="Times New Roman;Times;Serif"/>
                <w:sz w:val="20"/>
              </w:rPr>
            </w:pPr>
            <w:r>
              <w:rPr>
                <w:rFonts w:ascii="Times New Roman;Times;Serif" w:hAnsi="Times New Roman;Times;Serif"/>
                <w:sz w:val="20"/>
              </w:rPr>
              <w:t>Government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B0_us-gaap--FairValueByAssetClassAx"/>
            <w:bookmarkEnd w:id="615"/>
          </w:p>
        </w:tc>
        <w:tc>
          <w:tcPr>
            <w:tcW w:w="12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states and</w:t>
            </w:r>
          </w:p>
          <w:p>
            <w:pPr>
              <w:pStyle w:val="TableContents"/>
              <w:bidi w:val="0"/>
              <w:jc w:val="center"/>
              <w:rPr>
                <w:rFonts w:ascii="Times New Roman;Times;Serif" w:hAnsi="Times New Roman;Times;Serif"/>
                <w:sz w:val="20"/>
              </w:rPr>
            </w:pPr>
            <w:r>
              <w:rPr>
                <w:rFonts w:ascii="Times New Roman;Times;Serif" w:hAnsi="Times New Roman;Times;Serif"/>
                <w:sz w:val="20"/>
              </w:rPr>
              <w:t>political</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6" w:name="xdx_4BD_us-gaap--FairValueByAssetClassAx"/>
            <w:bookmarkEnd w:id="616"/>
          </w:p>
        </w:tc>
        <w:tc>
          <w:tcPr>
            <w:tcW w:w="118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Corporate</w:t>
            </w:r>
          </w:p>
          <w:p>
            <w:pPr>
              <w:pStyle w:val="TableContents"/>
              <w:bidi w:val="0"/>
              <w:jc w:val="center"/>
              <w:rPr>
                <w:rFonts w:ascii="Times New Roman;Times;Serif" w:hAnsi="Times New Roman;Times;Serif"/>
                <w:sz w:val="20"/>
              </w:rPr>
            </w:pPr>
            <w:r>
              <w:rPr>
                <w:rFonts w:ascii="Times New Roman;Times;Serif" w:hAnsi="Times New Roman;Times;Serif"/>
                <w:sz w:val="20"/>
              </w:rPr>
              <w:t>securities</w:t>
            </w:r>
          </w:p>
          <w:p>
            <w:pPr>
              <w:pStyle w:val="TableContents"/>
              <w:bidi w:val="0"/>
              <w:jc w:val="center"/>
              <w:rPr>
                <w:rFonts w:ascii="Times New Roman;Times;Serif" w:hAnsi="Times New Roman;Times;Serif"/>
                <w:sz w:val="20"/>
              </w:rPr>
            </w:pPr>
            <w:r>
              <w:rPr>
                <w:rFonts w:ascii="Times New Roman;Times;Serif" w:hAnsi="Times New Roman;Times;Serif"/>
                <w:sz w:val="20"/>
              </w:rPr>
              <w:t>including</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public utilities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7" w:name="xdx_4BE_us-gaap--FairValueByAssetClassAx"/>
            <w:bookmarkEnd w:id="617"/>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Mortgage-</w:t>
            </w:r>
          </w:p>
          <w:p>
            <w:pPr>
              <w:pStyle w:val="TableContents"/>
              <w:bidi w:val="0"/>
              <w:jc w:val="center"/>
              <w:rPr>
                <w:rFonts w:ascii="Times New Roman;Times;Serif" w:hAnsi="Times New Roman;Times;Serif"/>
                <w:sz w:val="20"/>
              </w:rPr>
            </w:pPr>
            <w:r>
              <w:rPr>
                <w:rFonts w:ascii="Times New Roman;Times;Serif" w:hAnsi="Times New Roman;Times;Serif"/>
                <w:sz w:val="20"/>
              </w:rPr>
              <w:t>backed</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8" w:name="xdx_4BA_z1wLvMj6NaF4"/>
            <w:bookmarkEnd w:id="61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78" w:type="dxa"/>
            <w:tcBorders/>
            <w:vAlign w:val="center"/>
          </w:tcPr>
          <w:p>
            <w:pPr>
              <w:pStyle w:val="TableContents"/>
              <w:bidi w:val="0"/>
              <w:spacing w:before="0" w:after="283"/>
              <w:jc w:val="left"/>
              <w:rPr/>
            </w:pPr>
            <w:r>
              <w:rPr/>
              <w:t> </w:t>
            </w:r>
          </w:p>
        </w:tc>
      </w:tr>
      <w:tr>
        <w:trPr/>
        <w:tc>
          <w:tcPr>
            <w:tcW w:w="3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6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 2026</w:t>
            </w:r>
          </w:p>
        </w:tc>
        <w:tc>
          <w:tcPr>
            <w:tcW w:w="78" w:type="dxa"/>
            <w:tcBorders/>
            <w:vAlign w:val="center"/>
          </w:tcPr>
          <w:p>
            <w:pPr>
              <w:pStyle w:val="TableContents"/>
              <w:bidi w:val="0"/>
              <w:spacing w:before="0" w:after="283"/>
              <w:jc w:val="left"/>
              <w:rPr/>
            </w:pPr>
            <w:r>
              <w:rPr/>
              <w:t> </w:t>
            </w:r>
          </w:p>
        </w:tc>
      </w:tr>
      <w:tr>
        <w:trPr/>
        <w:tc>
          <w:tcPr>
            <w:tcW w:w="3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U.S. Treasury</w:t>
            </w:r>
          </w:p>
          <w:p>
            <w:pPr>
              <w:pStyle w:val="TableContents"/>
              <w:bidi w:val="0"/>
              <w:jc w:val="center"/>
              <w:rPr>
                <w:rFonts w:ascii="Times New Roman;Times;Serif" w:hAnsi="Times New Roman;Times;Serif"/>
              </w:rPr>
            </w:pPr>
            <w:r>
              <w:rPr>
                <w:rFonts w:ascii="Times New Roman;Times;Serif" w:hAnsi="Times New Roman;Times;Serif"/>
              </w:rPr>
              <w:t>securities and</w:t>
            </w:r>
          </w:p>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U.S.</w:t>
            </w:r>
          </w:p>
          <w:p>
            <w:pPr>
              <w:pStyle w:val="TableContents"/>
              <w:bidi w:val="0"/>
              <w:jc w:val="center"/>
              <w:rPr>
                <w:rFonts w:ascii="Times New Roman;Times;Serif" w:hAnsi="Times New Roman;Times;Serif"/>
              </w:rPr>
            </w:pPr>
            <w:r>
              <w:rPr>
                <w:rFonts w:ascii="Times New Roman;Times;Serif" w:hAnsi="Times New Roman;Times;Serif"/>
              </w:rPr>
              <w:t>Government</w:t>
            </w:r>
          </w:p>
          <w:p>
            <w:pPr>
              <w:pStyle w:val="TableContents"/>
              <w:bidi w:val="0"/>
              <w:spacing w:before="0" w:after="283"/>
              <w:jc w:val="center"/>
              <w:rPr>
                <w:rFonts w:ascii="Times New Roman;Times;Serif" w:hAnsi="Times New Roman;Times;Serif"/>
              </w:rPr>
            </w:pPr>
            <w:r>
              <w:rPr>
                <w:rFonts w:ascii="Times New Roman;Times;Serif" w:hAnsi="Times New Roman;Times;Serif"/>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states and</w:t>
            </w:r>
          </w:p>
          <w:p>
            <w:pPr>
              <w:pStyle w:val="TableContents"/>
              <w:bidi w:val="0"/>
              <w:jc w:val="center"/>
              <w:rPr>
                <w:rFonts w:ascii="Times New Roman;Times;Serif" w:hAnsi="Times New Roman;Times;Serif"/>
              </w:rPr>
            </w:pPr>
            <w:r>
              <w:rPr>
                <w:rFonts w:ascii="Times New Roman;Times;Serif" w:hAnsi="Times New Roman;Times;Serif"/>
              </w:rPr>
              <w:t>political</w:t>
            </w:r>
          </w:p>
          <w:p>
            <w:pPr>
              <w:pStyle w:val="TableContents"/>
              <w:bidi w:val="0"/>
              <w:spacing w:before="0" w:after="283"/>
              <w:jc w:val="center"/>
              <w:rPr>
                <w:rFonts w:ascii="Times New Roman;Times;Serif" w:hAnsi="Times New Roman;Times;Serif"/>
              </w:rPr>
            </w:pPr>
            <w:r>
              <w:rPr>
                <w:rFonts w:ascii="Times New Roman;Times;Serif" w:hAnsi="Times New Roman;Times;Serif"/>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Corporate</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including</w:t>
            </w:r>
          </w:p>
          <w:p>
            <w:pPr>
              <w:pStyle w:val="TableContents"/>
              <w:bidi w:val="0"/>
              <w:spacing w:before="0" w:after="283"/>
              <w:jc w:val="center"/>
              <w:rPr/>
            </w:pPr>
            <w:r>
              <w:rPr>
                <w:rFonts w:ascii="Times New Roman;Times;Serif" w:hAnsi="Times New Roman;Times;Serif"/>
              </w:rPr>
              <w:t xml:space="preserve">public </w:t>
            </w:r>
            <w:r>
              <w:rPr/>
              <w:t>utilities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Mortgage-</w:t>
            </w:r>
          </w:p>
          <w:p>
            <w:pPr>
              <w:pStyle w:val="TableContents"/>
              <w:bidi w:val="0"/>
              <w:jc w:val="center"/>
              <w:rPr>
                <w:rFonts w:ascii="Times New Roman;Times;Serif" w:hAnsi="Times New Roman;Times;Serif"/>
              </w:rPr>
            </w:pPr>
            <w:r>
              <w:rPr>
                <w:rFonts w:ascii="Times New Roman;Times;Serif" w:hAnsi="Times New Roman;Times;Serif"/>
              </w:rPr>
              <w:t>backed</w:t>
            </w:r>
          </w:p>
          <w:p>
            <w:pPr>
              <w:pStyle w:val="TableContents"/>
              <w:bidi w:val="0"/>
              <w:spacing w:before="0" w:after="283"/>
              <w:jc w:val="center"/>
              <w:rPr>
                <w:rFonts w:ascii="Times New Roman;Times;Serif" w:hAnsi="Times New Roman;Times;Serif"/>
              </w:rPr>
            </w:pPr>
            <w:r>
              <w:rPr>
                <w:rFonts w:ascii="Times New Roman;Times;Serif" w:hAnsi="Times New Roman;Times;Serif"/>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8" w:type="dxa"/>
            <w:tcBorders/>
            <w:vAlign w:val="center"/>
          </w:tcPr>
          <w:p>
            <w:pPr>
              <w:pStyle w:val="TableContents"/>
              <w:bidi w:val="0"/>
              <w:spacing w:before="0" w:after="283"/>
              <w:jc w:val="left"/>
              <w:rPr/>
            </w:pPr>
            <w:r>
              <w:rPr/>
              <w:t> </w:t>
            </w:r>
          </w:p>
        </w:tc>
      </w:tr>
      <w:tr>
        <w:trPr/>
        <w:tc>
          <w:tcPr>
            <w:tcW w:w="3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619" w:name="xdx_438_c20260401__20260630_eus-gaap--De"/>
            <w:bookmarkEnd w:id="619"/>
          </w:p>
        </w:tc>
      </w:tr>
      <w:tr>
        <w:trPr/>
        <w:tc>
          <w:tcPr>
            <w:tcW w:w="38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March 31, 2026</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675,997</w:t>
            </w:r>
          </w:p>
        </w:tc>
        <w:tc>
          <w:tcPr>
            <w:tcW w:w="78" w:type="dxa"/>
            <w:tcBorders/>
            <w:shd w:fill="CCEEFF" w:val="clear"/>
            <w:vAlign w:val="center"/>
          </w:tcPr>
          <w:p>
            <w:pPr>
              <w:pStyle w:val="TableContents"/>
              <w:bidi w:val="0"/>
              <w:spacing w:before="0" w:after="283"/>
              <w:jc w:val="left"/>
              <w:rPr/>
            </w:pPr>
            <w:r>
              <w:rPr/>
              <w:t> </w:t>
            </w:r>
          </w:p>
        </w:tc>
      </w:tr>
      <w:tr>
        <w:trPr/>
        <w:tc>
          <w:tcPr>
            <w:tcW w:w="3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620" w:name="xdx_40E_eus-gaap--DebtSecuritiesAvailabl"/>
            <w:bookmarkEnd w:id="620"/>
          </w:p>
        </w:tc>
      </w:tr>
      <w:tr>
        <w:trPr/>
        <w:tc>
          <w:tcPr>
            <w:tcW w:w="38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for credit losses not previously recorded</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8" w:type="dxa"/>
            <w:tcBorders/>
            <w:shd w:fill="CCEEFF" w:val="clear"/>
            <w:vAlign w:val="center"/>
          </w:tcPr>
          <w:p>
            <w:pPr>
              <w:pStyle w:val="TableContents"/>
              <w:bidi w:val="0"/>
              <w:spacing w:before="0" w:after="283"/>
              <w:jc w:val="left"/>
              <w:rPr/>
            </w:pPr>
            <w:r>
              <w:rPr/>
              <w:t> </w:t>
            </w:r>
            <w:bookmarkStart w:id="621" w:name="xdx_401_ecustom--DebtSecuritiesAvailable"/>
            <w:bookmarkEnd w:id="621"/>
          </w:p>
        </w:tc>
      </w:tr>
      <w:tr>
        <w:trPr/>
        <w:tc>
          <w:tcPr>
            <w:tcW w:w="38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on securities with previous allowance</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114,663</w:t>
            </w:r>
          </w:p>
        </w:tc>
        <w:tc>
          <w:tcPr>
            <w:tcW w:w="78" w:type="dxa"/>
            <w:tcBorders/>
            <w:shd w:fill="FFFFFF" w:val="clear"/>
            <w:vAlign w:val="center"/>
          </w:tcPr>
          <w:p>
            <w:pPr>
              <w:pStyle w:val="TableContents"/>
              <w:bidi w:val="0"/>
              <w:spacing w:before="0" w:after="283"/>
              <w:jc w:val="left"/>
              <w:rPr/>
            </w:pPr>
            <w:r>
              <w:rPr/>
              <w:t> </w:t>
            </w:r>
            <w:bookmarkStart w:id="622" w:name="xdx_40D_eus-gaap--DebtSecuritiesAvailabl"/>
            <w:bookmarkEnd w:id="622"/>
          </w:p>
        </w:tc>
      </w:tr>
      <w:tr>
        <w:trPr/>
        <w:tc>
          <w:tcPr>
            <w:tcW w:w="38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sold during the period</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bookmarkStart w:id="623" w:name="xdx_40F_eus-gaap--DebtSecuritiesAvailabl"/>
            <w:bookmarkEnd w:id="623"/>
          </w:p>
        </w:tc>
      </w:tr>
      <w:tr>
        <w:trPr/>
        <w:tc>
          <w:tcPr>
            <w:tcW w:w="38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with credit losses due to intent to sell</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bookmarkStart w:id="624" w:name="xdx_40D_eus-gaap--DebtSecuritiesAvailabl"/>
            <w:bookmarkEnd w:id="624"/>
          </w:p>
        </w:tc>
      </w:tr>
      <w:tr>
        <w:trPr/>
        <w:tc>
          <w:tcPr>
            <w:tcW w:w="38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bookmarkStart w:id="625" w:name="xdx_40A_eus-gaap--DebtSecuritiesAvailabl"/>
            <w:bookmarkEnd w:id="625"/>
          </w:p>
        </w:tc>
      </w:tr>
      <w:tr>
        <w:trPr/>
        <w:tc>
          <w:tcPr>
            <w:tcW w:w="38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Recoveries of amounts previously written off</w:t>
            </w:r>
          </w:p>
        </w:tc>
        <w:tc>
          <w:tcPr>
            <w:tcW w:w="60" w:type="dxa"/>
            <w:tcBorders/>
            <w:shd w:fill="FFFFFF" w:val="cle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626" w:name="xdx_438_c20260401__20260630_eus-gaap--De"/>
            <w:bookmarkEnd w:id="626"/>
          </w:p>
        </w:tc>
      </w:tr>
      <w:tr>
        <w:trPr/>
        <w:tc>
          <w:tcPr>
            <w:tcW w:w="38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2026</w:t>
            </w:r>
          </w:p>
        </w:tc>
        <w:tc>
          <w:tcPr>
            <w:tcW w:w="60" w:type="dxa"/>
            <w:tcBorders/>
            <w:shd w:fill="FFFFFF" w:val="cle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840,660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42"/>
        <w:gridCol w:w="60"/>
        <w:gridCol w:w="760"/>
        <w:gridCol w:w="517"/>
        <w:gridCol w:w="60"/>
        <w:gridCol w:w="60"/>
        <w:gridCol w:w="760"/>
        <w:gridCol w:w="517"/>
        <w:gridCol w:w="60"/>
        <w:gridCol w:w="60"/>
        <w:gridCol w:w="250"/>
        <w:gridCol w:w="1360"/>
        <w:gridCol w:w="95"/>
        <w:gridCol w:w="60"/>
        <w:gridCol w:w="164"/>
        <w:gridCol w:w="806"/>
        <w:gridCol w:w="60"/>
        <w:gridCol w:w="60"/>
        <w:gridCol w:w="140"/>
        <w:gridCol w:w="800"/>
        <w:gridCol w:w="114"/>
      </w:tblGrid>
      <w:tr>
        <w:trPr/>
        <w:tc>
          <w:tcPr>
            <w:tcW w:w="3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7" w:name="xdx_4B6_us-gaap--FairValueByAssetClassAx"/>
            <w:bookmarkEnd w:id="627"/>
          </w:p>
        </w:tc>
        <w:tc>
          <w:tcPr>
            <w:tcW w:w="127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U.S. Treasury</w:t>
            </w:r>
          </w:p>
          <w:p>
            <w:pPr>
              <w:pStyle w:val="TableContents"/>
              <w:bidi w:val="0"/>
              <w:jc w:val="center"/>
              <w:rPr>
                <w:rFonts w:ascii="Times New Roman;Times;Serif" w:hAnsi="Times New Roman;Times;Serif"/>
                <w:sz w:val="20"/>
              </w:rPr>
            </w:pPr>
            <w:r>
              <w:rPr>
                <w:rFonts w:ascii="Times New Roman;Times;Serif" w:hAnsi="Times New Roman;Times;Serif"/>
                <w:sz w:val="20"/>
              </w:rPr>
              <w:t>securities and</w:t>
            </w:r>
          </w:p>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U.S.</w:t>
            </w:r>
          </w:p>
          <w:p>
            <w:pPr>
              <w:pStyle w:val="TableContents"/>
              <w:bidi w:val="0"/>
              <w:jc w:val="center"/>
              <w:rPr>
                <w:rFonts w:ascii="Times New Roman;Times;Serif" w:hAnsi="Times New Roman;Times;Serif"/>
                <w:sz w:val="20"/>
              </w:rPr>
            </w:pPr>
            <w:r>
              <w:rPr>
                <w:rFonts w:ascii="Times New Roman;Times;Serif" w:hAnsi="Times New Roman;Times;Serif"/>
                <w:sz w:val="20"/>
              </w:rPr>
              <w:t>Government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8" w:name="xdx_4BE_us-gaap--FairValueByAssetClassAx"/>
            <w:bookmarkEnd w:id="628"/>
          </w:p>
        </w:tc>
        <w:tc>
          <w:tcPr>
            <w:tcW w:w="127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states and</w:t>
            </w:r>
          </w:p>
          <w:p>
            <w:pPr>
              <w:pStyle w:val="TableContents"/>
              <w:bidi w:val="0"/>
              <w:jc w:val="center"/>
              <w:rPr>
                <w:rFonts w:ascii="Times New Roman;Times;Serif" w:hAnsi="Times New Roman;Times;Serif"/>
                <w:sz w:val="20"/>
              </w:rPr>
            </w:pPr>
            <w:r>
              <w:rPr>
                <w:rFonts w:ascii="Times New Roman;Times;Serif" w:hAnsi="Times New Roman;Times;Serif"/>
                <w:sz w:val="20"/>
              </w:rPr>
              <w:t>political</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9" w:name="xdx_4B6_us-gaap--FairValueByAssetClassAx"/>
            <w:bookmarkEnd w:id="629"/>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Corporate</w:t>
            </w:r>
          </w:p>
          <w:p>
            <w:pPr>
              <w:pStyle w:val="TableContents"/>
              <w:bidi w:val="0"/>
              <w:jc w:val="center"/>
              <w:rPr>
                <w:rFonts w:ascii="Times New Roman;Times;Serif" w:hAnsi="Times New Roman;Times;Serif"/>
                <w:sz w:val="20"/>
              </w:rPr>
            </w:pPr>
            <w:r>
              <w:rPr>
                <w:rFonts w:ascii="Times New Roman;Times;Serif" w:hAnsi="Times New Roman;Times;Serif"/>
                <w:sz w:val="20"/>
              </w:rPr>
              <w:t>securities</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including public utilities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0" w:name="xdx_4BB_us-gaap--FairValueByAssetClassAx"/>
            <w:bookmarkEnd w:id="630"/>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Mortgage-</w:t>
            </w:r>
          </w:p>
          <w:p>
            <w:pPr>
              <w:pStyle w:val="TableContents"/>
              <w:bidi w:val="0"/>
              <w:jc w:val="center"/>
              <w:rPr>
                <w:rFonts w:ascii="Times New Roman;Times;Serif" w:hAnsi="Times New Roman;Times;Serif"/>
                <w:sz w:val="20"/>
              </w:rPr>
            </w:pPr>
            <w:r>
              <w:rPr>
                <w:rFonts w:ascii="Times New Roman;Times;Serif" w:hAnsi="Times New Roman;Times;Serif"/>
                <w:sz w:val="20"/>
              </w:rPr>
              <w:t>backed</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1" w:name="xdx_4BA_zhG7s4ihJkM2"/>
            <w:bookmarkEnd w:id="631"/>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114" w:type="dxa"/>
            <w:tcBorders/>
            <w:vAlign w:val="center"/>
          </w:tcPr>
          <w:p>
            <w:pPr>
              <w:pStyle w:val="TableContents"/>
              <w:bidi w:val="0"/>
              <w:spacing w:before="0" w:after="283"/>
              <w:jc w:val="left"/>
              <w:rPr/>
            </w:pPr>
            <w:r>
              <w:rPr/>
              <w:t> </w:t>
            </w:r>
          </w:p>
        </w:tc>
      </w:tr>
      <w:tr>
        <w:trPr/>
        <w:tc>
          <w:tcPr>
            <w:tcW w:w="3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8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 2025</w:t>
            </w:r>
          </w:p>
        </w:tc>
        <w:tc>
          <w:tcPr>
            <w:tcW w:w="114" w:type="dxa"/>
            <w:tcBorders/>
            <w:vAlign w:val="center"/>
          </w:tcPr>
          <w:p>
            <w:pPr>
              <w:pStyle w:val="TableContents"/>
              <w:bidi w:val="0"/>
              <w:spacing w:before="0" w:after="283"/>
              <w:jc w:val="left"/>
              <w:rPr/>
            </w:pPr>
            <w:r>
              <w:rPr/>
              <w:t> </w:t>
            </w:r>
          </w:p>
        </w:tc>
      </w:tr>
      <w:tr>
        <w:trPr/>
        <w:tc>
          <w:tcPr>
            <w:tcW w:w="3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U.S. Treasury</w:t>
            </w:r>
          </w:p>
          <w:p>
            <w:pPr>
              <w:pStyle w:val="TableContents"/>
              <w:bidi w:val="0"/>
              <w:jc w:val="center"/>
              <w:rPr>
                <w:rFonts w:ascii="Times New Roman;Times;Serif" w:hAnsi="Times New Roman;Times;Serif"/>
              </w:rPr>
            </w:pPr>
            <w:r>
              <w:rPr>
                <w:rFonts w:ascii="Times New Roman;Times;Serif" w:hAnsi="Times New Roman;Times;Serif"/>
              </w:rPr>
              <w:t>securities and</w:t>
            </w:r>
          </w:p>
          <w:p>
            <w:pPr>
              <w:pStyle w:val="TableContents"/>
              <w:bidi w:val="0"/>
              <w:jc w:val="center"/>
              <w:rPr/>
            </w:pPr>
            <w:r>
              <w:rPr/>
              <w:t>obligations of</w:t>
            </w:r>
          </w:p>
          <w:p>
            <w:pPr>
              <w:pStyle w:val="TableContents"/>
              <w:bidi w:val="0"/>
              <w:jc w:val="center"/>
              <w:rPr>
                <w:rFonts w:ascii="Times New Roman;Times;Serif" w:hAnsi="Times New Roman;Times;Serif"/>
              </w:rPr>
            </w:pPr>
            <w:r>
              <w:rPr>
                <w:rFonts w:ascii="Times New Roman;Times;Serif" w:hAnsi="Times New Roman;Times;Serif"/>
              </w:rPr>
              <w:t>U.S.</w:t>
            </w:r>
          </w:p>
          <w:p>
            <w:pPr>
              <w:pStyle w:val="TableContents"/>
              <w:bidi w:val="0"/>
              <w:jc w:val="center"/>
              <w:rPr>
                <w:rFonts w:ascii="Times New Roman;Times;Serif" w:hAnsi="Times New Roman;Times;Serif"/>
              </w:rPr>
            </w:pPr>
            <w:r>
              <w:rPr>
                <w:rFonts w:ascii="Times New Roman;Times;Serif" w:hAnsi="Times New Roman;Times;Serif"/>
              </w:rPr>
              <w:t>Government</w:t>
            </w:r>
          </w:p>
          <w:p>
            <w:pPr>
              <w:pStyle w:val="TableContents"/>
              <w:bidi w:val="0"/>
              <w:spacing w:before="0" w:after="283"/>
              <w:jc w:val="center"/>
              <w:rPr>
                <w:rFonts w:ascii="Times New Roman;Times;Serif" w:hAnsi="Times New Roman;Times;Serif"/>
              </w:rPr>
            </w:pPr>
            <w:r>
              <w:rPr>
                <w:rFonts w:ascii="Times New Roman;Times;Serif" w:hAnsi="Times New Roman;Times;Serif"/>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states and</w:t>
            </w:r>
          </w:p>
          <w:p>
            <w:pPr>
              <w:pStyle w:val="TableContents"/>
              <w:bidi w:val="0"/>
              <w:jc w:val="center"/>
              <w:rPr>
                <w:rFonts w:ascii="Times New Roman;Times;Serif" w:hAnsi="Times New Roman;Times;Serif"/>
              </w:rPr>
            </w:pPr>
            <w:r>
              <w:rPr>
                <w:rFonts w:ascii="Times New Roman;Times;Serif" w:hAnsi="Times New Roman;Times;Serif"/>
              </w:rPr>
              <w:t>political</w:t>
            </w:r>
          </w:p>
          <w:p>
            <w:pPr>
              <w:pStyle w:val="TableContents"/>
              <w:bidi w:val="0"/>
              <w:spacing w:before="0" w:after="283"/>
              <w:jc w:val="center"/>
              <w:rPr>
                <w:rFonts w:ascii="Times New Roman;Times;Serif" w:hAnsi="Times New Roman;Times;Serif"/>
              </w:rPr>
            </w:pPr>
            <w:r>
              <w:rPr>
                <w:rFonts w:ascii="Times New Roman;Times;Serif" w:hAnsi="Times New Roman;Times;Serif"/>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Corporate</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spacing w:before="0" w:after="283"/>
              <w:jc w:val="center"/>
              <w:rPr>
                <w:rFonts w:ascii="Times New Roman;Times;Serif" w:hAnsi="Times New Roman;Times;Serif"/>
              </w:rPr>
            </w:pPr>
            <w:r>
              <w:rPr>
                <w:rFonts w:ascii="Times New Roman;Times;Serif" w:hAnsi="Times New Roman;Times;Serif"/>
              </w:rPr>
              <w:t>including public utilities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Mortgage-</w:t>
            </w:r>
          </w:p>
          <w:p>
            <w:pPr>
              <w:pStyle w:val="TableContents"/>
              <w:bidi w:val="0"/>
              <w:jc w:val="center"/>
              <w:rPr>
                <w:rFonts w:ascii="Times New Roman;Times;Serif" w:hAnsi="Times New Roman;Times;Serif"/>
              </w:rPr>
            </w:pPr>
            <w:r>
              <w:rPr>
                <w:rFonts w:ascii="Times New Roman;Times;Serif" w:hAnsi="Times New Roman;Times;Serif"/>
              </w:rPr>
              <w:t>backed</w:t>
            </w:r>
          </w:p>
          <w:p>
            <w:pPr>
              <w:pStyle w:val="TableContents"/>
              <w:bidi w:val="0"/>
              <w:spacing w:before="0" w:after="283"/>
              <w:jc w:val="center"/>
              <w:rPr>
                <w:rFonts w:ascii="Times New Roman;Times;Serif" w:hAnsi="Times New Roman;Times;Serif"/>
              </w:rPr>
            </w:pPr>
            <w:r>
              <w:rPr>
                <w:rFonts w:ascii="Times New Roman;Times;Serif" w:hAnsi="Times New Roman;Times;Serif"/>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4" w:type="dxa"/>
            <w:tcBorders/>
            <w:vAlign w:val="center"/>
          </w:tcPr>
          <w:p>
            <w:pPr>
              <w:pStyle w:val="TableContents"/>
              <w:bidi w:val="0"/>
              <w:spacing w:before="0" w:after="283"/>
              <w:jc w:val="left"/>
              <w:rPr/>
            </w:pPr>
            <w:r>
              <w:rPr/>
              <w:t> </w:t>
            </w:r>
          </w:p>
        </w:tc>
      </w:tr>
      <w:tr>
        <w:trPr/>
        <w:tc>
          <w:tcPr>
            <w:tcW w:w="3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632" w:name="xdx_431_c20250401__20250630_eus-gaap--De"/>
            <w:bookmarkEnd w:id="632"/>
          </w:p>
        </w:tc>
      </w:tr>
      <w:tr>
        <w:trPr/>
        <w:tc>
          <w:tcPr>
            <w:tcW w:w="34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March 31, 2025</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507,300</w:t>
            </w:r>
          </w:p>
        </w:tc>
        <w:tc>
          <w:tcPr>
            <w:tcW w:w="114" w:type="dxa"/>
            <w:tcBorders/>
            <w:shd w:fill="CCEEFF" w:val="clear"/>
            <w:vAlign w:val="center"/>
          </w:tcPr>
          <w:p>
            <w:pPr>
              <w:pStyle w:val="TableContents"/>
              <w:bidi w:val="0"/>
              <w:spacing w:before="0" w:after="283"/>
              <w:jc w:val="left"/>
              <w:rPr/>
            </w:pPr>
            <w:r>
              <w:rPr/>
              <w:t> </w:t>
            </w:r>
          </w:p>
        </w:tc>
      </w:tr>
      <w:tr>
        <w:trPr/>
        <w:tc>
          <w:tcPr>
            <w:tcW w:w="34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33" w:name="xdx_40E_eus-gaap--DebtSecuritiesAvailabl"/>
            <w:bookmarkEnd w:id="633"/>
          </w:p>
        </w:tc>
      </w:tr>
      <w:tr>
        <w:trPr/>
        <w:tc>
          <w:tcPr>
            <w:tcW w:w="34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for credit losses not previously recorded</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634" w:name="xdx_401_ecustom--DebtSecuritiesAvailable"/>
            <w:bookmarkEnd w:id="634"/>
          </w:p>
        </w:tc>
      </w:tr>
      <w:tr>
        <w:trPr/>
        <w:tc>
          <w:tcPr>
            <w:tcW w:w="34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on securities with previous allowance</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(20,444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35" w:name="xdx_40D_eus-gaap--DebtSecuritiesAvailabl"/>
            <w:bookmarkEnd w:id="635"/>
          </w:p>
        </w:tc>
      </w:tr>
      <w:tr>
        <w:trPr/>
        <w:tc>
          <w:tcPr>
            <w:tcW w:w="34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sold during the period</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636" w:name="xdx_40F_eus-gaap--DebtSecuritiesAvailabl"/>
            <w:bookmarkEnd w:id="636"/>
          </w:p>
        </w:tc>
      </w:tr>
      <w:tr>
        <w:trPr/>
        <w:tc>
          <w:tcPr>
            <w:tcW w:w="34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with credit losses due to intent to sell</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637" w:name="xdx_40D_eus-gaap--DebtSecuritiesAvailabl"/>
            <w:bookmarkEnd w:id="637"/>
          </w:p>
        </w:tc>
      </w:tr>
      <w:tr>
        <w:trPr/>
        <w:tc>
          <w:tcPr>
            <w:tcW w:w="34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638" w:name="xdx_40A_eus-gaap--DebtSecuritiesAvailabl"/>
            <w:bookmarkEnd w:id="638"/>
          </w:p>
        </w:tc>
      </w:tr>
      <w:tr>
        <w:trPr/>
        <w:tc>
          <w:tcPr>
            <w:tcW w:w="34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Recoveries of amounts previously written off</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14" w:type="dxa"/>
            <w:tcBorders/>
            <w:shd w:fill="FFFFFF" w:val="clear"/>
            <w:vAlign w:val="center"/>
          </w:tcPr>
          <w:p>
            <w:pPr>
              <w:pStyle w:val="TableContents"/>
              <w:bidi w:val="0"/>
              <w:spacing w:before="0" w:after="283"/>
              <w:jc w:val="left"/>
              <w:rPr/>
            </w:pPr>
            <w:r>
              <w:rPr/>
              <w:t> </w:t>
            </w:r>
          </w:p>
        </w:tc>
      </w:tr>
      <w:tr>
        <w:trPr/>
        <w:tc>
          <w:tcPr>
            <w:tcW w:w="34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39" w:name="xdx_43B_c20250401__20250630_eus-gaap--De"/>
            <w:bookmarkEnd w:id="639"/>
          </w:p>
        </w:tc>
      </w:tr>
      <w:tr>
        <w:trPr/>
        <w:tc>
          <w:tcPr>
            <w:tcW w:w="34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2025</w:t>
            </w:r>
          </w:p>
        </w:tc>
        <w:tc>
          <w:tcPr>
            <w:tcW w:w="60" w:type="dxa"/>
            <w:tcBorders/>
            <w:shd w:fill="FFFFFF" w:val="cle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486,986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roll forward of the Company’s allowance for credit losses on fixed maturity securities available for sale for the six-month periods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1"/>
        <w:gridCol w:w="60"/>
        <w:gridCol w:w="768"/>
        <w:gridCol w:w="522"/>
        <w:gridCol w:w="60"/>
        <w:gridCol w:w="60"/>
        <w:gridCol w:w="770"/>
        <w:gridCol w:w="523"/>
        <w:gridCol w:w="60"/>
        <w:gridCol w:w="60"/>
        <w:gridCol w:w="184"/>
        <w:gridCol w:w="998"/>
        <w:gridCol w:w="60"/>
        <w:gridCol w:w="60"/>
        <w:gridCol w:w="145"/>
        <w:gridCol w:w="834"/>
        <w:gridCol w:w="60"/>
        <w:gridCol w:w="60"/>
        <w:gridCol w:w="140"/>
        <w:gridCol w:w="800"/>
        <w:gridCol w:w="80"/>
      </w:tblGrid>
      <w:tr>
        <w:trPr/>
        <w:tc>
          <w:tcPr>
            <w:tcW w:w="39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0" w:name="xdx_4B6_us-gaap--FairValueByAssetClassAx"/>
            <w:bookmarkEnd w:id="640"/>
          </w:p>
        </w:tc>
        <w:tc>
          <w:tcPr>
            <w:tcW w:w="12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U.S. Treasury</w:t>
            </w:r>
          </w:p>
          <w:p>
            <w:pPr>
              <w:pStyle w:val="TableContents"/>
              <w:bidi w:val="0"/>
              <w:jc w:val="center"/>
              <w:rPr>
                <w:rFonts w:ascii="Times New Roman;Times;Serif" w:hAnsi="Times New Roman;Times;Serif"/>
                <w:sz w:val="20"/>
              </w:rPr>
            </w:pPr>
            <w:r>
              <w:rPr>
                <w:rFonts w:ascii="Times New Roman;Times;Serif" w:hAnsi="Times New Roman;Times;Serif"/>
                <w:sz w:val="20"/>
              </w:rPr>
              <w:t>securities and</w:t>
            </w:r>
          </w:p>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U.S.</w:t>
            </w:r>
          </w:p>
          <w:p>
            <w:pPr>
              <w:pStyle w:val="TableContents"/>
              <w:bidi w:val="0"/>
              <w:jc w:val="center"/>
              <w:rPr>
                <w:rFonts w:ascii="Times New Roman;Times;Serif" w:hAnsi="Times New Roman;Times;Serif"/>
                <w:sz w:val="20"/>
              </w:rPr>
            </w:pPr>
            <w:r>
              <w:rPr>
                <w:rFonts w:ascii="Times New Roman;Times;Serif" w:hAnsi="Times New Roman;Times;Serif"/>
                <w:sz w:val="20"/>
              </w:rPr>
              <w:t>Government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1" w:name="xdx_4BE_us-gaap--FairValueByAssetClassAx"/>
            <w:bookmarkEnd w:id="641"/>
          </w:p>
        </w:tc>
        <w:tc>
          <w:tcPr>
            <w:tcW w:w="129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states and</w:t>
            </w:r>
          </w:p>
          <w:p>
            <w:pPr>
              <w:pStyle w:val="TableContents"/>
              <w:bidi w:val="0"/>
              <w:jc w:val="center"/>
              <w:rPr>
                <w:rFonts w:ascii="Times New Roman;Times;Serif" w:hAnsi="Times New Roman;Times;Serif"/>
                <w:sz w:val="20"/>
              </w:rPr>
            </w:pPr>
            <w:r>
              <w:rPr>
                <w:rFonts w:ascii="Times New Roman;Times;Serif" w:hAnsi="Times New Roman;Times;Serif"/>
                <w:sz w:val="20"/>
              </w:rPr>
              <w:t>political</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2" w:name="xdx_4B6_us-gaap--FairValueByAssetClassAx"/>
            <w:bookmarkEnd w:id="642"/>
          </w:p>
        </w:tc>
        <w:tc>
          <w:tcPr>
            <w:tcW w:w="118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Corporate</w:t>
            </w:r>
          </w:p>
          <w:p>
            <w:pPr>
              <w:pStyle w:val="TableContents"/>
              <w:bidi w:val="0"/>
              <w:jc w:val="center"/>
              <w:rPr>
                <w:rFonts w:ascii="Times New Roman;Times;Serif" w:hAnsi="Times New Roman;Times;Serif"/>
                <w:sz w:val="20"/>
              </w:rPr>
            </w:pPr>
            <w:r>
              <w:rPr>
                <w:rFonts w:ascii="Times New Roman;Times;Serif" w:hAnsi="Times New Roman;Times;Serif"/>
                <w:sz w:val="20"/>
              </w:rPr>
              <w:t>securities</w:t>
            </w:r>
          </w:p>
          <w:p>
            <w:pPr>
              <w:pStyle w:val="TableContents"/>
              <w:bidi w:val="0"/>
              <w:jc w:val="center"/>
              <w:rPr>
                <w:rFonts w:ascii="Times New Roman;Times;Serif" w:hAnsi="Times New Roman;Times;Serif"/>
                <w:sz w:val="20"/>
              </w:rPr>
            </w:pPr>
            <w:r>
              <w:rPr>
                <w:rFonts w:ascii="Times New Roman;Times;Serif" w:hAnsi="Times New Roman;Times;Serif"/>
                <w:sz w:val="20"/>
              </w:rPr>
              <w:t>including</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public utilities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3" w:name="xdx_4BB_us-gaap--FairValueByAssetClassAx"/>
            <w:bookmarkEnd w:id="643"/>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Mortgage-</w:t>
            </w:r>
          </w:p>
          <w:p>
            <w:pPr>
              <w:pStyle w:val="TableContents"/>
              <w:bidi w:val="0"/>
              <w:jc w:val="center"/>
              <w:rPr>
                <w:rFonts w:ascii="Times New Roman;Times;Serif" w:hAnsi="Times New Roman;Times;Serif"/>
                <w:sz w:val="20"/>
              </w:rPr>
            </w:pPr>
            <w:r>
              <w:rPr>
                <w:rFonts w:ascii="Times New Roman;Times;Serif" w:hAnsi="Times New Roman;Times;Serif"/>
                <w:sz w:val="20"/>
              </w:rPr>
              <w:t>backed</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4" w:name="xdx_4BA_zWtjUaIuCmuh"/>
            <w:bookmarkEnd w:id="644"/>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80"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2026</w:t>
            </w:r>
          </w:p>
        </w:tc>
        <w:tc>
          <w:tcPr>
            <w:tcW w:w="80"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U.S. Treasury</w:t>
            </w:r>
          </w:p>
          <w:p>
            <w:pPr>
              <w:pStyle w:val="TableContents"/>
              <w:bidi w:val="0"/>
              <w:jc w:val="center"/>
              <w:rPr>
                <w:rFonts w:ascii="Times New Roman;Times;Serif" w:hAnsi="Times New Roman;Times;Serif"/>
              </w:rPr>
            </w:pPr>
            <w:r>
              <w:rPr>
                <w:rFonts w:ascii="Times New Roman;Times;Serif" w:hAnsi="Times New Roman;Times;Serif"/>
              </w:rPr>
              <w:t>securities and</w:t>
            </w:r>
          </w:p>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U.S.</w:t>
            </w:r>
          </w:p>
          <w:p>
            <w:pPr>
              <w:pStyle w:val="TableContents"/>
              <w:bidi w:val="0"/>
              <w:jc w:val="center"/>
              <w:rPr/>
            </w:pPr>
            <w:r>
              <w:rPr/>
              <w:t>Government</w:t>
            </w:r>
          </w:p>
          <w:p>
            <w:pPr>
              <w:pStyle w:val="TableContents"/>
              <w:bidi w:val="0"/>
              <w:spacing w:before="0" w:after="283"/>
              <w:jc w:val="center"/>
              <w:rPr/>
            </w:pPr>
            <w:r>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states and</w:t>
            </w:r>
          </w:p>
          <w:p>
            <w:pPr>
              <w:pStyle w:val="TableContents"/>
              <w:bidi w:val="0"/>
              <w:jc w:val="center"/>
              <w:rPr>
                <w:rFonts w:ascii="Times New Roman;Times;Serif" w:hAnsi="Times New Roman;Times;Serif"/>
              </w:rPr>
            </w:pPr>
            <w:r>
              <w:rPr>
                <w:rFonts w:ascii="Times New Roman;Times;Serif" w:hAnsi="Times New Roman;Times;Serif"/>
              </w:rPr>
              <w:t>political</w:t>
            </w:r>
          </w:p>
          <w:p>
            <w:pPr>
              <w:pStyle w:val="TableContents"/>
              <w:bidi w:val="0"/>
              <w:spacing w:before="0" w:after="283"/>
              <w:jc w:val="center"/>
              <w:rPr>
                <w:rFonts w:ascii="Times New Roman;Times;Serif" w:hAnsi="Times New Roman;Times;Serif"/>
              </w:rPr>
            </w:pPr>
            <w:r>
              <w:rPr>
                <w:rFonts w:ascii="Times New Roman;Times;Serif" w:hAnsi="Times New Roman;Times;Serif"/>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Corporate</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including</w:t>
            </w:r>
          </w:p>
          <w:p>
            <w:pPr>
              <w:pStyle w:val="TableContents"/>
              <w:bidi w:val="0"/>
              <w:spacing w:before="0" w:after="283"/>
              <w:jc w:val="center"/>
              <w:rPr>
                <w:rFonts w:ascii="Times New Roman;Times;Serif" w:hAnsi="Times New Roman;Times;Serif"/>
              </w:rPr>
            </w:pPr>
            <w:r>
              <w:rPr>
                <w:rFonts w:ascii="Times New Roman;Times;Serif" w:hAnsi="Times New Roman;Times;Serif"/>
              </w:rPr>
              <w:t>public utilities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Mortgage-</w:t>
            </w:r>
          </w:p>
          <w:p>
            <w:pPr>
              <w:pStyle w:val="TableContents"/>
              <w:bidi w:val="0"/>
              <w:jc w:val="center"/>
              <w:rPr>
                <w:rFonts w:ascii="Times New Roman;Times;Serif" w:hAnsi="Times New Roman;Times;Serif"/>
              </w:rPr>
            </w:pPr>
            <w:r>
              <w:rPr>
                <w:rFonts w:ascii="Times New Roman;Times;Serif" w:hAnsi="Times New Roman;Times;Serif"/>
              </w:rPr>
              <w:t>backed</w:t>
            </w:r>
          </w:p>
          <w:p>
            <w:pPr>
              <w:pStyle w:val="TableContents"/>
              <w:bidi w:val="0"/>
              <w:spacing w:before="0" w:after="283"/>
              <w:jc w:val="center"/>
              <w:rPr>
                <w:rFonts w:ascii="Times New Roman;Times;Serif" w:hAnsi="Times New Roman;Times;Serif"/>
              </w:rPr>
            </w:pPr>
            <w:r>
              <w:rPr>
                <w:rFonts w:ascii="Times New Roman;Times;Serif" w:hAnsi="Times New Roman;Times;Serif"/>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80"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645" w:name="xdx_439_c20260101__20260630_eus-gaap--De"/>
            <w:bookmarkEnd w:id="645"/>
          </w:p>
        </w:tc>
      </w:tr>
      <w:tr>
        <w:trPr/>
        <w:tc>
          <w:tcPr>
            <w:tcW w:w="39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2025</w:t>
            </w:r>
          </w:p>
        </w:tc>
        <w:tc>
          <w:tcPr>
            <w:tcW w:w="6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579,450</w:t>
            </w:r>
          </w:p>
        </w:tc>
        <w:tc>
          <w:tcPr>
            <w:tcW w:w="80"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646" w:name="xdx_40E_eus-gaap--DebtSecuritiesAvailabl"/>
            <w:bookmarkEnd w:id="646"/>
          </w:p>
        </w:tc>
      </w:tr>
      <w:tr>
        <w:trPr/>
        <w:tc>
          <w:tcPr>
            <w:tcW w:w="39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for credit losses not previously recorded</w:t>
            </w:r>
          </w:p>
        </w:tc>
        <w:tc>
          <w:tcPr>
            <w:tcW w:w="6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67,498</w:t>
            </w:r>
          </w:p>
        </w:tc>
        <w:tc>
          <w:tcPr>
            <w:tcW w:w="80" w:type="dxa"/>
            <w:tcBorders/>
            <w:shd w:fill="CCEEFF" w:val="clear"/>
            <w:vAlign w:val="center"/>
          </w:tcPr>
          <w:p>
            <w:pPr>
              <w:pStyle w:val="TableContents"/>
              <w:bidi w:val="0"/>
              <w:spacing w:before="0" w:after="283"/>
              <w:jc w:val="left"/>
              <w:rPr/>
            </w:pPr>
            <w:r>
              <w:rPr/>
              <w:t> </w:t>
            </w:r>
            <w:bookmarkStart w:id="647" w:name="xdx_401_ecustom--DebtSecuritiesAvailable"/>
            <w:bookmarkEnd w:id="647"/>
          </w:p>
        </w:tc>
      </w:tr>
      <w:tr>
        <w:trPr/>
        <w:tc>
          <w:tcPr>
            <w:tcW w:w="39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on securities with previous allowance</w:t>
            </w:r>
          </w:p>
        </w:tc>
        <w:tc>
          <w:tcPr>
            <w:tcW w:w="6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193,712</w:t>
            </w:r>
          </w:p>
        </w:tc>
        <w:tc>
          <w:tcPr>
            <w:tcW w:w="80" w:type="dxa"/>
            <w:tcBorders/>
            <w:shd w:fill="FFFFFF" w:val="clear"/>
            <w:vAlign w:val="center"/>
          </w:tcPr>
          <w:p>
            <w:pPr>
              <w:pStyle w:val="TableContents"/>
              <w:bidi w:val="0"/>
              <w:spacing w:before="0" w:after="283"/>
              <w:jc w:val="left"/>
              <w:rPr/>
            </w:pPr>
            <w:r>
              <w:rPr/>
              <w:t> </w:t>
            </w:r>
            <w:bookmarkStart w:id="648" w:name="xdx_40D_eus-gaap--DebtSecuritiesAvailabl"/>
            <w:bookmarkEnd w:id="648"/>
          </w:p>
        </w:tc>
      </w:tr>
      <w:tr>
        <w:trPr/>
        <w:tc>
          <w:tcPr>
            <w:tcW w:w="39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sold during the period</w:t>
            </w:r>
          </w:p>
        </w:tc>
        <w:tc>
          <w:tcPr>
            <w:tcW w:w="6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CCEEFF" w:val="clear"/>
            <w:vAlign w:val="center"/>
          </w:tcPr>
          <w:p>
            <w:pPr>
              <w:pStyle w:val="TableContents"/>
              <w:bidi w:val="0"/>
              <w:spacing w:before="0" w:after="283"/>
              <w:jc w:val="left"/>
              <w:rPr/>
            </w:pPr>
            <w:r>
              <w:rPr/>
              <w:t> </w:t>
            </w:r>
            <w:bookmarkStart w:id="649" w:name="xdx_40F_eus-gaap--DebtSecuritiesAvailabl"/>
            <w:bookmarkEnd w:id="649"/>
          </w:p>
        </w:tc>
      </w:tr>
      <w:tr>
        <w:trPr/>
        <w:tc>
          <w:tcPr>
            <w:tcW w:w="39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with credit losses due to intent to sell</w:t>
            </w:r>
          </w:p>
        </w:tc>
        <w:tc>
          <w:tcPr>
            <w:tcW w:w="6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bookmarkStart w:id="650" w:name="xdx_40D_eus-gaap--DebtSecuritiesAvailabl"/>
            <w:bookmarkEnd w:id="650"/>
          </w:p>
        </w:tc>
      </w:tr>
      <w:tr>
        <w:trPr/>
        <w:tc>
          <w:tcPr>
            <w:tcW w:w="39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CCEEFF" w:val="clear"/>
            <w:vAlign w:val="center"/>
          </w:tcPr>
          <w:p>
            <w:pPr>
              <w:pStyle w:val="TableContents"/>
              <w:bidi w:val="0"/>
              <w:spacing w:before="0" w:after="283"/>
              <w:jc w:val="left"/>
              <w:rPr/>
            </w:pPr>
            <w:r>
              <w:rPr/>
              <w:t> </w:t>
            </w:r>
            <w:bookmarkStart w:id="651" w:name="xdx_40A_eus-gaap--DebtSecuritiesAvailabl"/>
            <w:bookmarkEnd w:id="651"/>
          </w:p>
        </w:tc>
      </w:tr>
      <w:tr>
        <w:trPr/>
        <w:tc>
          <w:tcPr>
            <w:tcW w:w="39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Recoveries of amounts previously written off</w:t>
            </w:r>
          </w:p>
        </w:tc>
        <w:tc>
          <w:tcPr>
            <w:tcW w:w="60" w:type="dxa"/>
            <w:tcBorders/>
            <w:shd w:fill="FFFFFF" w:val="clear"/>
            <w:vAlign w:val="center"/>
          </w:tcPr>
          <w:p>
            <w:pPr>
              <w:pStyle w:val="TableContents"/>
              <w:bidi w:val="0"/>
              <w:spacing w:before="0" w:after="283"/>
              <w:jc w:val="left"/>
              <w:rPr/>
            </w:pPr>
            <w:r>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bookmarkStart w:id="652" w:name="xdx_437_c20260101__20260630_eus-gaap--De"/>
            <w:bookmarkEnd w:id="652"/>
          </w:p>
        </w:tc>
      </w:tr>
      <w:tr>
        <w:trPr/>
        <w:tc>
          <w:tcPr>
            <w:tcW w:w="39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2026</w:t>
            </w:r>
          </w:p>
        </w:tc>
        <w:tc>
          <w:tcPr>
            <w:tcW w:w="60" w:type="dxa"/>
            <w:tcBorders/>
            <w:shd w:fill="FFFFFF" w:val="clear"/>
            <w:vAlign w:val="center"/>
          </w:tcPr>
          <w:p>
            <w:pPr>
              <w:pStyle w:val="TableContents"/>
              <w:bidi w:val="0"/>
              <w:spacing w:before="0" w:after="283"/>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840,660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39"/>
        <w:gridCol w:w="60"/>
        <w:gridCol w:w="771"/>
        <w:gridCol w:w="524"/>
        <w:gridCol w:w="60"/>
        <w:gridCol w:w="60"/>
        <w:gridCol w:w="773"/>
        <w:gridCol w:w="525"/>
        <w:gridCol w:w="60"/>
        <w:gridCol w:w="60"/>
        <w:gridCol w:w="143"/>
        <w:gridCol w:w="822"/>
        <w:gridCol w:w="95"/>
        <w:gridCol w:w="60"/>
        <w:gridCol w:w="166"/>
        <w:gridCol w:w="813"/>
        <w:gridCol w:w="60"/>
        <w:gridCol w:w="60"/>
        <w:gridCol w:w="140"/>
        <w:gridCol w:w="800"/>
        <w:gridCol w:w="114"/>
      </w:tblGrid>
      <w:tr>
        <w:trPr/>
        <w:tc>
          <w:tcPr>
            <w:tcW w:w="4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3" w:name="xdx_4B6_us-gaap--FairValueByAssetClassAx"/>
            <w:bookmarkEnd w:id="653"/>
          </w:p>
        </w:tc>
        <w:tc>
          <w:tcPr>
            <w:tcW w:w="12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U.S. Treasury</w:t>
              <w:br/>
              <w:t>securities and</w:t>
            </w:r>
          </w:p>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U.S.</w:t>
            </w:r>
          </w:p>
          <w:p>
            <w:pPr>
              <w:pStyle w:val="TableContents"/>
              <w:bidi w:val="0"/>
              <w:jc w:val="center"/>
              <w:rPr>
                <w:rFonts w:ascii="Times New Roman;Times;Serif" w:hAnsi="Times New Roman;Times;Serif"/>
                <w:sz w:val="20"/>
              </w:rPr>
            </w:pPr>
            <w:r>
              <w:rPr>
                <w:rFonts w:ascii="Times New Roman;Times;Serif" w:hAnsi="Times New Roman;Times;Serif"/>
                <w:sz w:val="20"/>
              </w:rPr>
              <w:t>Government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4" w:name="xdx_4BE_us-gaap--FairValueByAssetClassAx"/>
            <w:bookmarkEnd w:id="654"/>
          </w:p>
        </w:tc>
        <w:tc>
          <w:tcPr>
            <w:tcW w:w="12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Obligations of</w:t>
            </w:r>
          </w:p>
          <w:p>
            <w:pPr>
              <w:pStyle w:val="TableContents"/>
              <w:bidi w:val="0"/>
              <w:jc w:val="center"/>
              <w:rPr>
                <w:rFonts w:ascii="Times New Roman;Times;Serif" w:hAnsi="Times New Roman;Times;Serif"/>
                <w:sz w:val="20"/>
              </w:rPr>
            </w:pPr>
            <w:r>
              <w:rPr>
                <w:rFonts w:ascii="Times New Roman;Times;Serif" w:hAnsi="Times New Roman;Times;Serif"/>
                <w:sz w:val="20"/>
              </w:rPr>
              <w:t>states and</w:t>
            </w:r>
          </w:p>
          <w:p>
            <w:pPr>
              <w:pStyle w:val="TableContents"/>
              <w:bidi w:val="0"/>
              <w:jc w:val="center"/>
              <w:rPr>
                <w:rFonts w:ascii="Times New Roman;Times;Serif" w:hAnsi="Times New Roman;Times;Serif"/>
                <w:sz w:val="20"/>
              </w:rPr>
            </w:pPr>
            <w:r>
              <w:rPr>
                <w:rFonts w:ascii="Times New Roman;Times;Serif" w:hAnsi="Times New Roman;Times;Serif"/>
                <w:sz w:val="20"/>
              </w:rPr>
              <w:t>political</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5" w:name="xdx_4B6_us-gaap--FairValueByAssetClassAx"/>
            <w:bookmarkEnd w:id="655"/>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Corporate</w:t>
            </w:r>
          </w:p>
          <w:p>
            <w:pPr>
              <w:pStyle w:val="TableContents"/>
              <w:bidi w:val="0"/>
              <w:jc w:val="center"/>
              <w:rPr>
                <w:rFonts w:ascii="Times New Roman;Times;Serif" w:hAnsi="Times New Roman;Times;Serif"/>
                <w:sz w:val="20"/>
              </w:rPr>
            </w:pPr>
            <w:r>
              <w:rPr>
                <w:rFonts w:ascii="Times New Roman;Times;Serif" w:hAnsi="Times New Roman;Times;Serif"/>
                <w:sz w:val="20"/>
              </w:rPr>
              <w:t>securities</w:t>
            </w:r>
          </w:p>
          <w:p>
            <w:pPr>
              <w:pStyle w:val="TableContents"/>
              <w:bidi w:val="0"/>
              <w:jc w:val="center"/>
              <w:rPr>
                <w:rFonts w:ascii="Times New Roman;Times;Serif" w:hAnsi="Times New Roman;Times;Serif"/>
                <w:sz w:val="20"/>
              </w:rPr>
            </w:pPr>
            <w:r>
              <w:rPr>
                <w:rFonts w:ascii="Times New Roman;Times;Serif" w:hAnsi="Times New Roman;Times;Serif"/>
                <w:sz w:val="20"/>
              </w:rPr>
              <w:t>including</w:t>
            </w:r>
          </w:p>
          <w:p>
            <w:pPr>
              <w:pStyle w:val="TableContents"/>
              <w:bidi w:val="0"/>
              <w:jc w:val="center"/>
              <w:rPr>
                <w:rFonts w:ascii="Times New Roman;Times;Serif" w:hAnsi="Times New Roman;Times;Serif"/>
                <w:sz w:val="20"/>
              </w:rPr>
            </w:pPr>
            <w:r>
              <w:rPr>
                <w:rFonts w:ascii="Times New Roman;Times;Serif" w:hAnsi="Times New Roman;Times;Serif"/>
                <w:sz w:val="20"/>
              </w:rPr>
              <w:t>public</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6" w:name="xdx_4BB_us-gaap--FairValueByAssetClassAx"/>
            <w:bookmarkEnd w:id="656"/>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Mortgage-</w:t>
            </w:r>
          </w:p>
          <w:p>
            <w:pPr>
              <w:pStyle w:val="TableContents"/>
              <w:bidi w:val="0"/>
              <w:jc w:val="center"/>
              <w:rPr>
                <w:rFonts w:ascii="Times New Roman;Times;Serif" w:hAnsi="Times New Roman;Times;Serif"/>
                <w:sz w:val="20"/>
              </w:rPr>
            </w:pPr>
            <w:r>
              <w:rPr>
                <w:rFonts w:ascii="Times New Roman;Times;Serif" w:hAnsi="Times New Roman;Times;Serif"/>
                <w:sz w:val="20"/>
              </w:rPr>
              <w:t>backed</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7" w:name="xdx_4BA_z3CJ5OaUp3vj"/>
            <w:bookmarkEnd w:id="65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114" w:type="dxa"/>
            <w:tcBorders/>
            <w:vAlign w:val="center"/>
          </w:tcPr>
          <w:p>
            <w:pPr>
              <w:pStyle w:val="TableContents"/>
              <w:bidi w:val="0"/>
              <w:spacing w:before="0" w:after="283"/>
              <w:jc w:val="left"/>
              <w:rPr/>
            </w:pPr>
            <w:r>
              <w:rPr/>
              <w:t> </w:t>
            </w:r>
          </w:p>
        </w:tc>
      </w:tr>
      <w:tr>
        <w:trPr/>
        <w:tc>
          <w:tcPr>
            <w:tcW w:w="4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2"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 2025</w:t>
            </w:r>
          </w:p>
        </w:tc>
        <w:tc>
          <w:tcPr>
            <w:tcW w:w="114" w:type="dxa"/>
            <w:tcBorders/>
            <w:vAlign w:val="center"/>
          </w:tcPr>
          <w:p>
            <w:pPr>
              <w:pStyle w:val="TableContents"/>
              <w:bidi w:val="0"/>
              <w:spacing w:before="0" w:after="283"/>
              <w:jc w:val="left"/>
              <w:rPr/>
            </w:pPr>
            <w:r>
              <w:rPr/>
              <w:t> </w:t>
            </w:r>
          </w:p>
        </w:tc>
      </w:tr>
      <w:tr>
        <w:trPr/>
        <w:tc>
          <w:tcPr>
            <w:tcW w:w="4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U.S. Treasury</w:t>
              <w:br/>
              <w:t>securities and</w:t>
            </w:r>
          </w:p>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pPr>
            <w:r>
              <w:rPr/>
              <w:t>U.S.</w:t>
            </w:r>
          </w:p>
          <w:p>
            <w:pPr>
              <w:pStyle w:val="TableContents"/>
              <w:bidi w:val="0"/>
              <w:jc w:val="center"/>
              <w:rPr/>
            </w:pPr>
            <w:r>
              <w:rPr/>
              <w:t>Government</w:t>
            </w:r>
          </w:p>
          <w:p>
            <w:pPr>
              <w:pStyle w:val="TableContents"/>
              <w:bidi w:val="0"/>
              <w:spacing w:before="0" w:after="283"/>
              <w:jc w:val="center"/>
              <w:rPr/>
            </w:pPr>
            <w:r>
              <w:rPr/>
              <w:t>agencies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Obligations of</w:t>
            </w:r>
          </w:p>
          <w:p>
            <w:pPr>
              <w:pStyle w:val="TableContents"/>
              <w:bidi w:val="0"/>
              <w:jc w:val="center"/>
              <w:rPr>
                <w:rFonts w:ascii="Times New Roman;Times;Serif" w:hAnsi="Times New Roman;Times;Serif"/>
              </w:rPr>
            </w:pPr>
            <w:r>
              <w:rPr>
                <w:rFonts w:ascii="Times New Roman;Times;Serif" w:hAnsi="Times New Roman;Times;Serif"/>
              </w:rPr>
              <w:t>states and</w:t>
            </w:r>
          </w:p>
          <w:p>
            <w:pPr>
              <w:pStyle w:val="TableContents"/>
              <w:bidi w:val="0"/>
              <w:jc w:val="center"/>
              <w:rPr>
                <w:rFonts w:ascii="Times New Roman;Times;Serif" w:hAnsi="Times New Roman;Times;Serif"/>
              </w:rPr>
            </w:pPr>
            <w:r>
              <w:rPr>
                <w:rFonts w:ascii="Times New Roman;Times;Serif" w:hAnsi="Times New Roman;Times;Serif"/>
              </w:rPr>
              <w:t>political</w:t>
            </w:r>
          </w:p>
          <w:p>
            <w:pPr>
              <w:pStyle w:val="TableContents"/>
              <w:bidi w:val="0"/>
              <w:spacing w:before="0" w:after="283"/>
              <w:jc w:val="center"/>
              <w:rPr>
                <w:rFonts w:ascii="Times New Roman;Times;Serif" w:hAnsi="Times New Roman;Times;Serif"/>
              </w:rPr>
            </w:pPr>
            <w:r>
              <w:rPr>
                <w:rFonts w:ascii="Times New Roman;Times;Serif" w:hAnsi="Times New Roman;Times;Serif"/>
              </w:rPr>
              <w:t>subdivisions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Corporate</w:t>
            </w:r>
          </w:p>
          <w:p>
            <w:pPr>
              <w:pStyle w:val="TableContents"/>
              <w:bidi w:val="0"/>
              <w:jc w:val="center"/>
              <w:rPr>
                <w:rFonts w:ascii="Times New Roman;Times;Serif" w:hAnsi="Times New Roman;Times;Serif"/>
              </w:rPr>
            </w:pPr>
            <w:r>
              <w:rPr>
                <w:rFonts w:ascii="Times New Roman;Times;Serif" w:hAnsi="Times New Roman;Times;Serif"/>
              </w:rPr>
              <w:t>securities</w:t>
            </w:r>
          </w:p>
          <w:p>
            <w:pPr>
              <w:pStyle w:val="TableContents"/>
              <w:bidi w:val="0"/>
              <w:jc w:val="center"/>
              <w:rPr>
                <w:rFonts w:ascii="Times New Roman;Times;Serif" w:hAnsi="Times New Roman;Times;Serif"/>
              </w:rPr>
            </w:pPr>
            <w:r>
              <w:rPr>
                <w:rFonts w:ascii="Times New Roman;Times;Serif" w:hAnsi="Times New Roman;Times;Serif"/>
              </w:rPr>
              <w:t>including</w:t>
            </w:r>
          </w:p>
          <w:p>
            <w:pPr>
              <w:pStyle w:val="TableContents"/>
              <w:bidi w:val="0"/>
              <w:jc w:val="center"/>
              <w:rPr>
                <w:rFonts w:ascii="Times New Roman;Times;Serif" w:hAnsi="Times New Roman;Times;Serif"/>
              </w:rPr>
            </w:pPr>
            <w:r>
              <w:rPr>
                <w:rFonts w:ascii="Times New Roman;Times;Serif" w:hAnsi="Times New Roman;Times;Serif"/>
              </w:rPr>
              <w:t>public</w:t>
            </w:r>
          </w:p>
          <w:p>
            <w:pPr>
              <w:pStyle w:val="TableContents"/>
              <w:bidi w:val="0"/>
              <w:spacing w:before="0" w:after="283"/>
              <w:jc w:val="center"/>
              <w:rPr>
                <w:rFonts w:ascii="Times New Roman;Times;Serif" w:hAnsi="Times New Roman;Times;Serif"/>
              </w:rPr>
            </w:pPr>
            <w:r>
              <w:rPr>
                <w:rFonts w:ascii="Times New Roman;Times;Serif" w:hAnsi="Times New Roman;Times;Serif"/>
              </w:rPr>
              <w:t>utilities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Mortgage-</w:t>
            </w:r>
          </w:p>
          <w:p>
            <w:pPr>
              <w:pStyle w:val="TableContents"/>
              <w:bidi w:val="0"/>
              <w:jc w:val="center"/>
              <w:rPr>
                <w:rFonts w:ascii="Times New Roman;Times;Serif" w:hAnsi="Times New Roman;Times;Serif"/>
              </w:rPr>
            </w:pPr>
            <w:r>
              <w:rPr>
                <w:rFonts w:ascii="Times New Roman;Times;Serif" w:hAnsi="Times New Roman;Times;Serif"/>
              </w:rPr>
              <w:t>backed</w:t>
            </w:r>
          </w:p>
          <w:p>
            <w:pPr>
              <w:pStyle w:val="TableContents"/>
              <w:bidi w:val="0"/>
              <w:spacing w:before="0" w:after="283"/>
              <w:jc w:val="center"/>
              <w:rPr>
                <w:rFonts w:ascii="Times New Roman;Times;Serif" w:hAnsi="Times New Roman;Times;Serif"/>
              </w:rPr>
            </w:pPr>
            <w:r>
              <w:rPr>
                <w:rFonts w:ascii="Times New Roman;Times;Serif" w:hAnsi="Times New Roman;Times;Serif"/>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4" w:type="dxa"/>
            <w:tcBorders/>
            <w:vAlign w:val="center"/>
          </w:tcPr>
          <w:p>
            <w:pPr>
              <w:pStyle w:val="TableContents"/>
              <w:bidi w:val="0"/>
              <w:spacing w:before="0" w:after="283"/>
              <w:jc w:val="left"/>
              <w:rPr/>
            </w:pPr>
            <w:r>
              <w:rPr/>
              <w:t> </w:t>
            </w:r>
          </w:p>
        </w:tc>
      </w:tr>
      <w:tr>
        <w:trPr/>
        <w:tc>
          <w:tcPr>
            <w:tcW w:w="4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658" w:name="xdx_43E_c20250101__20250630_eus-gaap--De"/>
            <w:bookmarkEnd w:id="658"/>
          </w:p>
        </w:tc>
      </w:tr>
      <w:tr>
        <w:trPr/>
        <w:tc>
          <w:tcPr>
            <w:tcW w:w="40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2024</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420,993</w:t>
            </w:r>
          </w:p>
        </w:tc>
        <w:tc>
          <w:tcPr>
            <w:tcW w:w="114" w:type="dxa"/>
            <w:tcBorders/>
            <w:shd w:fill="CCEEFF" w:val="clear"/>
            <w:vAlign w:val="center"/>
          </w:tcPr>
          <w:p>
            <w:pPr>
              <w:pStyle w:val="TableContents"/>
              <w:bidi w:val="0"/>
              <w:spacing w:before="0" w:after="283"/>
              <w:jc w:val="left"/>
              <w:rPr/>
            </w:pPr>
            <w:r>
              <w:rPr/>
              <w:t> </w:t>
            </w:r>
            <w:bookmarkStart w:id="659" w:name="xdx_43A_c20250101__20250630_eus-gaap--De"/>
            <w:bookmarkEnd w:id="659"/>
          </w:p>
        </w:tc>
      </w:tr>
      <w:tr>
        <w:trPr/>
        <w:tc>
          <w:tcPr>
            <w:tcW w:w="40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420,993</w:t>
            </w:r>
          </w:p>
        </w:tc>
        <w:tc>
          <w:tcPr>
            <w:tcW w:w="114" w:type="dxa"/>
            <w:tcBorders/>
            <w:shd w:fill="CCEEFF" w:val="clear"/>
            <w:vAlign w:val="center"/>
          </w:tcPr>
          <w:p>
            <w:pPr>
              <w:pStyle w:val="TableContents"/>
              <w:bidi w:val="0"/>
              <w:spacing w:before="0" w:after="283"/>
              <w:jc w:val="left"/>
              <w:rPr/>
            </w:pPr>
            <w:r>
              <w:rPr/>
              <w:t> </w:t>
            </w:r>
          </w:p>
        </w:tc>
      </w:tr>
      <w:tr>
        <w:trPr/>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60" w:name="xdx_40E_eus-gaap--DebtSecuritiesAvailabl"/>
            <w:bookmarkEnd w:id="660"/>
          </w:p>
        </w:tc>
      </w:tr>
      <w:tr>
        <w:trPr/>
        <w:tc>
          <w:tcPr>
            <w:tcW w:w="40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for credit losses not previously recorded</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114" w:type="dxa"/>
            <w:tcBorders/>
            <w:shd w:fill="CCEEFF" w:val="clear"/>
            <w:vAlign w:val="center"/>
          </w:tcPr>
          <w:p>
            <w:pPr>
              <w:pStyle w:val="TableContents"/>
              <w:bidi w:val="0"/>
              <w:spacing w:before="0" w:after="283"/>
              <w:jc w:val="left"/>
              <w:rPr/>
            </w:pPr>
            <w:r>
              <w:rPr/>
              <w:t> </w:t>
            </w:r>
            <w:bookmarkStart w:id="661" w:name="xdx_401_ecustom--DebtSecuritiesAvailable"/>
            <w:bookmarkEnd w:id="661"/>
          </w:p>
        </w:tc>
      </w:tr>
      <w:tr>
        <w:trPr/>
        <w:tc>
          <w:tcPr>
            <w:tcW w:w="40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on securities with previous allowance</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(6,007</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2" w:name="xdx_40D_eus-gaap--DebtSecuritiesAvailabl"/>
            <w:bookmarkEnd w:id="662"/>
          </w:p>
        </w:tc>
      </w:tr>
      <w:tr>
        <w:trPr/>
        <w:tc>
          <w:tcPr>
            <w:tcW w:w="40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sold during the period</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663" w:name="xdx_40F_eus-gaap--DebtSecuritiesAvailabl"/>
            <w:bookmarkEnd w:id="663"/>
          </w:p>
        </w:tc>
      </w:tr>
      <w:tr>
        <w:trPr/>
        <w:tc>
          <w:tcPr>
            <w:tcW w:w="40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for securities with credit losses due to intent to sell</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664" w:name="xdx_40D_eus-gaap--DebtSecuritiesAvailabl"/>
            <w:bookmarkEnd w:id="664"/>
          </w:p>
        </w:tc>
      </w:tr>
      <w:tr>
        <w:trPr/>
        <w:tc>
          <w:tcPr>
            <w:tcW w:w="40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665" w:name="xdx_40A_eus-gaap--DebtSecuritiesAvailabl"/>
            <w:bookmarkEnd w:id="665"/>
          </w:p>
        </w:tc>
      </w:tr>
      <w:tr>
        <w:trPr/>
        <w:tc>
          <w:tcPr>
            <w:tcW w:w="40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Recoveries of amounts previously written off</w:t>
            </w:r>
          </w:p>
        </w:tc>
        <w:tc>
          <w:tcPr>
            <w:tcW w:w="60" w:type="dxa"/>
            <w:tcBorders/>
            <w:shd w:fill="FFFFFF" w:val="clear"/>
            <w:vAlign w:val="center"/>
          </w:tcPr>
          <w:p>
            <w:pPr>
              <w:pStyle w:val="TableContents"/>
              <w:bidi w:val="0"/>
              <w:spacing w:before="0" w:after="283"/>
              <w:jc w:val="left"/>
              <w:rPr/>
            </w:pPr>
            <w:r>
              <w:rPr/>
              <w:t> </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p>
        </w:tc>
      </w:tr>
      <w:tr>
        <w:trPr/>
        <w:tc>
          <w:tcPr>
            <w:tcW w:w="4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66" w:name="xdx_431_c20250101__20250630_eus-gaap--De"/>
            <w:bookmarkEnd w:id="666"/>
          </w:p>
        </w:tc>
      </w:tr>
      <w:tr>
        <w:trPr/>
        <w:tc>
          <w:tcPr>
            <w:tcW w:w="40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2025</w:t>
            </w:r>
          </w:p>
        </w:tc>
        <w:tc>
          <w:tcPr>
            <w:tcW w:w="60" w:type="dxa"/>
            <w:tcBorders/>
            <w:shd w:fill="FFFFFF" w:val="cle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486,986</w:t>
            </w:r>
          </w:p>
        </w:tc>
        <w:tc>
          <w:tcPr>
            <w:tcW w:w="114" w:type="dxa"/>
            <w:tcBorders/>
            <w:shd w:fill="FFFFFF" w:val="clear"/>
            <w:vAlign w:val="center"/>
          </w:tcPr>
          <w:p>
            <w:pPr>
              <w:pStyle w:val="TableContents"/>
              <w:bidi w:val="0"/>
              <w:spacing w:before="0" w:after="283"/>
              <w:jc w:val="left"/>
              <w:rPr/>
            </w:pPr>
            <w:r>
              <w:rPr/>
              <w:t> </w:t>
            </w:r>
            <w:bookmarkStart w:id="667" w:name="xdx_43D_c20250101__20250630_eus-gaap--De"/>
            <w:bookmarkEnd w:id="667"/>
          </w:p>
        </w:tc>
      </w:tr>
      <w:tr>
        <w:trPr/>
        <w:tc>
          <w:tcPr>
            <w:tcW w:w="40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w:t>
            </w:r>
          </w:p>
        </w:tc>
        <w:tc>
          <w:tcPr>
            <w:tcW w:w="60" w:type="dxa"/>
            <w:tcBorders/>
            <w:shd w:fill="FFFFFF" w:val="cle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486,986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68" w:name="xdx_8A8_z0WoNA5eEHp4"/>
      <w:bookmarkEnd w:id="6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9" w:name="xdx_897_eus-gaap--InvestmentsClassifiedB"/>
      <w:bookmarkEnd w:id="669"/>
      <w:r>
        <w:rPr>
          <w:rFonts w:ascii="Times New Roman;Times;Serif" w:hAnsi="Times New Roman;Times;Serif"/>
          <w:b w:val="false"/>
          <w:i w:val="false"/>
          <w:caps w:val="false"/>
          <w:smallCaps w:val="false"/>
          <w:sz w:val="20"/>
        </w:rPr>
        <w:t>The table below presents the amortized cost and the estimated fair value of fixed maturity securities available for sale as of June 30, 2026, by contractual maturity. Actual or expected maturities may differ from contractual maturities because certain securities afford the issuer the right to call or prepay their obligations.</w:t>
      </w:r>
    </w:p>
    <w:p>
      <w:pPr>
        <w:pStyle w:val="TextBody"/>
        <w:bidi w:val="0"/>
        <w:spacing w:before="0" w:after="0"/>
        <w:ind w:left="0" w:right="0" w:hanging="0"/>
        <w:jc w:val="both"/>
        <w:rPr>
          <w:caps w:val="false"/>
          <w:smallCaps w:val="false"/>
        </w:rPr>
      </w:pPr>
      <w:r>
        <w:rPr>
          <w:caps w:val="false"/>
          <w:smallCaps w:val="false"/>
        </w:rPr>
        <w:t> </w:t>
      </w:r>
      <w:bookmarkStart w:id="670" w:name="xdx_8B4_z57SrQM5RbGi"/>
      <w:bookmarkEnd w:id="670"/>
      <w:r>
        <w:rPr>
          <w:rFonts w:ascii="Times New Roman;Times;Serif" w:hAnsi="Times New Roman;Times;Serif"/>
          <w:b w:val="false"/>
          <w:i w:val="false"/>
          <w:caps w:val="false"/>
          <w:smallCaps w:val="false"/>
          <w:sz w:val="20"/>
        </w:rPr>
        <w:t>Schedule of Investments Classified by Contractual Maturity Date</w:t>
      </w:r>
    </w:p>
    <w:tbl>
      <w:tblPr>
        <w:tblW w:w="5734" w:type="dxa"/>
        <w:jc w:val="left"/>
        <w:tblInd w:w="0" w:type="dxa"/>
        <w:tblLayout w:type="fixed"/>
        <w:tblCellMar>
          <w:top w:w="0" w:type="dxa"/>
          <w:left w:w="0" w:type="dxa"/>
          <w:bottom w:w="0" w:type="dxa"/>
          <w:right w:w="0" w:type="dxa"/>
        </w:tblCellMar>
      </w:tblPr>
      <w:tblGrid>
        <w:gridCol w:w="2675"/>
        <w:gridCol w:w="60"/>
        <w:gridCol w:w="140"/>
        <w:gridCol w:w="1220"/>
        <w:gridCol w:w="60"/>
        <w:gridCol w:w="60"/>
        <w:gridCol w:w="148"/>
        <w:gridCol w:w="1296"/>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Estimated Fair </w:t>
              <w:br/>
              <w:t>   Value</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in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1" w:name="xdx_982_eus-gaap--AvailableForSaleDebtSe"/>
            <w:bookmarkEnd w:id="67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11,711,839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2" w:name="xdx_986_eus-gaap--AvailableForSaleSecuri"/>
            <w:bookmarkEnd w:id="672"/>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11,709,904</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in 2-5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3" w:name="xdx_989_eus-gaap--AvailableForSaleDebtSe"/>
            <w:bookmarkEnd w:id="673"/>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129,271,705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674" w:name="xdx_986_eus-gaap--AvailableForSaleSecuri"/>
            <w:bookmarkEnd w:id="674"/>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129,040,087</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in 5-10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5" w:name="xdx_988_eus-gaap--AvailableForSaleDebtSe"/>
            <w:bookmarkEnd w:id="67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140,558,359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676" w:name="xdx_985_eus-gaap--AvailableForSaleSecuri"/>
            <w:bookmarkEnd w:id="676"/>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141,414,746</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in more than 10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7" w:name="xdx_989_eus-gaap--AvailableForSaleDebtSe"/>
            <w:bookmarkEnd w:id="677"/>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81,583,435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678" w:name="xdx_983_eus-gaap--AvailableForSaleSecuri"/>
            <w:bookmarkEnd w:id="678"/>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79,864,745</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9" w:name="xdx_982_eus-gaap--AvailableForSaleDebtSe"/>
            <w:bookmarkEnd w:id="67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21,228,233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680" w:name="xdx_989_eus-gaap--AvailableForSaleSecuri"/>
            <w:bookmarkEnd w:id="680"/>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17,677,668</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1" w:name="xdx_986_eus-gaap--AvailableForSaleDebtSe"/>
            <w:bookmarkEnd w:id="681"/>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2" w:name="xdx_98C_eus-gaap--AvailableForSaleSecuri"/>
            <w:bookmarkEnd w:id="682"/>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721,700</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3" w:name="xdx_986_eus-gaap--AvailableForSaleDebtSe"/>
            <w:bookmarkEnd w:id="683"/>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385,103,571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4" w:name="xdx_98D_eus-gaap--AvailableForSaleSecuri"/>
            <w:bookmarkEnd w:id="684"/>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380,428,850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5" w:name="xdx_8A9_zoWn0MsU33N1"/>
      <w:bookmarkEnd w:id="68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6" w:name="xdx_899_ecustom--ScheduleOfMajorCategori"/>
      <w:bookmarkEnd w:id="686"/>
      <w:r>
        <w:rPr>
          <w:rFonts w:ascii="Times New Roman;Times;Serif" w:hAnsi="Times New Roman;Times;Serif"/>
          <w:b w:val="false"/>
          <w:i w:val="false"/>
          <w:caps w:val="false"/>
          <w:smallCaps w:val="false"/>
          <w:sz w:val="20"/>
        </w:rPr>
        <w:t>Information regarding sales of fixed maturity securities available for sale is presented as follows.</w:t>
      </w:r>
    </w:p>
    <w:p>
      <w:pPr>
        <w:pStyle w:val="TextBody"/>
        <w:bidi w:val="0"/>
        <w:spacing w:before="0" w:after="0"/>
        <w:ind w:left="0" w:right="0" w:hanging="0"/>
        <w:jc w:val="both"/>
        <w:rPr>
          <w:caps w:val="false"/>
          <w:smallCaps w:val="false"/>
        </w:rPr>
      </w:pPr>
      <w:r>
        <w:rPr>
          <w:caps w:val="false"/>
          <w:smallCaps w:val="false"/>
        </w:rPr>
        <w:t> </w:t>
      </w:r>
      <w:bookmarkStart w:id="687" w:name="xdx_8B9_zbxG9tVySs21"/>
      <w:bookmarkEnd w:id="687"/>
      <w:r>
        <w:rPr>
          <w:rFonts w:ascii="Times New Roman;Times;Serif" w:hAnsi="Times New Roman;Times;Serif"/>
          <w:b w:val="false"/>
          <w:i w:val="false"/>
          <w:caps w:val="false"/>
          <w:smallCaps w:val="false"/>
          <w:sz w:val="20"/>
        </w:rPr>
        <w:t>Schedule of Major Categories of Net Investment Income</w:t>
      </w:r>
    </w:p>
    <w:tbl>
      <w:tblPr>
        <w:tblW w:w="7849" w:type="dxa"/>
        <w:jc w:val="left"/>
        <w:tblInd w:w="0" w:type="dxa"/>
        <w:tblLayout w:type="fixed"/>
        <w:tblCellMar>
          <w:top w:w="0" w:type="dxa"/>
          <w:left w:w="0" w:type="dxa"/>
          <w:bottom w:w="0" w:type="dxa"/>
          <w:right w:w="0" w:type="dxa"/>
        </w:tblCellMar>
      </w:tblPr>
      <w:tblGrid>
        <w:gridCol w:w="2000"/>
        <w:gridCol w:w="60"/>
        <w:gridCol w:w="547"/>
        <w:gridCol w:w="372"/>
        <w:gridCol w:w="125"/>
        <w:gridCol w:w="125"/>
        <w:gridCol w:w="292"/>
        <w:gridCol w:w="1421"/>
        <w:gridCol w:w="95"/>
        <w:gridCol w:w="60"/>
        <w:gridCol w:w="154"/>
        <w:gridCol w:w="1082"/>
        <w:gridCol w:w="104"/>
        <w:gridCol w:w="66"/>
        <w:gridCol w:w="154"/>
        <w:gridCol w:w="1082"/>
        <w:gridCol w:w="11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8" w:name="xdx_49B_20260401__20260630_z0Voqxe1Aa0j"/>
            <w:bookmarkEnd w:id="688"/>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689" w:name="xdx_495_20250401__20250630_zwlYW8AJWtKf"/>
            <w:bookmarkEnd w:id="689"/>
          </w:p>
        </w:tc>
        <w:tc>
          <w:tcPr>
            <w:tcW w:w="17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0" w:name="xdx_49C_20260101__20260630_zjmvX69OTnT5"/>
            <w:bookmarkEnd w:id="690"/>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691" w:name="xdx_49E_20250101__20250630_zP2RD2HEKjDi"/>
            <w:bookmarkEnd w:id="691"/>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bookmarkStart w:id="692" w:name="xdx_407_ecustom--ProceedsReceivedFromSal"/>
            <w:bookmarkEnd w:id="692"/>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sales</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1,179,677</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2,764,641</w:t>
            </w:r>
          </w:p>
        </w:tc>
        <w:tc>
          <w:tcPr>
            <w:tcW w:w="110" w:type="dxa"/>
            <w:tcBorders/>
            <w:shd w:fill="CCEEFF" w:val="clear"/>
            <w:vAlign w:val="center"/>
          </w:tcPr>
          <w:p>
            <w:pPr>
              <w:pStyle w:val="TableContents"/>
              <w:bidi w:val="0"/>
              <w:spacing w:before="0" w:after="283"/>
              <w:jc w:val="left"/>
              <w:rPr/>
            </w:pPr>
            <w:r>
              <w:rPr/>
              <w:t> </w:t>
            </w:r>
            <w:bookmarkStart w:id="693" w:name="xdx_405_eus-gaap--DebtSecuritiesAvailabl"/>
            <w:bookmarkEnd w:id="693"/>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gains</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110" w:type="dxa"/>
            <w:tcBorders/>
            <w:shd w:fill="FFFFFF" w:val="clear"/>
            <w:vAlign w:val="center"/>
          </w:tcPr>
          <w:p>
            <w:pPr>
              <w:pStyle w:val="TableContents"/>
              <w:bidi w:val="0"/>
              <w:spacing w:before="0" w:after="283"/>
              <w:jc w:val="left"/>
              <w:rPr/>
            </w:pPr>
            <w:r>
              <w:rPr/>
              <w:t> </w:t>
            </w:r>
            <w:bookmarkStart w:id="694" w:name="xdx_403_eus-gaap--DebtSecuritiesAvailabl"/>
            <w:bookmarkEnd w:id="694"/>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losses</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(65,035</w:t>
            </w:r>
          </w:p>
        </w:tc>
        <w:tc>
          <w:tcPr>
            <w:tcW w:w="1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695" w:name="xdx_8AF_zu4wZ7UDoVTf"/>
      <w:bookmarkEnd w:id="69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on Deposit, Held in Trust, and Pledged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6" w:name="xdx_893_eus-gaap--StatutoryAccountingPra"/>
      <w:bookmarkEnd w:id="696"/>
      <w:r>
        <w:rPr>
          <w:rFonts w:ascii="Times New Roman;Times;Serif" w:hAnsi="Times New Roman;Times;Serif"/>
          <w:b w:val="false"/>
          <w:i w:val="false"/>
          <w:caps w:val="false"/>
          <w:smallCaps w:val="false"/>
          <w:sz w:val="20"/>
        </w:rPr>
        <w:t>Assets on deposit with life insurance regulatory authorities as required by law were as follows:</w:t>
      </w:r>
    </w:p>
    <w:p>
      <w:pPr>
        <w:pStyle w:val="TextBody"/>
        <w:bidi w:val="0"/>
        <w:spacing w:before="0" w:after="0"/>
        <w:ind w:left="0" w:right="0" w:hanging="0"/>
        <w:jc w:val="both"/>
        <w:rPr>
          <w:caps w:val="false"/>
          <w:smallCaps w:val="false"/>
        </w:rPr>
      </w:pPr>
      <w:r>
        <w:rPr>
          <w:caps w:val="false"/>
          <w:smallCaps w:val="false"/>
        </w:rPr>
        <w:t> </w:t>
      </w:r>
      <w:bookmarkStart w:id="697" w:name="xdx_8BD_zcAZkgYjD1Kb"/>
      <w:bookmarkEnd w:id="697"/>
      <w:r>
        <w:rPr>
          <w:rFonts w:ascii="Times New Roman;Times;Serif" w:hAnsi="Times New Roman;Times;Serif"/>
          <w:b w:val="false"/>
          <w:i w:val="false"/>
          <w:caps w:val="false"/>
          <w:smallCaps w:val="false"/>
          <w:sz w:val="20"/>
        </w:rPr>
        <w:t>Schedule of Assets on Deposit with Life Insurance</w:t>
      </w:r>
    </w:p>
    <w:tbl>
      <w:tblPr>
        <w:tblW w:w="9613" w:type="dxa"/>
        <w:jc w:val="left"/>
        <w:tblInd w:w="0" w:type="dxa"/>
        <w:tblLayout w:type="fixed"/>
        <w:tblCellMar>
          <w:top w:w="0" w:type="dxa"/>
          <w:left w:w="0" w:type="dxa"/>
          <w:bottom w:w="0" w:type="dxa"/>
          <w:right w:w="0" w:type="dxa"/>
        </w:tblCellMar>
      </w:tblPr>
      <w:tblGrid>
        <w:gridCol w:w="6110"/>
        <w:gridCol w:w="60"/>
        <w:gridCol w:w="169"/>
        <w:gridCol w:w="1185"/>
        <w:gridCol w:w="60"/>
        <w:gridCol w:w="60"/>
        <w:gridCol w:w="236"/>
        <w:gridCol w:w="1658"/>
        <w:gridCol w:w="75"/>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8" w:name="xdx_490_20260630_zyuzOsf6egP3"/>
            <w:bookmarkEnd w:id="698"/>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9" w:name="xdx_496_20251231_zsnKfnGSGha8"/>
            <w:bookmarkEnd w:id="699"/>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bookmarkStart w:id="700" w:name="xdx_40C_eus-gaap--AvailableForSaleSecuri"/>
            <w:bookmarkEnd w:id="700"/>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7,744,141</w:t>
            </w:r>
          </w:p>
        </w:tc>
        <w:tc>
          <w:tcPr>
            <w:tcW w:w="75" w:type="dxa"/>
            <w:tcBorders/>
            <w:shd w:fill="CCEEFF" w:val="clear"/>
            <w:vAlign w:val="center"/>
          </w:tcPr>
          <w:p>
            <w:pPr>
              <w:pStyle w:val="TableContents"/>
              <w:bidi w:val="0"/>
              <w:spacing w:before="0" w:after="283"/>
              <w:jc w:val="left"/>
              <w:rPr/>
            </w:pPr>
            <w:r>
              <w:rPr/>
              <w:t> </w:t>
            </w:r>
            <w:bookmarkStart w:id="701" w:name="xdx_40C_ecustom--PolicyAndOtherLoansRece"/>
            <w:bookmarkEnd w:id="701"/>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02" w:name="xdx_40B_eus-gaap--CashEquivalentsAtCarry"/>
            <w:bookmarkEnd w:id="702"/>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1,543,842</w:t>
            </w:r>
          </w:p>
        </w:tc>
        <w:tc>
          <w:tcPr>
            <w:tcW w:w="75" w:type="dxa"/>
            <w:tcBorders/>
            <w:shd w:fill="CCEEFF" w:val="clear"/>
            <w:vAlign w:val="center"/>
          </w:tcPr>
          <w:p>
            <w:pPr>
              <w:pStyle w:val="TableContents"/>
              <w:bidi w:val="0"/>
              <w:spacing w:before="0" w:after="283"/>
              <w:jc w:val="left"/>
              <w:rPr/>
            </w:pPr>
            <w:r>
              <w:rPr/>
              <w:t> </w:t>
            </w:r>
            <w:bookmarkStart w:id="703" w:name="xdx_400_eus-gaap--AssetsHeldByInsuranceR"/>
            <w:bookmarkEnd w:id="703"/>
          </w:p>
        </w:tc>
      </w:tr>
      <w:tr>
        <w:trPr/>
        <w:tc>
          <w:tcPr>
            <w:tcW w:w="61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assets on deposit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9,287,983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in trust related to third-party reinsurance agreements were as follows:</w:t>
      </w:r>
    </w:p>
    <w:p>
      <w:pPr>
        <w:pStyle w:val="TextBody"/>
        <w:bidi w:val="0"/>
        <w:spacing w:before="0" w:after="0"/>
        <w:ind w:left="0" w:right="0" w:hanging="0"/>
        <w:jc w:val="both"/>
        <w:rPr>
          <w:caps w:val="false"/>
          <w:smallCaps w:val="false"/>
        </w:rPr>
      </w:pPr>
      <w:r>
        <w:rPr>
          <w:caps w:val="false"/>
          <w:smallCaps w:val="false"/>
        </w:rPr>
        <w:t> </w:t>
      </w:r>
    </w:p>
    <w:tbl>
      <w:tblPr>
        <w:tblW w:w="9613" w:type="dxa"/>
        <w:jc w:val="left"/>
        <w:tblInd w:w="0" w:type="dxa"/>
        <w:tblLayout w:type="fixed"/>
        <w:tblCellMar>
          <w:top w:w="0" w:type="dxa"/>
          <w:left w:w="0" w:type="dxa"/>
          <w:bottom w:w="0" w:type="dxa"/>
          <w:right w:w="0" w:type="dxa"/>
        </w:tblCellMar>
      </w:tblPr>
      <w:tblGrid>
        <w:gridCol w:w="6110"/>
        <w:gridCol w:w="60"/>
        <w:gridCol w:w="152"/>
        <w:gridCol w:w="1202"/>
        <w:gridCol w:w="60"/>
        <w:gridCol w:w="60"/>
        <w:gridCol w:w="213"/>
        <w:gridCol w:w="1681"/>
        <w:gridCol w:w="75"/>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4" w:name="xdx_49D_20260630_zDDWv6k24N8d"/>
            <w:bookmarkEnd w:id="704"/>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5" w:name="xdx_494_20251231_zl4cOKTIE1f4"/>
            <w:bookmarkEnd w:id="705"/>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bookmarkStart w:id="706" w:name="xdx_409_eus-gaap--AvailableForSaleSecuri"/>
            <w:bookmarkEnd w:id="706"/>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21,114,524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23,915,884</w:t>
            </w:r>
          </w:p>
        </w:tc>
        <w:tc>
          <w:tcPr>
            <w:tcW w:w="75" w:type="dxa"/>
            <w:tcBorders/>
            <w:shd w:fill="CCEEFF" w:val="clear"/>
            <w:vAlign w:val="center"/>
          </w:tcPr>
          <w:p>
            <w:pPr>
              <w:pStyle w:val="TableContents"/>
              <w:bidi w:val="0"/>
              <w:spacing w:before="0" w:after="283"/>
              <w:jc w:val="left"/>
              <w:rPr/>
            </w:pPr>
            <w:r>
              <w:rPr/>
              <w:t> </w:t>
            </w:r>
            <w:bookmarkStart w:id="707" w:name="xdx_407_ecustom--PolicyAndOtherLoansRece"/>
            <w:bookmarkEnd w:id="707"/>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08" w:name="xdx_40D_eus-gaap--CashEquivalentsAtCarry"/>
            <w:bookmarkEnd w:id="708"/>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2,155,747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2,136,642</w:t>
            </w:r>
          </w:p>
        </w:tc>
        <w:tc>
          <w:tcPr>
            <w:tcW w:w="75" w:type="dxa"/>
            <w:tcBorders/>
            <w:shd w:fill="CCEEFF" w:val="clear"/>
            <w:vAlign w:val="center"/>
          </w:tcPr>
          <w:p>
            <w:pPr>
              <w:pStyle w:val="TableContents"/>
              <w:bidi w:val="0"/>
              <w:spacing w:before="0" w:after="283"/>
              <w:jc w:val="left"/>
              <w:rPr/>
            </w:pPr>
            <w:r>
              <w:rPr/>
              <w:t> </w:t>
            </w:r>
            <w:bookmarkStart w:id="709" w:name="xdx_400_eus-gaap--AssetsHeldInTrust_iTI_"/>
            <w:bookmarkEnd w:id="709"/>
          </w:p>
        </w:tc>
      </w:tr>
      <w:tr>
        <w:trPr/>
        <w:tc>
          <w:tcPr>
            <w:tcW w:w="61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assets on deposit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24,445,456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26,052,526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two of its life insurance subsidiaries, is a member of the Federal Home Loan Banks of Des Moines and Dallas (“FHLBs”). Assets pledged as collateral with the FHLBs are presented below. These pledged securities are used as collateral for any FHLB cash advances. As of June 30, 2026, the Company owed nil to the FHLBs for advances. Amounts owed, if any, are included in Bank and other loans payable on the condensed consolidated balance sheets. The Company did not receive or repay any advances during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9613" w:type="dxa"/>
        <w:jc w:val="left"/>
        <w:tblInd w:w="0" w:type="dxa"/>
        <w:tblLayout w:type="fixed"/>
        <w:tblCellMar>
          <w:top w:w="0" w:type="dxa"/>
          <w:left w:w="0" w:type="dxa"/>
          <w:bottom w:w="0" w:type="dxa"/>
          <w:right w:w="0" w:type="dxa"/>
        </w:tblCellMar>
      </w:tblPr>
      <w:tblGrid>
        <w:gridCol w:w="6110"/>
        <w:gridCol w:w="60"/>
        <w:gridCol w:w="152"/>
        <w:gridCol w:w="1202"/>
        <w:gridCol w:w="60"/>
        <w:gridCol w:w="60"/>
        <w:gridCol w:w="213"/>
        <w:gridCol w:w="1681"/>
        <w:gridCol w:w="75"/>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0" w:name="xdx_491_20260630_zlRl0R1DgLvf"/>
            <w:bookmarkEnd w:id="710"/>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1" w:name="xdx_499_20251231_zw9FwAlbPVx2"/>
            <w:bookmarkEnd w:id="711"/>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bookmarkStart w:id="712" w:name="xdx_402_eus-gaap--AvailableForSaleSecuri"/>
            <w:bookmarkEnd w:id="712"/>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60,674,140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64,066,256</w:t>
            </w:r>
          </w:p>
        </w:tc>
        <w:tc>
          <w:tcPr>
            <w:tcW w:w="75" w:type="dxa"/>
            <w:tcBorders/>
            <w:shd w:fill="CCEEFF" w:val="clear"/>
            <w:vAlign w:val="center"/>
          </w:tcPr>
          <w:p>
            <w:pPr>
              <w:pStyle w:val="TableContents"/>
              <w:bidi w:val="0"/>
              <w:spacing w:before="0" w:after="283"/>
              <w:jc w:val="left"/>
              <w:rPr/>
            </w:pPr>
            <w:r>
              <w:rPr/>
              <w:t> </w:t>
            </w:r>
            <w:bookmarkStart w:id="713" w:name="xdx_407_eus-gaap--AvailableForSaleSecuri"/>
            <w:bookmarkEnd w:id="713"/>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 pledged as collateral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60,674,140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64,066,256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4" w:name="xdx_8A7_zOnTiCJOZ5Fc"/>
      <w:bookmarkEnd w:id="7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Held for Investment and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Real Estate Held for Investment and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Board of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full-time employees to manage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those that are in regions that are expected to have high growth in employment and population and that provide operational efficiencies.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owns and operates commercial properties in Utah, California, Mississippi and Louisiana.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net book value of commercial real estate serving as collateral for bank loans was $</w:t>
      </w:r>
      <w:bookmarkStart w:id="715" w:name="xdx_906_eus-gaap--RealEstateGrossAtCarry"/>
      <w:bookmarkEnd w:id="715"/>
      <w:r>
        <w:rPr>
          <w:rFonts w:ascii="Times New Roman;Times;Serif" w:hAnsi="Times New Roman;Times;Serif"/>
          <w:b w:val="false"/>
          <w:i w:val="false"/>
          <w:caps w:val="false"/>
          <w:smallCaps w:val="false"/>
          <w:sz w:val="20"/>
        </w:rPr>
        <w:t>112,006,917 and $</w:t>
      </w:r>
      <w:bookmarkStart w:id="716" w:name="xdx_902_eus-gaap--RealEstateGrossAtCarry"/>
      <w:bookmarkEnd w:id="716"/>
      <w:r>
        <w:rPr>
          <w:rFonts w:ascii="Times New Roman;Times;Serif" w:hAnsi="Times New Roman;Times;Serif"/>
          <w:b w:val="false"/>
          <w:i w:val="false"/>
          <w:caps w:val="false"/>
          <w:smallCaps w:val="false"/>
          <w:sz w:val="20"/>
        </w:rPr>
        <w:t>114,683,175 as of June 30, 2026, and December 31, 2025, respectively. The associated bank loan carrying values totaled $</w:t>
      </w:r>
      <w:bookmarkStart w:id="717" w:name="xdx_902_eus-gaap--LoansPayableToBank_iI_"/>
      <w:bookmarkEnd w:id="717"/>
      <w:r>
        <w:rPr>
          <w:rFonts w:ascii="Times New Roman;Times;Serif" w:hAnsi="Times New Roman;Times;Serif"/>
          <w:b w:val="false"/>
          <w:i w:val="false"/>
          <w:caps w:val="false"/>
          <w:smallCaps w:val="false"/>
          <w:sz w:val="20"/>
        </w:rPr>
        <w:t>93,152,192 and $</w:t>
      </w:r>
      <w:bookmarkStart w:id="718" w:name="xdx_909_eus-gaap--LoansPayableToBank_iI_"/>
      <w:bookmarkEnd w:id="718"/>
      <w:r>
        <w:rPr>
          <w:rFonts w:ascii="Times New Roman;Times;Serif" w:hAnsi="Times New Roman;Times;Serif"/>
          <w:b w:val="false"/>
          <w:i w:val="false"/>
          <w:caps w:val="false"/>
          <w:smallCaps w:val="false"/>
          <w:sz w:val="20"/>
        </w:rPr>
        <w:t>94,120,446 as of June 30,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 periods ended June 30, 2026, and 2025, the Company did not record any impairment losses on commercial real estate held for investment or held for sale. Impairment losses, if any, are included in gains (losses) on investment and other assets on the condensed consolidated statements of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 periods ended June 30, 2026, and 2025, the Company recorded depreciation expense on commercial real estate held for investment of $</w:t>
      </w:r>
      <w:bookmarkStart w:id="719" w:name="xdx_906_eus-gaap--DepreciationDepletionA"/>
      <w:bookmarkEnd w:id="719"/>
      <w:r>
        <w:rPr>
          <w:rFonts w:ascii="Times New Roman;Times;Serif" w:hAnsi="Times New Roman;Times;Serif"/>
          <w:b w:val="false"/>
          <w:i w:val="false"/>
          <w:caps w:val="false"/>
          <w:smallCaps w:val="false"/>
          <w:sz w:val="20"/>
        </w:rPr>
        <w:t>1,433,680 and $</w:t>
      </w:r>
      <w:bookmarkStart w:id="720" w:name="xdx_901_eus-gaap--DepreciationDepletionA"/>
      <w:bookmarkEnd w:id="720"/>
      <w:r>
        <w:rPr>
          <w:rFonts w:ascii="Times New Roman;Times;Serif" w:hAnsi="Times New Roman;Times;Serif"/>
          <w:b w:val="false"/>
          <w:i w:val="false"/>
          <w:caps w:val="false"/>
          <w:smallCaps w:val="false"/>
          <w:sz w:val="20"/>
        </w:rPr>
        <w:t>1,432,921, respectively, and of $</w:t>
      </w:r>
      <w:bookmarkStart w:id="721" w:name="xdx_901_eus-gaap--DepreciationDepletionA"/>
      <w:bookmarkEnd w:id="721"/>
      <w:r>
        <w:rPr>
          <w:rFonts w:ascii="Times New Roman;Times;Serif" w:hAnsi="Times New Roman;Times;Serif"/>
          <w:b w:val="false"/>
          <w:i w:val="false"/>
          <w:caps w:val="false"/>
          <w:smallCaps w:val="false"/>
          <w:sz w:val="20"/>
        </w:rPr>
        <w:t>2,867,187 and $</w:t>
      </w:r>
      <w:bookmarkStart w:id="722" w:name="xdx_905_eus-gaap--DepreciationDepletionA"/>
      <w:bookmarkEnd w:id="722"/>
      <w:r>
        <w:rPr>
          <w:rFonts w:ascii="Times New Roman;Times;Serif" w:hAnsi="Times New Roman;Times;Serif"/>
          <w:b w:val="false"/>
          <w:i w:val="false"/>
          <w:caps w:val="false"/>
          <w:smallCaps w:val="false"/>
          <w:sz w:val="20"/>
        </w:rPr>
        <w:t>2,854,937 during the six-month periods ended June 30, 2026 and 2025, respectively. Commercial real estate held for investment is stated at cost and is depreciated over the estimated useful life, primarily using the straight-line method. Depreciation is included in net investment income on the condensed consolidated statements of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723" w:name="xdx_89B_eus-gaap--RealEstateInvestmentFi"/>
      <w:bookmarkEnd w:id="723"/>
      <w:r>
        <w:rPr>
          <w:rFonts w:ascii="Times New Roman;Times;Serif" w:hAnsi="Times New Roman;Times;Serif"/>
          <w:b w:val="false"/>
          <w:i w:val="false"/>
          <w:caps w:val="false"/>
          <w:smallCaps w:val="false"/>
          <w:sz w:val="20"/>
        </w:rPr>
        <w:t>The Company’s commercial real estate held for investment is summarized as follows as of the respective dates indicated:</w:t>
      </w:r>
    </w:p>
    <w:p>
      <w:pPr>
        <w:pStyle w:val="TextBody"/>
        <w:pBdr/>
        <w:bidi w:val="0"/>
        <w:spacing w:before="0" w:after="0"/>
        <w:ind w:left="0" w:right="0" w:hanging="0"/>
        <w:jc w:val="both"/>
        <w:rPr>
          <w:caps w:val="false"/>
          <w:smallCaps w:val="false"/>
        </w:rPr>
      </w:pPr>
      <w:r>
        <w:rPr>
          <w:caps w:val="false"/>
          <w:smallCaps w:val="false"/>
        </w:rPr>
        <w:t> </w:t>
      </w:r>
      <w:bookmarkStart w:id="724" w:name="xdx_8B6_zLNg0ta406r6"/>
      <w:bookmarkEnd w:id="724"/>
      <w:r>
        <w:rPr>
          <w:rFonts w:ascii="Times New Roman;Times;Serif" w:hAnsi="Times New Roman;Times;Serif"/>
          <w:b w:val="false"/>
          <w:i w:val="false"/>
          <w:caps w:val="false"/>
          <w:smallCaps w:val="false"/>
          <w:sz w:val="20"/>
        </w:rPr>
        <w:t>Schedule of Commercial Real Estate Investment</w:t>
      </w:r>
    </w:p>
    <w:tbl>
      <w:tblPr>
        <w:tblW w:w="6510" w:type="dxa"/>
        <w:jc w:val="left"/>
        <w:tblInd w:w="0" w:type="dxa"/>
        <w:tblLayout w:type="fixed"/>
        <w:tblCellMar>
          <w:top w:w="0" w:type="dxa"/>
          <w:left w:w="0" w:type="dxa"/>
          <w:bottom w:w="0" w:type="dxa"/>
          <w:right w:w="0" w:type="dxa"/>
        </w:tblCellMar>
      </w:tblPr>
      <w:tblGrid>
        <w:gridCol w:w="965"/>
        <w:gridCol w:w="60"/>
        <w:gridCol w:w="140"/>
        <w:gridCol w:w="1220"/>
        <w:gridCol w:w="60"/>
        <w:gridCol w:w="60"/>
        <w:gridCol w:w="140"/>
        <w:gridCol w:w="1220"/>
        <w:gridCol w:w="60"/>
        <w:gridCol w:w="60"/>
        <w:gridCol w:w="67"/>
        <w:gridCol w:w="895"/>
        <w:gridCol w:w="67"/>
        <w:gridCol w:w="67"/>
        <w:gridCol w:w="93"/>
        <w:gridCol w:w="1261"/>
        <w:gridCol w:w="75"/>
      </w:tblGrid>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Net Book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Square Footage</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June 30,</w:t>
            </w:r>
          </w:p>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June 30,</w:t>
            </w:r>
          </w:p>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Utah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5" w:name="xdx_980_eus-gaap--RealEstateInvestmentPr"/>
            <w:bookmarkEnd w:id="72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118,419,709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6" w:name="xdx_98A_eus-gaap--RealEstateInvestmentPr"/>
            <w:bookmarkEnd w:id="72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121,240,268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727" w:name="xdx_981_ecustom--TotalSquareFootage_iI_u"/>
            <w:bookmarkEnd w:id="727"/>
          </w:p>
        </w:tc>
        <w:tc>
          <w:tcPr>
            <w:tcW w:w="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546,941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728" w:name="xdx_98D_ecustom--TotalSquareFootage_iI_u"/>
            <w:bookmarkEnd w:id="728"/>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546,941</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Louisiana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9" w:name="xdx_982_eus-gaap--RealEstateInvestmentPr"/>
            <w:bookmarkEnd w:id="729"/>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0" w:name="xdx_985_eus-gaap--RealEstateInvestmentPr"/>
            <w:bookmarkEnd w:id="73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1" w:name="xdx_98C_ecustom--TotalSquareFootage_iI_u"/>
            <w:bookmarkEnd w:id="731"/>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2" w:name="xdx_987_ecustom--TotalSquareFootage_iI_u"/>
            <w:bookmarkEnd w:id="732"/>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3" w:name="xdx_98D_eus-gaap--RealEstateInvestmentPr"/>
            <w:bookmarkEnd w:id="73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118,437,302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4" w:name="xdx_98E_eus-gaap--RealEstateInvestmentPr"/>
            <w:bookmarkEnd w:id="73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121,258,192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35" w:name="xdx_98E_ecustom--TotalSquareFootage_iI_u"/>
            <w:bookmarkEnd w:id="735"/>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548,563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36" w:name="xdx_98B_ecustom--TotalSquareFootage_iI_u"/>
            <w:bookmarkEnd w:id="736"/>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548,563</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803" w:type="dxa"/>
        <w:jc w:val="left"/>
        <w:tblInd w:w="0" w:type="dxa"/>
        <w:tblLayout w:type="fixed"/>
        <w:tblCellMar>
          <w:top w:w="0" w:type="dxa"/>
          <w:left w:w="0" w:type="dxa"/>
          <w:bottom w:w="0" w:type="dxa"/>
          <w:right w:w="0" w:type="dxa"/>
        </w:tblCellMar>
      </w:tblPr>
      <w:tblGrid>
        <w:gridCol w:w="260"/>
        <w:gridCol w:w="23"/>
        <w:gridCol w:w="152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737" w:name="xdx_F0B_zxIcm8Dvbvh8"/>
            <w:bookmarkEnd w:id="737"/>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rFonts w:ascii="Times New Roman;Times;Serif" w:hAnsi="Times New Roman;Times;Serif"/>
                <w:sz w:val="20"/>
              </w:rPr>
            </w:pPr>
            <w:bookmarkStart w:id="738" w:name="xdx_F17_zNIyXKOKgXd1"/>
            <w:bookmarkEnd w:id="738"/>
            <w:r>
              <w:rPr>
                <w:rFonts w:ascii="Times New Roman;Times;Serif" w:hAnsi="Times New Roman;Times;Serif"/>
                <w:sz w:val="20"/>
              </w:rPr>
              <w:t>Includes Center53</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commercial real estate held for sale is summarized as follows as of the respective dates indicated:</w:t>
      </w:r>
    </w:p>
    <w:p>
      <w:pPr>
        <w:pStyle w:val="TextBody"/>
        <w:pBdr/>
        <w:bidi w:val="0"/>
        <w:spacing w:before="0" w:after="0"/>
        <w:ind w:left="0" w:right="0" w:hanging="0"/>
        <w:jc w:val="both"/>
        <w:rPr>
          <w:caps w:val="false"/>
          <w:smallCaps w:val="false"/>
        </w:rPr>
      </w:pPr>
      <w:r>
        <w:rPr>
          <w:caps w:val="false"/>
          <w:smallCaps w:val="false"/>
        </w:rPr>
        <w:t> </w:t>
      </w:r>
    </w:p>
    <w:tbl>
      <w:tblPr>
        <w:tblW w:w="4918" w:type="dxa"/>
        <w:jc w:val="left"/>
        <w:tblInd w:w="0" w:type="dxa"/>
        <w:tblLayout w:type="fixed"/>
        <w:tblCellMar>
          <w:top w:w="0" w:type="dxa"/>
          <w:left w:w="0" w:type="dxa"/>
          <w:bottom w:w="0" w:type="dxa"/>
          <w:right w:w="0" w:type="dxa"/>
        </w:tblCellMar>
      </w:tblPr>
      <w:tblGrid>
        <w:gridCol w:w="1415"/>
        <w:gridCol w:w="60"/>
        <w:gridCol w:w="169"/>
        <w:gridCol w:w="1185"/>
        <w:gridCol w:w="60"/>
        <w:gridCol w:w="60"/>
        <w:gridCol w:w="281"/>
        <w:gridCol w:w="1613"/>
        <w:gridCol w:w="75"/>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Net Book Value</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California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9" w:name="xdx_985_eus-gaap--RealEstateHeldforsale_"/>
            <w:bookmarkEnd w:id="739"/>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0" w:name="xdx_98B_eus-gaap--RealEstateHeldforsale_"/>
            <w:bookmarkEnd w:id="740"/>
          </w:p>
        </w:tc>
        <w:tc>
          <w:tcPr>
            <w:tcW w:w="1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Louisiana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741" w:name="xdx_988_eus-gaap--RealEstateHeldforsale_"/>
            <w:bookmarkEnd w:id="741"/>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bookmarkStart w:id="742" w:name="xdx_98E_eus-gaap--RealEstateHeldforsale_"/>
            <w:bookmarkEnd w:id="742"/>
          </w:p>
        </w:tc>
        <w:tc>
          <w:tcPr>
            <w:tcW w:w="16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Mississippi (1)</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3" w:name="xdx_98B_eus-gaap--RealEstateHeldforsale_"/>
            <w:bookmarkEnd w:id="743"/>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4" w:name="xdx_98A_eus-gaap--RealEstateHeldforsale_"/>
            <w:bookmarkEnd w:id="744"/>
          </w:p>
        </w:tc>
        <w:tc>
          <w:tcPr>
            <w:tcW w:w="16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151,553</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5" w:name="xdx_983_eus-gaap--RealEstateHeldforsale_"/>
            <w:bookmarkEnd w:id="745"/>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6" w:name="xdx_986_eus-gaap--RealEstateHeldforsale_"/>
            <w:bookmarkEnd w:id="746"/>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151,553</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4825" w:type="dxa"/>
        <w:jc w:val="left"/>
        <w:tblInd w:w="0" w:type="dxa"/>
        <w:tblLayout w:type="fixed"/>
        <w:tblCellMar>
          <w:top w:w="0" w:type="dxa"/>
          <w:left w:w="0" w:type="dxa"/>
          <w:bottom w:w="0" w:type="dxa"/>
          <w:right w:w="0" w:type="dxa"/>
        </w:tblCellMar>
      </w:tblPr>
      <w:tblGrid>
        <w:gridCol w:w="245"/>
        <w:gridCol w:w="4580"/>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747" w:name="xdx_F08_z0PIJiudUMG3"/>
            <w:bookmarkEnd w:id="747"/>
            <w:r>
              <w:rPr>
                <w:rFonts w:ascii="Times New Roman;Times;Serif" w:hAnsi="Times New Roman;Times;Serif"/>
                <w:sz w:val="20"/>
              </w:rPr>
              <w:t>(1)</w:t>
            </w:r>
          </w:p>
        </w:tc>
        <w:tc>
          <w:tcPr>
            <w:tcW w:w="4580" w:type="dxa"/>
            <w:tcBorders/>
            <w:vAlign w:val="center"/>
          </w:tcPr>
          <w:p>
            <w:pPr>
              <w:pStyle w:val="TableContents"/>
              <w:bidi w:val="0"/>
              <w:spacing w:before="0" w:after="283"/>
              <w:jc w:val="both"/>
              <w:rPr>
                <w:rFonts w:ascii="Times New Roman;Times;Serif" w:hAnsi="Times New Roman;Times;Serif"/>
                <w:sz w:val="20"/>
              </w:rPr>
            </w:pPr>
            <w:bookmarkStart w:id="748" w:name="xdx_F1E_zN4GwADIVWw"/>
            <w:bookmarkEnd w:id="748"/>
            <w:r>
              <w:rPr>
                <w:rFonts w:ascii="Times New Roman;Times;Serif" w:hAnsi="Times New Roman;Times;Serif"/>
                <w:sz w:val="20"/>
              </w:rPr>
              <w:t>Consists of approximately 93 acres of undeveloped land</w:t>
            </w:r>
          </w:p>
        </w:tc>
      </w:tr>
    </w:tbl>
    <w:p>
      <w:pPr>
        <w:pStyle w:val="TextBody"/>
        <w:pBdr/>
        <w:bidi w:val="0"/>
        <w:spacing w:before="0" w:after="0"/>
        <w:ind w:left="0" w:right="0" w:hanging="0"/>
        <w:jc w:val="both"/>
        <w:rPr>
          <w:caps w:val="false"/>
          <w:smallCaps w:val="false"/>
        </w:rPr>
      </w:pPr>
      <w:bookmarkStart w:id="749" w:name="xdx_8A9_ztSycPkdRKuj"/>
      <w:bookmarkEnd w:id="74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Real Estate Owned and Occupied by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750" w:name="xdx_89E_eus-gaap--RealEstateOwnedTextBlo"/>
      <w:bookmarkEnd w:id="750"/>
      <w:r>
        <w:rPr>
          <w:rFonts w:ascii="Times New Roman;Times;Serif" w:hAnsi="Times New Roman;Times;Serif"/>
          <w:b w:val="false"/>
          <w:i w:val="false"/>
          <w:caps w:val="false"/>
          <w:smallCaps w:val="false"/>
          <w:sz w:val="20"/>
        </w:rPr>
        <w:t>The primary business units of the Company occupy a portion of the real estate owned by the Company. As of June 30, 2026, real estate owned and occupied by the Company is summarized as follows:</w:t>
      </w:r>
    </w:p>
    <w:p>
      <w:pPr>
        <w:pStyle w:val="TextBody"/>
        <w:pBdr/>
        <w:bidi w:val="0"/>
        <w:spacing w:before="0" w:after="0"/>
        <w:ind w:left="0" w:right="0" w:hanging="0"/>
        <w:jc w:val="both"/>
        <w:rPr>
          <w:caps w:val="false"/>
          <w:smallCaps w:val="false"/>
        </w:rPr>
      </w:pPr>
      <w:r>
        <w:rPr>
          <w:caps w:val="false"/>
          <w:smallCaps w:val="false"/>
        </w:rPr>
        <w:t> </w:t>
      </w:r>
      <w:bookmarkStart w:id="751" w:name="xdx_8B6_zFO67zyzmPnk"/>
      <w:bookmarkEnd w:id="751"/>
      <w:r>
        <w:rPr>
          <w:rFonts w:ascii="Times New Roman;Times;Serif" w:hAnsi="Times New Roman;Times;Serif"/>
          <w:b w:val="false"/>
          <w:i w:val="false"/>
          <w:caps w:val="false"/>
          <w:smallCaps w:val="false"/>
          <w:sz w:val="20"/>
        </w:rPr>
        <w:t>Schedule of Real Estate Owned and Occupied by the Company</w:t>
      </w:r>
    </w:p>
    <w:tbl>
      <w:tblPr>
        <w:tblW w:w="10205" w:type="dxa"/>
        <w:jc w:val="left"/>
        <w:tblInd w:w="0" w:type="dxa"/>
        <w:tblLayout w:type="fixed"/>
        <w:tblCellMar>
          <w:top w:w="0" w:type="dxa"/>
          <w:left w:w="0" w:type="dxa"/>
          <w:bottom w:w="28" w:type="dxa"/>
          <w:right w:w="0" w:type="dxa"/>
        </w:tblCellMar>
      </w:tblPr>
      <w:tblGrid>
        <w:gridCol w:w="3340"/>
        <w:gridCol w:w="60"/>
        <w:gridCol w:w="4101"/>
        <w:gridCol w:w="60"/>
        <w:gridCol w:w="93"/>
        <w:gridCol w:w="1249"/>
        <w:gridCol w:w="60"/>
        <w:gridCol w:w="60"/>
        <w:gridCol w:w="129"/>
        <w:gridCol w:w="821"/>
        <w:gridCol w:w="232"/>
      </w:tblGrid>
      <w:tr>
        <w:trPr/>
        <w:tc>
          <w:tcPr>
            <w:tcW w:w="334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Location</w:t>
            </w:r>
          </w:p>
        </w:tc>
        <w:tc>
          <w:tcPr>
            <w:tcW w:w="60" w:type="dxa"/>
            <w:tcBorders/>
            <w:tcMar>
              <w:bottom w:w="0" w:type="dxa"/>
            </w:tcMar>
            <w:vAlign w:val="center"/>
          </w:tcPr>
          <w:p>
            <w:pPr>
              <w:pStyle w:val="TableContents"/>
              <w:bidi w:val="0"/>
              <w:spacing w:before="0" w:after="283"/>
              <w:jc w:val="left"/>
              <w:rPr/>
            </w:pPr>
            <w:r>
              <w:rPr/>
              <w:t> </w:t>
            </w:r>
          </w:p>
        </w:tc>
        <w:tc>
          <w:tcPr>
            <w:tcW w:w="4101"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Segment</w:t>
            </w:r>
          </w:p>
        </w:tc>
        <w:tc>
          <w:tcPr>
            <w:tcW w:w="60" w:type="dxa"/>
            <w:tcBorders/>
            <w:tcMar>
              <w:bottom w:w="0" w:type="dxa"/>
            </w:tcMar>
            <w:vAlign w:val="center"/>
          </w:tcPr>
          <w:p>
            <w:pPr>
              <w:pStyle w:val="TableContents"/>
              <w:bidi w:val="0"/>
              <w:spacing w:before="0" w:after="283"/>
              <w:jc w:val="left"/>
              <w:rPr/>
            </w:pPr>
            <w:r>
              <w:rPr/>
              <w:t> </w:t>
            </w:r>
          </w:p>
        </w:tc>
        <w:tc>
          <w:tcPr>
            <w:tcW w:w="1342" w:type="dxa"/>
            <w:gridSpan w:val="2"/>
            <w:tcBorders>
              <w:bottom w:val="single" w:sz="8" w:space="0" w:color="000000"/>
            </w:tcBorders>
            <w:vAlign w:val="center"/>
          </w:tcPr>
          <w:p>
            <w:pPr>
              <w:pStyle w:val="TableContents"/>
              <w:bidi w:val="0"/>
              <w:jc w:val="center"/>
              <w:rPr>
                <w:rFonts w:ascii="Times New Roman;Times;Serif" w:hAnsi="Times New Roman;Times;Serif"/>
              </w:rPr>
            </w:pPr>
            <w:r>
              <w:rPr>
                <w:rFonts w:ascii="Times New Roman;Times;Serif" w:hAnsi="Times New Roman;Times;Serif"/>
              </w:rPr>
              <w:t>Approximate</w:t>
            </w:r>
          </w:p>
          <w:p>
            <w:pPr>
              <w:pStyle w:val="TableContents"/>
              <w:bidi w:val="0"/>
              <w:spacing w:before="0" w:after="283"/>
              <w:jc w:val="center"/>
              <w:rPr>
                <w:rFonts w:ascii="Times New Roman;Times;Serif" w:hAnsi="Times New Roman;Times;Serif"/>
              </w:rPr>
            </w:pPr>
            <w:r>
              <w:rPr>
                <w:rFonts w:ascii="Times New Roman;Times;Serif" w:hAnsi="Times New Roman;Times;Serif"/>
              </w:rPr>
              <w:t>Square Footage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rPr>
            </w:pPr>
            <w:r>
              <w:rPr>
                <w:rFonts w:ascii="Times New Roman;Times;Serif" w:hAnsi="Times New Roman;Times;Serif"/>
              </w:rPr>
              <w:t>Square</w:t>
            </w:r>
          </w:p>
          <w:p>
            <w:pPr>
              <w:pStyle w:val="TableContents"/>
              <w:bidi w:val="0"/>
              <w:jc w:val="center"/>
              <w:rPr>
                <w:rFonts w:ascii="Times New Roman;Times;Serif" w:hAnsi="Times New Roman;Times;Serif"/>
              </w:rPr>
            </w:pPr>
            <w:r>
              <w:rPr>
                <w:rFonts w:ascii="Times New Roman;Times;Serif" w:hAnsi="Times New Roman;Times;Serif"/>
              </w:rPr>
              <w:t>Footage</w:t>
            </w:r>
          </w:p>
          <w:p>
            <w:pPr>
              <w:pStyle w:val="TableContents"/>
              <w:bidi w:val="0"/>
              <w:jc w:val="center"/>
              <w:rPr>
                <w:rFonts w:ascii="Times New Roman;Times;Serif" w:hAnsi="Times New Roman;Times;Serif"/>
              </w:rPr>
            </w:pPr>
            <w:r>
              <w:rPr>
                <w:rFonts w:ascii="Times New Roman;Times;Serif" w:hAnsi="Times New Roman;Times;Serif"/>
              </w:rPr>
              <w:t>Occupied</w:t>
            </w:r>
          </w:p>
          <w:p>
            <w:pPr>
              <w:pStyle w:val="TableContents"/>
              <w:bidi w:val="0"/>
              <w:jc w:val="center"/>
              <w:rPr>
                <w:rFonts w:ascii="Times New Roman;Times;Serif" w:hAnsi="Times New Roman;Times;Serif"/>
              </w:rPr>
            </w:pPr>
            <w:r>
              <w:rPr>
                <w:rFonts w:ascii="Times New Roman;Times;Serif" w:hAnsi="Times New Roman;Times;Serif"/>
              </w:rPr>
              <w:t>by the</w:t>
            </w:r>
          </w:p>
          <w:p>
            <w:pPr>
              <w:pStyle w:val="TableContents"/>
              <w:bidi w:val="0"/>
              <w:spacing w:before="0" w:after="283"/>
              <w:jc w:val="center"/>
              <w:rPr>
                <w:rFonts w:ascii="Times New Roman;Times;Serif" w:hAnsi="Times New Roman;Times;Serif"/>
              </w:rPr>
            </w:pPr>
            <w:r>
              <w:rPr>
                <w:rFonts w:ascii="Times New Roman;Times;Serif" w:hAnsi="Times New Roman;Times;Serif"/>
              </w:rPr>
              <w:t>Company</w:t>
            </w:r>
          </w:p>
        </w:tc>
        <w:tc>
          <w:tcPr>
            <w:tcW w:w="232" w:type="dxa"/>
            <w:tcBorders/>
            <w:tcMar>
              <w:bottom w:w="0" w:type="dxa"/>
            </w:tcMar>
            <w:vAlign w:val="center"/>
          </w:tcPr>
          <w:p>
            <w:pPr>
              <w:pStyle w:val="TableContents"/>
              <w:bidi w:val="0"/>
              <w:spacing w:before="0" w:after="283"/>
              <w:jc w:val="left"/>
              <w:rPr/>
            </w:pPr>
            <w:r>
              <w:rPr/>
              <w:t> </w:t>
            </w:r>
          </w:p>
        </w:tc>
      </w:tr>
      <w:tr>
        <w:trPr/>
        <w:tc>
          <w:tcPr>
            <w:tcW w:w="3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433 Ascension Way, Floors 4, 5 and 6, Salt Lake City, UT - Center53 Building 2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0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Offices, Life Insurance, Funeral Home/Cemetery Operations, and Mortgage Operations and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752" w:name="xdx_902_ecustom--ApproximateSquareFootag"/>
            <w:bookmarkEnd w:id="752"/>
            <w:r>
              <w:rPr>
                <w:rFonts w:ascii="Times New Roman;Times;Serif" w:hAnsi="Times New Roman;Times;Serif"/>
              </w:rPr>
              <w:t>216,865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753" w:name="xdx_901_ecustom--SquareFootageOccupiedBy"/>
            <w:bookmarkEnd w:id="753"/>
            <w:r>
              <w:rPr>
                <w:rFonts w:ascii="Times New Roman;Times;Serif" w:hAnsi="Times New Roman;Times;Serif"/>
              </w:rPr>
              <w:t>50</w:t>
            </w:r>
          </w:p>
        </w:tc>
        <w:tc>
          <w:tcPr>
            <w:tcW w:w="2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1818 Marshall Street, Shreveport, LA (2)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0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Life Insurance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754" w:name="xdx_90D_ecustom--ApproximateSquareFootag"/>
            <w:bookmarkEnd w:id="754"/>
            <w:r>
              <w:rPr>
                <w:rFonts w:ascii="Times New Roman;Times;Serif" w:hAnsi="Times New Roman;Times;Serif"/>
              </w:rPr>
              <w:t>12,274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755" w:name="xdx_905_ecustom--SquareFootageOccupiedBy"/>
            <w:bookmarkEnd w:id="755"/>
            <w:r>
              <w:rPr>
                <w:rFonts w:ascii="Times New Roman;Times;Serif" w:hAnsi="Times New Roman;Times;Serif"/>
              </w:rPr>
              <w:t>100</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605" w:type="dxa"/>
        <w:jc w:val="left"/>
        <w:tblInd w:w="0" w:type="dxa"/>
        <w:tblLayout w:type="fixed"/>
        <w:tblCellMar>
          <w:top w:w="0" w:type="dxa"/>
          <w:left w:w="0" w:type="dxa"/>
          <w:bottom w:w="0" w:type="dxa"/>
          <w:right w:w="0" w:type="dxa"/>
        </w:tblCellMar>
      </w:tblPr>
      <w:tblGrid>
        <w:gridCol w:w="290"/>
        <w:gridCol w:w="8315"/>
      </w:tblGrid>
      <w:tr>
        <w:trPr/>
        <w:tc>
          <w:tcPr>
            <w:tcW w:w="290" w:type="dxa"/>
            <w:tcBorders/>
            <w:vAlign w:val="center"/>
          </w:tcPr>
          <w:p>
            <w:pPr>
              <w:pStyle w:val="TableContents"/>
              <w:bidi w:val="0"/>
              <w:spacing w:before="0" w:after="283"/>
              <w:jc w:val="left"/>
              <w:rPr/>
            </w:pPr>
            <w:bookmarkStart w:id="756" w:name="xdx_F01_zyrrmSMF8Ltf"/>
            <w:bookmarkEnd w:id="756"/>
            <w:r>
              <w:rPr/>
              <w:t>(1)</w:t>
            </w:r>
            <w:bookmarkStart w:id="757" w:name="xdx_F1E_zKjASUecGTCf"/>
            <w:bookmarkEnd w:id="757"/>
          </w:p>
        </w:tc>
        <w:tc>
          <w:tcPr>
            <w:tcW w:w="8315" w:type="dxa"/>
            <w:tcBorders/>
            <w:vAlign w:val="center"/>
          </w:tcPr>
          <w:p>
            <w:pPr>
              <w:pStyle w:val="TableContents"/>
              <w:bidi w:val="0"/>
              <w:spacing w:before="0" w:after="283"/>
              <w:jc w:val="left"/>
              <w:rPr/>
            </w:pPr>
            <w:r>
              <w:rPr/>
              <w:t>Included in real estate held for investment on the condensed consolidated balance sheets</w:t>
            </w:r>
          </w:p>
        </w:tc>
      </w:tr>
      <w:tr>
        <w:trPr/>
        <w:tc>
          <w:tcPr>
            <w:tcW w:w="290" w:type="dxa"/>
            <w:tcBorders/>
            <w:vAlign w:val="center"/>
          </w:tcPr>
          <w:p>
            <w:pPr>
              <w:pStyle w:val="TableContents"/>
              <w:bidi w:val="0"/>
              <w:spacing w:before="0" w:after="283"/>
              <w:jc w:val="left"/>
              <w:rPr>
                <w:rFonts w:ascii="Times New Roman;Times;Serif" w:hAnsi="Times New Roman;Times;Serif"/>
                <w:sz w:val="20"/>
              </w:rPr>
            </w:pPr>
            <w:bookmarkStart w:id="758" w:name="xdx_F01_zwGf5SRDLaH2"/>
            <w:bookmarkEnd w:id="758"/>
            <w:r>
              <w:rPr>
                <w:rFonts w:ascii="Times New Roman;Times;Serif" w:hAnsi="Times New Roman;Times;Serif"/>
                <w:sz w:val="20"/>
              </w:rPr>
              <w:t>(2)</w:t>
            </w:r>
          </w:p>
        </w:tc>
        <w:tc>
          <w:tcPr>
            <w:tcW w:w="8315" w:type="dxa"/>
            <w:tcBorders/>
            <w:vAlign w:val="center"/>
          </w:tcPr>
          <w:p>
            <w:pPr>
              <w:pStyle w:val="TableContents"/>
              <w:bidi w:val="0"/>
              <w:spacing w:before="0" w:after="283"/>
              <w:jc w:val="left"/>
              <w:rPr>
                <w:rFonts w:ascii="Times New Roman;Times;Serif" w:hAnsi="Times New Roman;Times;Serif"/>
                <w:sz w:val="20"/>
              </w:rPr>
            </w:pPr>
            <w:bookmarkStart w:id="759" w:name="xdx_F1B_zaC9UxviJKSg"/>
            <w:bookmarkEnd w:id="759"/>
            <w:r>
              <w:rPr>
                <w:rFonts w:ascii="Times New Roman;Times;Serif" w:hAnsi="Times New Roman;Times;Serif"/>
                <w:sz w:val="20"/>
              </w:rPr>
              <w:t>Included in property and equipment on the condensed consolidated balance sheets</w:t>
            </w:r>
          </w:p>
        </w:tc>
      </w:tr>
      <w:tr>
        <w:trPr/>
        <w:tc>
          <w:tcPr>
            <w:tcW w:w="290" w:type="dxa"/>
            <w:tcBorders/>
            <w:vAlign w:val="center"/>
          </w:tcPr>
          <w:p>
            <w:pPr>
              <w:pStyle w:val="TableContents"/>
              <w:bidi w:val="0"/>
              <w:spacing w:before="0" w:after="283"/>
              <w:jc w:val="left"/>
              <w:rPr>
                <w:rFonts w:ascii="Times New Roman;Times;Serif" w:hAnsi="Times New Roman;Times;Serif"/>
                <w:sz w:val="20"/>
              </w:rPr>
            </w:pPr>
            <w:bookmarkStart w:id="760" w:name="xdx_F08_z4GTVrbIc1Qh"/>
            <w:bookmarkEnd w:id="760"/>
            <w:r>
              <w:rPr>
                <w:rFonts w:ascii="Times New Roman;Times;Serif" w:hAnsi="Times New Roman;Times;Serif"/>
                <w:sz w:val="20"/>
              </w:rPr>
              <w:t>(3)</w:t>
            </w:r>
          </w:p>
        </w:tc>
        <w:tc>
          <w:tcPr>
            <w:tcW w:w="8315" w:type="dxa"/>
            <w:tcBorders/>
            <w:vAlign w:val="center"/>
          </w:tcPr>
          <w:p>
            <w:pPr>
              <w:pStyle w:val="TableContents"/>
              <w:bidi w:val="0"/>
              <w:spacing w:before="0" w:after="283"/>
              <w:jc w:val="left"/>
              <w:rPr>
                <w:rFonts w:ascii="Times New Roman;Times;Serif" w:hAnsi="Times New Roman;Times;Serif"/>
                <w:sz w:val="20"/>
              </w:rPr>
            </w:pPr>
            <w:bookmarkStart w:id="761" w:name="xdx_F1B_zacjCWPxssMb"/>
            <w:bookmarkEnd w:id="761"/>
            <w:r>
              <w:rPr>
                <w:rFonts w:ascii="Times New Roman;Times;Serif" w:hAnsi="Times New Roman;Times;Serif"/>
                <w:sz w:val="20"/>
              </w:rPr>
              <w:t>Listed for sale</w:t>
            </w:r>
          </w:p>
        </w:tc>
      </w:tr>
    </w:tbl>
    <w:p>
      <w:pPr>
        <w:pStyle w:val="TextBody"/>
        <w:pBdr/>
        <w:bidi w:val="0"/>
        <w:spacing w:before="0" w:after="0"/>
        <w:ind w:left="0" w:right="0" w:hanging="0"/>
        <w:jc w:val="both"/>
        <w:rPr>
          <w:caps w:val="false"/>
          <w:smallCaps w:val="false"/>
        </w:rPr>
      </w:pPr>
      <w:bookmarkStart w:id="762" w:name="xdx_8A0_z2kXELTkF8N6"/>
      <w:bookmarkEnd w:id="762"/>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Residential Real Estate Held for Investment and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three-month periods ended June 30, 2026, and 2025 the Company recorded impairment losses on residential real estate held for sale </w:t>
      </w:r>
      <w:bookmarkStart w:id="763" w:name="xdx_90E_eus-gaap--AssetImpairmentCharges"/>
      <w:bookmarkEnd w:id="763"/>
      <w:r>
        <w:rPr>
          <w:rFonts w:ascii="Times New Roman;Times;Serif" w:hAnsi="Times New Roman;Times;Serif"/>
          <w:b w:val="false"/>
          <w:i w:val="false"/>
          <w:caps w:val="false"/>
          <w:smallCaps w:val="false"/>
          <w:sz w:val="20"/>
        </w:rPr>
        <w:t xml:space="preserve">nil and </w:t>
      </w:r>
      <w:bookmarkStart w:id="764" w:name="xdx_902_eus-gaap--AssetImpairmentCharges"/>
      <w:bookmarkEnd w:id="764"/>
      <w:r>
        <w:rPr>
          <w:rFonts w:ascii="Times New Roman;Times;Serif" w:hAnsi="Times New Roman;Times;Serif"/>
          <w:b w:val="false"/>
          <w:i w:val="false"/>
          <w:caps w:val="false"/>
          <w:smallCaps w:val="false"/>
          <w:sz w:val="20"/>
        </w:rPr>
        <w:t>nil, respectively, and of $</w:t>
      </w:r>
      <w:bookmarkStart w:id="765" w:name="xdx_901_eus-gaap--AssetImpairmentCharges"/>
      <w:bookmarkEnd w:id="765"/>
      <w:r>
        <w:rPr>
          <w:rFonts w:ascii="Times New Roman;Times;Serif" w:hAnsi="Times New Roman;Times;Serif"/>
          <w:b w:val="false"/>
          <w:i w:val="false"/>
          <w:caps w:val="false"/>
          <w:smallCaps w:val="false"/>
          <w:sz w:val="20"/>
        </w:rPr>
        <w:t xml:space="preserve">35,651 and </w:t>
      </w:r>
      <w:bookmarkStart w:id="766" w:name="xdx_90E_eus-gaap--AssetImpairmentCharges"/>
      <w:bookmarkEnd w:id="766"/>
      <w:r>
        <w:rPr>
          <w:rFonts w:ascii="Times New Roman;Times;Serif" w:hAnsi="Times New Roman;Times;Serif"/>
          <w:b w:val="false"/>
          <w:i w:val="false"/>
          <w:caps w:val="false"/>
          <w:smallCaps w:val="false"/>
          <w:sz w:val="20"/>
        </w:rPr>
        <w:t>nil during the six months ended June 30, 2026 and 2025, respectively. Impairment losses are included in gains (losses) on investment and other assets on the condensed consolidated statements of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 periods ended June 30, 2026, and 2025, the Company recorded depreciation expense on residential real estate held for investment of $</w:t>
      </w:r>
      <w:bookmarkStart w:id="767" w:name="xdx_907_eus-gaap--DepreciationDepletionA"/>
      <w:bookmarkEnd w:id="767"/>
      <w:r>
        <w:rPr>
          <w:rFonts w:ascii="Times New Roman;Times;Serif" w:hAnsi="Times New Roman;Times;Serif"/>
          <w:b w:val="false"/>
          <w:i w:val="false"/>
          <w:caps w:val="false"/>
          <w:smallCaps w:val="false"/>
          <w:sz w:val="20"/>
        </w:rPr>
        <w:t>2,718 and $</w:t>
      </w:r>
      <w:bookmarkStart w:id="768" w:name="xdx_90D_eus-gaap--DepreciationDepletionA"/>
      <w:bookmarkEnd w:id="768"/>
      <w:r>
        <w:rPr>
          <w:rFonts w:ascii="Times New Roman;Times;Serif" w:hAnsi="Times New Roman;Times;Serif"/>
          <w:b w:val="false"/>
          <w:i w:val="false"/>
          <w:caps w:val="false"/>
          <w:smallCaps w:val="false"/>
          <w:sz w:val="20"/>
        </w:rPr>
        <w:t>2,732, respectively, and of $</w:t>
      </w:r>
      <w:bookmarkStart w:id="769" w:name="xdx_905_eus-gaap--DepreciationDepletionA"/>
      <w:bookmarkEnd w:id="769"/>
      <w:r>
        <w:rPr>
          <w:rFonts w:ascii="Times New Roman;Times;Serif" w:hAnsi="Times New Roman;Times;Serif"/>
          <w:b w:val="false"/>
          <w:i w:val="false"/>
          <w:caps w:val="false"/>
          <w:smallCaps w:val="false"/>
          <w:sz w:val="20"/>
        </w:rPr>
        <w:t>5,436 and $</w:t>
      </w:r>
      <w:bookmarkStart w:id="770" w:name="xdx_906_eus-gaap--DepreciationDepletionA"/>
      <w:bookmarkEnd w:id="770"/>
      <w:r>
        <w:rPr>
          <w:rFonts w:ascii="Times New Roman;Times;Serif" w:hAnsi="Times New Roman;Times;Serif"/>
          <w:b w:val="false"/>
          <w:i w:val="false"/>
          <w:caps w:val="false"/>
          <w:smallCaps w:val="false"/>
          <w:sz w:val="20"/>
        </w:rPr>
        <w:t>5,408 during the six- month periods ended June 30, 2026 and 2025, respectively. Residential real estate held for investment is stated at cost and is depreciated over the estimated useful life, primarily using the straight-line method. Depreciation is included in net investment income on the condensed consolidated statements of earnings.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771" w:name="xdx_895_ecustom--ResidentialRealEstateIn"/>
      <w:bookmarkEnd w:id="771"/>
      <w:r>
        <w:rPr>
          <w:rFonts w:ascii="Times New Roman;Times;Serif" w:hAnsi="Times New Roman;Times;Serif"/>
          <w:b w:val="false"/>
          <w:i w:val="false"/>
          <w:caps w:val="false"/>
          <w:smallCaps w:val="false"/>
          <w:sz w:val="20"/>
        </w:rPr>
        <w:t>The Company’s residential real estate held for investment is summarized as follows as of the respective dates indicated:</w:t>
      </w:r>
    </w:p>
    <w:p>
      <w:pPr>
        <w:pStyle w:val="TextBody"/>
        <w:pBdr/>
        <w:bidi w:val="0"/>
        <w:spacing w:before="0" w:after="0"/>
        <w:ind w:left="0" w:right="0" w:hanging="0"/>
        <w:jc w:val="both"/>
        <w:rPr>
          <w:caps w:val="false"/>
          <w:smallCaps w:val="false"/>
        </w:rPr>
      </w:pPr>
      <w:r>
        <w:rPr>
          <w:caps w:val="false"/>
          <w:smallCaps w:val="false"/>
        </w:rPr>
        <w:t> </w:t>
      </w:r>
      <w:bookmarkStart w:id="772" w:name="xdx_8B6_zq4acEjXTtB4"/>
      <w:bookmarkEnd w:id="772"/>
      <w:r>
        <w:rPr>
          <w:rFonts w:ascii="Times New Roman;Times;Serif" w:hAnsi="Times New Roman;Times;Serif"/>
          <w:b w:val="false"/>
          <w:i w:val="false"/>
          <w:caps w:val="false"/>
          <w:smallCaps w:val="false"/>
          <w:sz w:val="20"/>
        </w:rPr>
        <w:t>Schedule of Residential Real Estate Investment</w:t>
      </w:r>
    </w:p>
    <w:tbl>
      <w:tblPr>
        <w:tblW w:w="3259" w:type="dxa"/>
        <w:jc w:val="left"/>
        <w:tblInd w:w="0" w:type="dxa"/>
        <w:tblLayout w:type="fixed"/>
        <w:tblCellMar>
          <w:top w:w="0" w:type="dxa"/>
          <w:left w:w="0" w:type="dxa"/>
          <w:bottom w:w="0" w:type="dxa"/>
          <w:right w:w="0" w:type="dxa"/>
        </w:tblCellMar>
      </w:tblPr>
      <w:tblGrid>
        <w:gridCol w:w="695"/>
        <w:gridCol w:w="60"/>
        <w:gridCol w:w="125"/>
        <w:gridCol w:w="1055"/>
        <w:gridCol w:w="60"/>
        <w:gridCol w:w="60"/>
        <w:gridCol w:w="131"/>
        <w:gridCol w:w="998"/>
        <w:gridCol w:w="75"/>
      </w:tblGrid>
      <w:tr>
        <w:trPr/>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Book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Utah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3" w:name="xdx_986_eus-gaap--RealEstateInvestmentPr"/>
            <w:bookmarkEnd w:id="773"/>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116,634,085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4" w:name="xdx_98A_eus-gaap--RealEstateInvestmentPr"/>
            <w:bookmarkEnd w:id="774"/>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93,638,938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5" w:name="xdx_98D_eus-gaap--RealEstateInvestmentPr"/>
            <w:bookmarkEnd w:id="775"/>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116,634,085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6" w:name="xdx_986_eus-gaap--RealEstateInvestmentPr"/>
            <w:bookmarkEnd w:id="776"/>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93,638,938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785" w:type="dxa"/>
        <w:jc w:val="left"/>
        <w:tblInd w:w="0" w:type="dxa"/>
        <w:tblLayout w:type="fixed"/>
        <w:tblCellMar>
          <w:top w:w="0" w:type="dxa"/>
          <w:left w:w="0" w:type="dxa"/>
          <w:bottom w:w="0" w:type="dxa"/>
          <w:right w:w="0" w:type="dxa"/>
        </w:tblCellMar>
      </w:tblPr>
      <w:tblGrid>
        <w:gridCol w:w="290"/>
        <w:gridCol w:w="8495"/>
      </w:tblGrid>
      <w:tr>
        <w:trPr/>
        <w:tc>
          <w:tcPr>
            <w:tcW w:w="290" w:type="dxa"/>
            <w:tcBorders/>
            <w:vAlign w:val="center"/>
          </w:tcPr>
          <w:p>
            <w:pPr>
              <w:pStyle w:val="TableContents"/>
              <w:bidi w:val="0"/>
              <w:spacing w:before="0" w:after="283"/>
              <w:jc w:val="both"/>
              <w:rPr/>
            </w:pPr>
            <w:bookmarkStart w:id="777" w:name="xdx_F07_zmSbr6ussUjh"/>
            <w:bookmarkEnd w:id="777"/>
            <w:r>
              <w:rPr/>
              <w:t>(1)</w:t>
            </w:r>
            <w:bookmarkStart w:id="778" w:name="xdx_F18_zgca8TmIyeg6"/>
            <w:bookmarkEnd w:id="778"/>
          </w:p>
        </w:tc>
        <w:tc>
          <w:tcPr>
            <w:tcW w:w="8495" w:type="dxa"/>
            <w:tcBorders/>
            <w:vAlign w:val="center"/>
          </w:tcPr>
          <w:p>
            <w:pPr>
              <w:pStyle w:val="TableContents"/>
              <w:bidi w:val="0"/>
              <w:spacing w:before="0" w:after="283"/>
              <w:jc w:val="both"/>
              <w:rPr/>
            </w:pPr>
            <w:r>
              <w:rPr/>
              <w:t>Includes multiple residential subdivision development projects, refer to the following table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invests in residential subdivision developments. The following table presents additional information regarding the Company’s residential subdivision development projects in Utah:</w:t>
      </w:r>
    </w:p>
    <w:p>
      <w:pPr>
        <w:pStyle w:val="TextBody"/>
        <w:pBdr/>
        <w:bidi w:val="0"/>
        <w:spacing w:before="0" w:after="0"/>
        <w:ind w:left="0" w:right="0" w:hanging="0"/>
        <w:jc w:val="both"/>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1745"/>
        <w:gridCol w:w="60"/>
        <w:gridCol w:w="125"/>
        <w:gridCol w:w="1055"/>
        <w:gridCol w:w="60"/>
        <w:gridCol w:w="60"/>
        <w:gridCol w:w="131"/>
        <w:gridCol w:w="998"/>
        <w:gridCol w:w="75"/>
      </w:tblGrid>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Lots developed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79" w:name="xdx_98B_ecustom--LotsAvailableForSale_c2"/>
            <w:bookmarkEnd w:id="779"/>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0" w:name="xdx_98F_ecustom--LotsAvailableForSale_c2"/>
            <w:bookmarkEnd w:id="780"/>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Lots to be developed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1" w:name="xdx_985_ecustom--LotsToBeDeveloped_c2026"/>
            <w:bookmarkEnd w:id="781"/>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2" w:name="xdx_98B_ecustom--LotsToBeDeveloped_c2025"/>
            <w:bookmarkEnd w:id="782"/>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3" w:name="xdx_989_eus-gaap--RealEstateInvestmentPr"/>
            <w:bookmarkEnd w:id="783"/>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116,475,338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4" w:name="xdx_981_eus-gaap--RealEstateInvestmentPr"/>
            <w:bookmarkEnd w:id="784"/>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93,474,755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real estate held for sale is summarized as follows as of the respective dates indicated:</w:t>
      </w:r>
    </w:p>
    <w:p>
      <w:pPr>
        <w:pStyle w:val="TextBody"/>
        <w:pBdr/>
        <w:bidi w:val="0"/>
        <w:spacing w:before="0" w:after="0"/>
        <w:ind w:left="0" w:right="0" w:hanging="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800"/>
        <w:gridCol w:w="60"/>
        <w:gridCol w:w="125"/>
        <w:gridCol w:w="845"/>
        <w:gridCol w:w="60"/>
        <w:gridCol w:w="60"/>
        <w:gridCol w:w="145"/>
        <w:gridCol w:w="984"/>
        <w:gridCol w:w="75"/>
      </w:tblGrid>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Book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Utah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5" w:name="xdx_984_eus-gaap--RealEstateHeldforsale_"/>
            <w:bookmarkEnd w:id="785"/>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5,456,806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6" w:name="xdx_980_eus-gaap--RealEstateHeldforsale_"/>
            <w:bookmarkEnd w:id="786"/>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5,456,806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Colorado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7" w:name="xdx_98A_eus-gaap--RealEstateHeldforsale_"/>
            <w:bookmarkEnd w:id="78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8" w:name="xdx_983_eus-gaap--RealEstateHeldforsale_"/>
            <w:bookmarkEnd w:id="788"/>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9" w:name="xdx_985_eus-gaap--RealEstateHeldforsale_"/>
            <w:bookmarkEnd w:id="78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0" w:name="xdx_98B_eus-gaap--RealEstateHeldforsale_"/>
            <w:bookmarkEnd w:id="790"/>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1" w:name="xdx_983_eus-gaap--RealEstateHeldforsale_"/>
            <w:bookmarkEnd w:id="791"/>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2" w:name="xdx_984_eus-gaap--RealEstateHeldforsale_"/>
            <w:bookmarkEnd w:id="792"/>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Hawaii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3" w:name="xdx_98C_eus-gaap--RealEstateHeldforsale_"/>
            <w:bookmarkEnd w:id="793"/>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4" w:name="xdx_98A_eus-gaap--RealEstateHeldforsale_"/>
            <w:bookmarkEnd w:id="794"/>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95" w:name="xdx_987_eus-gaap--RealEstateHeldforsale_"/>
            <w:bookmarkEnd w:id="795"/>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96" w:name="xdx_981_eus-gaap--RealEstateHeldforsale_"/>
            <w:bookmarkEnd w:id="796"/>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97" w:name="xdx_98F_eus-gaap--RealEstateHeldforsale_"/>
            <w:bookmarkEnd w:id="797"/>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6,345,029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98" w:name="xdx_98D_eus-gaap--RealEstateHeldforsale_"/>
            <w:bookmarkEnd w:id="798"/>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6,272,474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bookmarkStart w:id="799" w:name="xdx_8AE_zbRwrhMS2Weh"/>
      <w:bookmarkEnd w:id="79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book value of foreclosed residential real estate included in residential real estate held for sale was $</w:t>
      </w:r>
      <w:bookmarkStart w:id="800" w:name="xdx_90F_eus-gaap--RealEstateAcquiredThro"/>
      <w:bookmarkEnd w:id="800"/>
      <w:r>
        <w:rPr>
          <w:rFonts w:ascii="Times New Roman;Times;Serif" w:hAnsi="Times New Roman;Times;Serif"/>
          <w:b w:val="false"/>
          <w:i w:val="false"/>
          <w:caps w:val="false"/>
          <w:smallCaps w:val="false"/>
          <w:sz w:val="20"/>
        </w:rPr>
        <w:t>1,343,223 and $</w:t>
      </w:r>
      <w:bookmarkStart w:id="801" w:name="xdx_90A_eus-gaap--RealEstateAcquiredThro"/>
      <w:bookmarkEnd w:id="801"/>
      <w:r>
        <w:rPr>
          <w:rFonts w:ascii="Times New Roman;Times;Serif" w:hAnsi="Times New Roman;Times;Serif"/>
          <w:b w:val="false"/>
          <w:i w:val="false"/>
          <w:caps w:val="false"/>
          <w:smallCaps w:val="false"/>
          <w:sz w:val="20"/>
        </w:rPr>
        <w:t>1,270,669 as of June 30, 2026, and December 31, 2025, respectively.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Mortgage Loans Held for Investment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Mortgage loans held for investment consist of first and second mortgages and are generally classified into three distinct groups: Commercial, Residential and Residential Construction. These mortgage loans bear interest at rates ranging from </w:t>
      </w:r>
      <w:bookmarkStart w:id="802" w:name="xdx_900_eus-gaap--DebtInstrumentInterest"/>
      <w:bookmarkEnd w:id="802"/>
      <w:r>
        <w:rPr>
          <w:rFonts w:ascii="Times New Roman;Times;Serif" w:hAnsi="Times New Roman;Times;Serif"/>
          <w:b w:val="false"/>
          <w:i w:val="false"/>
          <w:caps w:val="false"/>
          <w:smallCaps w:val="false"/>
          <w:sz w:val="20"/>
        </w:rPr>
        <w:t xml:space="preserve">2.0% to </w:t>
      </w:r>
      <w:bookmarkStart w:id="803" w:name="xdx_906_eus-gaap--DebtInstrumentInterest"/>
      <w:bookmarkEnd w:id="803"/>
      <w:r>
        <w:rPr>
          <w:rFonts w:ascii="Times New Roman;Times;Serif" w:hAnsi="Times New Roman;Times;Serif"/>
          <w:b w:val="false"/>
          <w:i w:val="false"/>
          <w:caps w:val="false"/>
          <w:smallCaps w:val="false"/>
          <w:sz w:val="20"/>
        </w:rPr>
        <w:t xml:space="preserve">10.5%; maturity dates range from </w:t>
      </w:r>
      <w:bookmarkStart w:id="804" w:name="xdx_903_eus-gaap--DebtInstrumentTerm_dc_"/>
      <w:bookmarkEnd w:id="804"/>
      <w:r>
        <w:rPr>
          <w:rFonts w:ascii="Times New Roman;Times;Serif" w:hAnsi="Times New Roman;Times;Serif"/>
          <w:b w:val="false"/>
          <w:i w:val="false"/>
          <w:caps w:val="false"/>
          <w:smallCaps w:val="false"/>
          <w:sz w:val="20"/>
        </w:rPr>
        <w:t xml:space="preserve">nine months to </w:t>
      </w:r>
      <w:bookmarkStart w:id="805" w:name="xdx_90B_eus-gaap--DebtInstrumentTerm_dtY"/>
      <w:bookmarkEnd w:id="805"/>
      <w:r>
        <w:rPr>
          <w:rFonts w:ascii="Times New Roman;Times;Serif" w:hAnsi="Times New Roman;Times;Serif"/>
          <w:b w:val="false"/>
          <w:i w:val="false"/>
          <w:caps w:val="false"/>
          <w:smallCaps w:val="false"/>
          <w:sz w:val="20"/>
        </w:rPr>
        <w:t xml:space="preserve">30 years and have amortization periods of </w:t>
      </w:r>
      <w:bookmarkStart w:id="806" w:name="xdx_902_ecustom--MortgageLoansAmortizati"/>
      <w:bookmarkEnd w:id="806"/>
      <w:r>
        <w:rPr>
          <w:rFonts w:ascii="Times New Roman;Times;Serif" w:hAnsi="Times New Roman;Times;Serif"/>
          <w:b w:val="false"/>
          <w:i w:val="false"/>
          <w:caps w:val="false"/>
          <w:smallCaps w:val="false"/>
          <w:sz w:val="20"/>
        </w:rPr>
        <w:t xml:space="preserve">0 to </w:t>
      </w:r>
      <w:bookmarkStart w:id="807" w:name="xdx_90C_ecustom--MortgageLoansAmortizati"/>
      <w:bookmarkEnd w:id="807"/>
      <w:r>
        <w:rPr>
          <w:rFonts w:ascii="Times New Roman;Times;Serif" w:hAnsi="Times New Roman;Times;Serif"/>
          <w:b w:val="false"/>
          <w:i w:val="false"/>
          <w:caps w:val="false"/>
          <w:smallCaps w:val="false"/>
          <w:sz w:val="20"/>
        </w:rPr>
        <w:t>30 years.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808" w:name="xdx_891_eus-gaap--ScheduleOfParticipatin"/>
      <w:bookmarkEnd w:id="808"/>
      <w:r>
        <w:rPr>
          <w:rFonts w:ascii="Times New Roman;Times;Serif" w:hAnsi="Times New Roman;Times;Serif"/>
          <w:b w:val="false"/>
          <w:i w:val="false"/>
          <w:caps w:val="false"/>
          <w:smallCaps w:val="false"/>
          <w:sz w:val="20"/>
        </w:rPr>
        <w:t>The following table presents the distribution of the Company’s mortgage loans held for investment across the various states.</w:t>
      </w:r>
    </w:p>
    <w:p>
      <w:pPr>
        <w:pStyle w:val="TextBody"/>
        <w:pBdr/>
        <w:bidi w:val="0"/>
        <w:spacing w:before="0" w:after="0"/>
        <w:ind w:left="0" w:right="0" w:hanging="0"/>
        <w:jc w:val="both"/>
        <w:rPr>
          <w:caps w:val="false"/>
          <w:smallCaps w:val="false"/>
        </w:rPr>
      </w:pPr>
      <w:r>
        <w:rPr>
          <w:caps w:val="false"/>
          <w:smallCaps w:val="false"/>
        </w:rPr>
        <w:t> </w:t>
      </w:r>
      <w:bookmarkStart w:id="809" w:name="xdx_8B6_zpVWzrBRrYs9"/>
      <w:bookmarkEnd w:id="809"/>
      <w:r>
        <w:rPr>
          <w:rFonts w:ascii="Times New Roman;Times;Serif" w:hAnsi="Times New Roman;Times;Serif"/>
          <w:b w:val="false"/>
          <w:i w:val="false"/>
          <w:caps w:val="false"/>
          <w:smallCaps w:val="false"/>
          <w:sz w:val="20"/>
        </w:rPr>
        <w:t>Schedule of Mortgage Loans Held for Investment</w:t>
      </w:r>
    </w:p>
    <w:tbl>
      <w:tblPr>
        <w:tblW w:w="8774" w:type="dxa"/>
        <w:jc w:val="left"/>
        <w:tblInd w:w="0" w:type="dxa"/>
        <w:tblLayout w:type="fixed"/>
        <w:tblCellMar>
          <w:top w:w="0" w:type="dxa"/>
          <w:left w:w="0" w:type="dxa"/>
          <w:bottom w:w="0" w:type="dxa"/>
          <w:right w:w="0" w:type="dxa"/>
        </w:tblCellMar>
      </w:tblPr>
      <w:tblGrid>
        <w:gridCol w:w="2555"/>
        <w:gridCol w:w="60"/>
        <w:gridCol w:w="160"/>
        <w:gridCol w:w="1015"/>
        <w:gridCol w:w="215"/>
        <w:gridCol w:w="60"/>
        <w:gridCol w:w="145"/>
        <w:gridCol w:w="925"/>
        <w:gridCol w:w="215"/>
        <w:gridCol w:w="60"/>
        <w:gridCol w:w="318"/>
        <w:gridCol w:w="2026"/>
        <w:gridCol w:w="215"/>
        <w:gridCol w:w="60"/>
        <w:gridCol w:w="70"/>
        <w:gridCol w:w="445"/>
        <w:gridCol w:w="23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0" w:name="xdx_4B9_us-gaap--FinancialInstrumentAxis"/>
            <w:bookmarkEnd w:id="810"/>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Commercial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1" w:name="xdx_4BA_us-gaap--FinancialInstrumentAxis"/>
            <w:bookmarkEnd w:id="811"/>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2" w:name="xdx_4BA_us-gaap--FinancialInstrumentAxis"/>
            <w:bookmarkEnd w:id="812"/>
          </w:p>
        </w:tc>
        <w:tc>
          <w:tcPr>
            <w:tcW w:w="2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 Construction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3" w:name="xdx_4B7_zO7G5IF4xbaf"/>
            <w:bookmarkEnd w:id="813"/>
          </w:p>
        </w:tc>
        <w:tc>
          <w:tcPr>
            <w:tcW w:w="5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23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30,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814" w:name="xdx_43B_c20260630__srt--StatementGeograp"/>
            <w:bookmarkEnd w:id="814"/>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Utah</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5" w:name="xdx_43E_c20260630__srt--StatementGeograp"/>
            <w:bookmarkEnd w:id="815"/>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Florida</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6" w:name="xdx_43E_c20260630__srt--StatementGeograp"/>
            <w:bookmarkEnd w:id="816"/>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California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7" w:name="xdx_437_c20260630__srt--StatementGeograp"/>
            <w:bookmarkEnd w:id="817"/>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Texas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8" w:name="xdx_439_c20260630__srt--StatementGeograp"/>
            <w:bookmarkEnd w:id="818"/>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Arizona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9" w:name="xdx_436_c20260630__srt--StatementGeograp"/>
            <w:bookmarkEnd w:id="819"/>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states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0" w:name="xdx_434_c20260630_ecustom--MortgageLoans"/>
            <w:bookmarkEnd w:id="820"/>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821" w:name="xdx_431_c20251231__srt--StatementGeograp"/>
            <w:bookmarkEnd w:id="821"/>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Utah</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2" w:name="xdx_436_c20251231__srt--StatementGeograp"/>
            <w:bookmarkEnd w:id="822"/>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Florida</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3" w:name="xdx_43F_c20251231__srt--StatementGeograp"/>
            <w:bookmarkEnd w:id="823"/>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California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4" w:name="xdx_430_c20251231__srt--StatementGeograp"/>
            <w:bookmarkEnd w:id="824"/>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Texas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5" w:name="xdx_435_c20251231__srt--StatementGeograp"/>
            <w:bookmarkEnd w:id="825"/>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Arizona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6" w:name="xdx_438_c20251231__srt--StatementGeograp"/>
            <w:bookmarkEnd w:id="826"/>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states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7" w:name="xdx_433_c20251231_ecustom--MortgageLoans"/>
            <w:bookmarkEnd w:id="827"/>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828" w:name="xdx_8AF_z5SLpCdgikL5"/>
      <w:bookmarkEnd w:id="82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Mortgage loans are secured by the underlying property and require an appraisal at the time of underwriting and funding. Generally, the Company requires that loans not exceed 80% of the fair market value of the respective loan collateral. Loans that exceed 80% of the fair market value of the respective loan collateral require additional collateral or mortgage insurance by an approved third-party insurer. </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Allowance for Credit Losses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mortgage loan is past due 90 days, it is the policy of the Company to end the accrual of interest income on the loan and reverse any interest income that had been accrued and the fair value is reassessed. Accrual of interest resumes if a mortgage loan is brought current. Given this policy, the Company does not measure a credit loss allowance on accrued interest receivable, which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Interest income not accrued on these loans totaled approximately $</w:t>
      </w:r>
      <w:bookmarkStart w:id="829" w:name="xdx_906_ecustom--InterestNotAccruedOnNon"/>
      <w:bookmarkEnd w:id="829"/>
      <w:r>
        <w:rPr>
          <w:rFonts w:ascii="Times New Roman;Times;Serif" w:hAnsi="Times New Roman;Times;Serif"/>
          <w:b w:val="false"/>
          <w:i w:val="false"/>
          <w:caps w:val="false"/>
          <w:smallCaps w:val="false"/>
          <w:sz w:val="20"/>
        </w:rPr>
        <w:t>603,912 and $</w:t>
      </w:r>
      <w:bookmarkStart w:id="830" w:name="xdx_905_ecustom--InterestNotAccruedOnNon"/>
      <w:bookmarkEnd w:id="830"/>
      <w:r>
        <w:rPr>
          <w:rFonts w:ascii="Times New Roman;Times;Serif" w:hAnsi="Times New Roman;Times;Serif"/>
          <w:b w:val="false"/>
          <w:i w:val="false"/>
          <w:caps w:val="false"/>
          <w:smallCaps w:val="false"/>
          <w:sz w:val="20"/>
        </w:rPr>
        <w:t>1,042,325 as of June 30,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expected credit losses based on the fair value of the collateral when the Company determines that foreclosure is probable. When a mortgage loan becomes delinquent, the Company proceeds to foreclose. Once foreclosed, the property is classified as real estate held for investment or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allowance for credit losses, the Company has segmented its mortgage loans held for investment into the following loan types: commercial, residential, and residential construction. The inherent risks within each loan type vary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Commercial</w:t>
      </w:r>
      <w:r>
        <w:rPr>
          <w:rFonts w:ascii="Times New Roman;Times;Serif" w:hAnsi="Times New Roman;Times;Serif"/>
          <w:b w:val="false"/>
          <w:i w:val="false"/>
          <w:caps w:val="false"/>
          <w:smallCaps w:val="false"/>
          <w:sz w:val="20"/>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Residential</w:t>
      </w:r>
      <w:r>
        <w:rPr>
          <w:rFonts w:ascii="Times New Roman;Times;Serif" w:hAnsi="Times New Roman;Times;Serif"/>
          <w:b w:val="false"/>
          <w:i w:val="false"/>
          <w:caps w:val="false"/>
          <w:smallCaps w:val="false"/>
          <w:sz w:val="20"/>
        </w:rPr>
        <w:t xml:space="preserve"> — These loans are secured by first and second mortgages on single-family dwellings. The borrower’s ability to repay is sensitive to life events and the general economic condition of the region. Where LTV exceeds 80%, the loan is generally guaranteed by private mortgage insurance, the FHA, or VA.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LTV, payment status, age, and current property values. Analyzing the information from various sources allows the Company to arrive at an allowance for credit losses.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Residential construction (including land acquisition and development loans)</w:t>
      </w:r>
      <w:r>
        <w:rPr>
          <w:rFonts w:ascii="Times New Roman;Times;Serif" w:hAnsi="Times New Roman;Times;Serif"/>
          <w:b w:val="false"/>
          <w:i w:val="false"/>
          <w:caps w:val="false"/>
          <w:smallCaps w:val="false"/>
          <w:sz w:val="20"/>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commitments to fund existing construction and land development loans pursuant to the various loan agreements. As of June 30, 2026, the Company’s commitments were approximately $</w:t>
      </w:r>
      <w:bookmarkStart w:id="831" w:name="xdx_906_eus-gaap--OtherCommitment_iI_c20"/>
      <w:bookmarkEnd w:id="831"/>
      <w:r>
        <w:rPr>
          <w:rFonts w:ascii="Times New Roman;Times;Serif" w:hAnsi="Times New Roman;Times;Serif"/>
          <w:b w:val="false"/>
          <w:i w:val="false"/>
          <w:caps w:val="false"/>
          <w:smallCaps w:val="false"/>
          <w:sz w:val="20"/>
        </w:rPr>
        <w:t>191,479,678 for these loans, of which $</w:t>
      </w:r>
      <w:bookmarkStart w:id="832" w:name="xdx_909_eus-gaap--LoansPayable_iI_c20260"/>
      <w:bookmarkEnd w:id="832"/>
      <w:r>
        <w:rPr>
          <w:rFonts w:ascii="Times New Roman;Times;Serif" w:hAnsi="Times New Roman;Times;Serif"/>
          <w:b w:val="false"/>
          <w:i w:val="false"/>
          <w:caps w:val="false"/>
          <w:smallCaps w:val="false"/>
          <w:sz w:val="20"/>
        </w:rPr>
        <w:t xml:space="preserve">144,527,863 had been funded. The Company advances funds in accordance with the loan agreements once the work has been completed, and an independent inspection is made. The maximum loan commitment ranges between </w:t>
      </w:r>
      <w:bookmarkStart w:id="833" w:name="xdx_903_ecustom--LoanCommitmentRanges_iI"/>
      <w:bookmarkEnd w:id="833"/>
      <w:r>
        <w:rPr>
          <w:rFonts w:ascii="Times New Roman;Times;Serif" w:hAnsi="Times New Roman;Times;Serif"/>
          <w:b w:val="false"/>
          <w:i w:val="false"/>
          <w:caps w:val="false"/>
          <w:smallCaps w:val="false"/>
          <w:sz w:val="20"/>
        </w:rPr>
        <w:t xml:space="preserve">50% and </w:t>
      </w:r>
      <w:bookmarkStart w:id="834" w:name="xdx_905_ecustom--LoanCommitmentRanges_iI"/>
      <w:bookmarkEnd w:id="834"/>
      <w:r>
        <w:rPr>
          <w:rFonts w:ascii="Times New Roman;Times;Serif" w:hAnsi="Times New Roman;Times;Serif"/>
          <w:b w:val="false"/>
          <w:i w:val="false"/>
          <w:caps w:val="false"/>
          <w:smallCaps w:val="false"/>
          <w:sz w:val="20"/>
        </w:rPr>
        <w:t xml:space="preserve">85% of the appraised value. The Company receives fees and interest for these loans, and the interest rate is generally fixed at </w:t>
      </w:r>
      <w:bookmarkStart w:id="835" w:name="xdx_906_eus-gaap--DebtInstrumentInterest"/>
      <w:bookmarkEnd w:id="835"/>
      <w:r>
        <w:rPr>
          <w:rFonts w:ascii="Times New Roman;Times;Serif" w:hAnsi="Times New Roman;Times;Serif"/>
          <w:b w:val="false"/>
          <w:i w:val="false"/>
          <w:caps w:val="false"/>
          <w:smallCaps w:val="false"/>
          <w:sz w:val="20"/>
        </w:rPr>
        <w:t xml:space="preserve">5.25% to </w:t>
      </w:r>
      <w:bookmarkStart w:id="836" w:name="xdx_90A_eus-gaap--DebtInstrumentInterest"/>
      <w:bookmarkEnd w:id="836"/>
      <w:r>
        <w:rPr>
          <w:rFonts w:ascii="Times New Roman;Times;Serif" w:hAnsi="Times New Roman;Times;Serif"/>
          <w:b w:val="false"/>
          <w:i w:val="false"/>
          <w:caps w:val="false"/>
          <w:smallCaps w:val="false"/>
          <w:sz w:val="20"/>
        </w:rPr>
        <w:t>8.50% per annum. Maturities range between six and eighteen months.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 mortgage loans are evaluated for credit loss by considering historical activity and current housing market trends to arrive at a per loan basis point allowance that is recognized at loan origination and subsequent draws. The per loan basis point is reviewed at least annually or as loan losses or market trends require.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837" w:name="xdx_892_ecustom--ScheduleOfAllowanceForL"/>
      <w:bookmarkEnd w:id="837"/>
      <w:r>
        <w:rPr>
          <w:rFonts w:ascii="Times New Roman;Times;Serif" w:hAnsi="Times New Roman;Times;Serif"/>
          <w:b w:val="false"/>
          <w:i w:val="false"/>
          <w:caps w:val="false"/>
          <w:smallCaps w:val="false"/>
          <w:sz w:val="20"/>
        </w:rPr>
        <w:t>The following table presents a roll forward of the allowance for credit losses as of the dates indicated:</w:t>
      </w:r>
    </w:p>
    <w:p>
      <w:pPr>
        <w:pStyle w:val="TextBody"/>
        <w:pBdr/>
        <w:bidi w:val="0"/>
        <w:spacing w:before="0" w:after="0"/>
        <w:ind w:left="0" w:right="0" w:hanging="0"/>
        <w:jc w:val="both"/>
        <w:rPr>
          <w:caps w:val="false"/>
          <w:smallCaps w:val="false"/>
        </w:rPr>
      </w:pPr>
      <w:r>
        <w:rPr>
          <w:caps w:val="false"/>
          <w:smallCaps w:val="false"/>
        </w:rPr>
        <w:t> </w:t>
      </w:r>
      <w:bookmarkStart w:id="838" w:name="xdx_8BA_zhgPy2024Qy4"/>
      <w:bookmarkEnd w:id="838"/>
      <w:r>
        <w:rPr>
          <w:rFonts w:ascii="Times New Roman;Times;Serif" w:hAnsi="Times New Roman;Times;Serif"/>
          <w:b w:val="false"/>
          <w:i w:val="false"/>
          <w:caps w:val="false"/>
          <w:smallCaps w:val="false"/>
          <w:sz w:val="20"/>
        </w:rPr>
        <w:t>Schedule of Allowance for Loan Losses</w:t>
      </w:r>
    </w:p>
    <w:tbl>
      <w:tblPr>
        <w:tblW w:w="10174" w:type="dxa"/>
        <w:jc w:val="left"/>
        <w:tblInd w:w="0" w:type="dxa"/>
        <w:tblLayout w:type="fixed"/>
        <w:tblCellMar>
          <w:top w:w="0" w:type="dxa"/>
          <w:left w:w="0" w:type="dxa"/>
          <w:bottom w:w="0" w:type="dxa"/>
          <w:right w:w="0" w:type="dxa"/>
        </w:tblCellMar>
      </w:tblPr>
      <w:tblGrid>
        <w:gridCol w:w="3815"/>
        <w:gridCol w:w="60"/>
        <w:gridCol w:w="146"/>
        <w:gridCol w:w="1029"/>
        <w:gridCol w:w="95"/>
        <w:gridCol w:w="60"/>
        <w:gridCol w:w="140"/>
        <w:gridCol w:w="980"/>
        <w:gridCol w:w="60"/>
        <w:gridCol w:w="60"/>
        <w:gridCol w:w="347"/>
        <w:gridCol w:w="1997"/>
        <w:gridCol w:w="95"/>
        <w:gridCol w:w="60"/>
        <w:gridCol w:w="140"/>
        <w:gridCol w:w="980"/>
        <w:gridCol w:w="11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8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 Construction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March 31,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39" w:name="xdx_98A_eus-gaap--FinancingReceivableAll"/>
            <w:bookmarkEnd w:id="839"/>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1,322,084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0" w:name="xdx_986_eus-gaap--FinancingReceivableAll"/>
            <w:bookmarkEnd w:id="84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1" w:name="xdx_98E_eus-gaap--FinancingReceivableAll"/>
            <w:bookmarkEnd w:id="841"/>
          </w:p>
        </w:tc>
        <w:tc>
          <w:tcPr>
            <w:tcW w:w="1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2" w:name="xdx_987_eus-gaap--FinancingReceivableAll"/>
            <w:bookmarkEnd w:id="84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2,553,360</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843" w:name="xdx_988_ecustom--AllowanceForCreditLosse"/>
            <w:bookmarkEnd w:id="843"/>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(393,653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44" w:name="xdx_98D_ecustom--AllowanceForCreditLosse"/>
            <w:bookmarkEnd w:id="84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bookmarkStart w:id="845" w:name="xdx_986_ecustom--AllowanceForCreditLosse"/>
            <w:bookmarkEnd w:id="845"/>
          </w:p>
        </w:tc>
        <w:tc>
          <w:tcPr>
            <w:tcW w:w="1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46" w:name="xdx_988_ecustom--AllowanceForCreditLosse"/>
            <w:bookmarkEnd w:id="84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7" w:name="xdx_98C_ecustom--AllowanceForCreditLosse"/>
            <w:bookmarkEnd w:id="847"/>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8" w:name="xdx_987_ecustom--AllowanceForCreditLosse"/>
            <w:bookmarkEnd w:id="84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9" w:name="xdx_98A_ecustom--AllowanceForCreditLosse"/>
            <w:bookmarkEnd w:id="849"/>
          </w:p>
        </w:tc>
        <w:tc>
          <w:tcPr>
            <w:tcW w:w="1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0" w:name="xdx_98B_ecustom--AllowanceForCreditLosse"/>
            <w:bookmarkEnd w:id="85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(172,398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2026</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1" w:name="xdx_98F_eus-gaap--FinancingReceivableAll"/>
            <w:bookmarkEnd w:id="851"/>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2" w:name="xdx_988_eus-gaap--FinancingReceivableAll"/>
            <w:bookmarkEnd w:id="85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3" w:name="xdx_985_eus-gaap--FinancingReceivableAll"/>
            <w:bookmarkEnd w:id="853"/>
          </w:p>
        </w:tc>
        <w:tc>
          <w:tcPr>
            <w:tcW w:w="19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4" w:name="xdx_988_eus-gaap--FinancingReceivableAll"/>
            <w:bookmarkEnd w:id="85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2,255,193</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1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March 31,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5" w:name="xdx_982_eus-gaap--FinancingReceivableAll"/>
            <w:bookmarkEnd w:id="855"/>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6" w:name="xdx_98E_eus-gaap--FinancingReceivableAll"/>
            <w:bookmarkEnd w:id="85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7" w:name="xdx_98C_eus-gaap--FinancingReceivableAll"/>
            <w:bookmarkEnd w:id="857"/>
          </w:p>
        </w:tc>
        <w:tc>
          <w:tcPr>
            <w:tcW w:w="1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8" w:name="xdx_985_eus-gaap--FinancingReceivableAll"/>
            <w:bookmarkEnd w:id="85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2,008,592</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859" w:name="xdx_98C_ecustom--AllowanceForCreditLosse"/>
            <w:bookmarkEnd w:id="859"/>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60" w:name="xdx_98D_ecustom--AllowanceForCreditLosse"/>
            <w:bookmarkEnd w:id="86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bookmarkStart w:id="861" w:name="xdx_98F_ecustom--AllowanceForCreditLosse"/>
            <w:bookmarkEnd w:id="861"/>
          </w:p>
        </w:tc>
        <w:tc>
          <w:tcPr>
            <w:tcW w:w="1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62" w:name="xdx_986_ecustom--AllowanceForCreditLosse"/>
            <w:bookmarkEnd w:id="86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632,152</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3" w:name="xdx_98B_ecustom--AllowanceForCreditLosse"/>
            <w:bookmarkEnd w:id="863"/>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4" w:name="xdx_98B_ecustom--AllowanceForCreditLosse"/>
            <w:bookmarkEnd w:id="86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5" w:name="xdx_980_ecustom--AllowanceForCreditLosse"/>
            <w:bookmarkEnd w:id="865"/>
          </w:p>
        </w:tc>
        <w:tc>
          <w:tcPr>
            <w:tcW w:w="1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6" w:name="xdx_984_ecustom--AllowanceForCreditLosse"/>
            <w:bookmarkEnd w:id="86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2025</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7" w:name="xdx_98E_eus-gaap--FinancingReceivableAll"/>
            <w:bookmarkEnd w:id="867"/>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8" w:name="xdx_98A_eus-gaap--FinancingReceivableAll"/>
            <w:bookmarkEnd w:id="86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9" w:name="xdx_98E_eus-gaap--FinancingReceivableAll"/>
            <w:bookmarkEnd w:id="869"/>
          </w:p>
        </w:tc>
        <w:tc>
          <w:tcPr>
            <w:tcW w:w="19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0" w:name="xdx_98F_eus-gaap--FinancingReceivableAll"/>
            <w:bookmarkEnd w:id="87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2,640,744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930" w:type="dxa"/>
        <w:jc w:val="left"/>
        <w:tblInd w:w="0" w:type="dxa"/>
        <w:tblLayout w:type="fixed"/>
        <w:tblCellMar>
          <w:top w:w="0" w:type="dxa"/>
          <w:left w:w="0" w:type="dxa"/>
          <w:bottom w:w="0" w:type="dxa"/>
          <w:right w:w="0" w:type="dxa"/>
        </w:tblCellMar>
      </w:tblPr>
      <w:tblGrid>
        <w:gridCol w:w="290"/>
        <w:gridCol w:w="7640"/>
      </w:tblGrid>
      <w:tr>
        <w:trPr/>
        <w:tc>
          <w:tcPr>
            <w:tcW w:w="290" w:type="dxa"/>
            <w:tcBorders/>
            <w:vAlign w:val="center"/>
          </w:tcPr>
          <w:p>
            <w:pPr>
              <w:pStyle w:val="TableContents"/>
              <w:bidi w:val="0"/>
              <w:spacing w:before="0" w:after="283"/>
              <w:jc w:val="both"/>
              <w:rPr/>
            </w:pPr>
            <w:bookmarkStart w:id="871" w:name="xdx_F0E_z7OYXE9gLGDb"/>
            <w:bookmarkEnd w:id="871"/>
            <w:r>
              <w:rPr/>
              <w:t>(1)</w:t>
            </w:r>
            <w:bookmarkStart w:id="872" w:name="xdx_F10_zAguimx99bFj"/>
            <w:bookmarkEnd w:id="872"/>
          </w:p>
        </w:tc>
        <w:tc>
          <w:tcPr>
            <w:tcW w:w="7640" w:type="dxa"/>
            <w:tcBorders/>
            <w:vAlign w:val="center"/>
          </w:tcPr>
          <w:p>
            <w:pPr>
              <w:pStyle w:val="TableContents"/>
              <w:bidi w:val="0"/>
              <w:spacing w:before="0" w:after="283"/>
              <w:jc w:val="both"/>
              <w:rPr/>
            </w:pPr>
            <w:r>
              <w:rPr/>
              <w:t>Included in other expenses on the condensed consolidated statements of earnings</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4"/>
        <w:gridCol w:w="60"/>
        <w:gridCol w:w="146"/>
        <w:gridCol w:w="1029"/>
        <w:gridCol w:w="95"/>
        <w:gridCol w:w="60"/>
        <w:gridCol w:w="140"/>
        <w:gridCol w:w="980"/>
        <w:gridCol w:w="60"/>
        <w:gridCol w:w="60"/>
        <w:gridCol w:w="345"/>
        <w:gridCol w:w="1989"/>
        <w:gridCol w:w="95"/>
        <w:gridCol w:w="60"/>
        <w:gridCol w:w="140"/>
        <w:gridCol w:w="980"/>
        <w:gridCol w:w="112"/>
      </w:tblGrid>
      <w:tr>
        <w:trPr/>
        <w:tc>
          <w:tcPr>
            <w:tcW w:w="3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7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w:t>
            </w:r>
          </w:p>
        </w:tc>
        <w:tc>
          <w:tcPr>
            <w:tcW w:w="112" w:type="dxa"/>
            <w:tcBorders/>
            <w:vAlign w:val="center"/>
          </w:tcPr>
          <w:p>
            <w:pPr>
              <w:pStyle w:val="TableContents"/>
              <w:bidi w:val="0"/>
              <w:spacing w:before="0" w:after="283"/>
              <w:jc w:val="left"/>
              <w:rPr/>
            </w:pPr>
            <w:r>
              <w:rPr/>
              <w:t> </w:t>
            </w:r>
          </w:p>
        </w:tc>
      </w:tr>
      <w:tr>
        <w:trPr/>
        <w:tc>
          <w:tcPr>
            <w:tcW w:w="3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 Construction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2" w:type="dxa"/>
            <w:tcBorders/>
            <w:vAlign w:val="center"/>
          </w:tcPr>
          <w:p>
            <w:pPr>
              <w:pStyle w:val="TableContents"/>
              <w:bidi w:val="0"/>
              <w:spacing w:before="0" w:after="283"/>
              <w:jc w:val="left"/>
              <w:rPr/>
            </w:pPr>
            <w:r>
              <w:rPr/>
              <w:t> </w:t>
            </w:r>
          </w:p>
        </w:tc>
      </w:tr>
      <w:tr>
        <w:trPr/>
        <w:tc>
          <w:tcPr>
            <w:tcW w:w="38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3" w:name="xdx_983_eus-gaap--FinancingReceivableAll"/>
            <w:bookmarkEnd w:id="873"/>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4" w:name="xdx_980_eus-gaap--FinancingReceivableAll"/>
            <w:bookmarkEnd w:id="87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5" w:name="xdx_986_eus-gaap--FinancingReceivableAll"/>
            <w:bookmarkEnd w:id="875"/>
          </w:p>
        </w:tc>
        <w:tc>
          <w:tcPr>
            <w:tcW w:w="1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6" w:name="xdx_987_eus-gaap--FinancingReceivableAll"/>
            <w:bookmarkEnd w:id="87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2,588,918</w:t>
            </w:r>
          </w:p>
        </w:tc>
        <w:tc>
          <w:tcPr>
            <w:tcW w:w="112" w:type="dxa"/>
            <w:tcBorders/>
            <w:shd w:fill="CCEEFF" w:val="clear"/>
            <w:vAlign w:val="center"/>
          </w:tcPr>
          <w:p>
            <w:pPr>
              <w:pStyle w:val="TableContents"/>
              <w:bidi w:val="0"/>
              <w:spacing w:before="0" w:after="283"/>
              <w:jc w:val="left"/>
              <w:rPr/>
            </w:pPr>
            <w:r>
              <w:rPr/>
              <w:t> </w:t>
            </w:r>
          </w:p>
        </w:tc>
      </w:tr>
      <w:tr>
        <w:trPr/>
        <w:tc>
          <w:tcPr>
            <w:tcW w:w="38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877" w:name="xdx_988_ecustom--AllowanceForCreditLosse"/>
            <w:bookmarkEnd w:id="877"/>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8" w:name="xdx_982_ecustom--AllowanceForCreditLosse"/>
            <w:bookmarkEnd w:id="87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879" w:name="xdx_987_ecustom--AllowanceForCreditLosse"/>
            <w:bookmarkEnd w:id="879"/>
          </w:p>
        </w:tc>
        <w:tc>
          <w:tcPr>
            <w:tcW w:w="1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0" w:name="xdx_983_ecustom--AllowanceForCreditLosse"/>
            <w:bookmarkEnd w:id="88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(161,327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1" w:name="xdx_986_ecustom--AllowanceForCreditLosse"/>
            <w:bookmarkEnd w:id="881"/>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2" w:name="xdx_98A_ecustom--AllowanceForCreditLosse"/>
            <w:bookmarkEnd w:id="88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3" w:name="xdx_984_ecustom--AllowanceForCreditLosse"/>
            <w:bookmarkEnd w:id="883"/>
          </w:p>
        </w:tc>
        <w:tc>
          <w:tcPr>
            <w:tcW w:w="19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4" w:name="xdx_989_ecustom--AllowanceForCreditLosse"/>
            <w:bookmarkEnd w:id="88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(172,398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2026</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5" w:name="xdx_989_eus-gaap--FinancingReceivableAll"/>
            <w:bookmarkEnd w:id="885"/>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6" w:name="xdx_987_eus-gaap--FinancingReceivableAll"/>
            <w:bookmarkEnd w:id="88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7" w:name="xdx_98D_eus-gaap--FinancingReceivableAll"/>
            <w:bookmarkEnd w:id="887"/>
          </w:p>
        </w:tc>
        <w:tc>
          <w:tcPr>
            <w:tcW w:w="19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8" w:name="xdx_98A_eus-gaap--FinancingReceivableAll"/>
            <w:bookmarkEnd w:id="88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2,255,193</w:t>
            </w:r>
          </w:p>
        </w:tc>
        <w:tc>
          <w:tcPr>
            <w:tcW w:w="112" w:type="dxa"/>
            <w:tcBorders/>
            <w:shd w:fill="FFFFFF" w:val="clear"/>
            <w:vAlign w:val="center"/>
          </w:tcPr>
          <w:p>
            <w:pPr>
              <w:pStyle w:val="TableContents"/>
              <w:bidi w:val="0"/>
              <w:spacing w:before="0" w:after="283"/>
              <w:jc w:val="left"/>
              <w:rPr/>
            </w:pPr>
            <w:r>
              <w:rPr/>
              <w:t> </w:t>
            </w:r>
          </w:p>
        </w:tc>
      </w:tr>
      <w:tr>
        <w:trPr/>
        <w:tc>
          <w:tcPr>
            <w:tcW w:w="3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8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2024</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9" w:name="xdx_984_eus-gaap--FinancingReceivableAll"/>
            <w:bookmarkEnd w:id="889"/>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0" w:name="xdx_985_eus-gaap--FinancingReceivableAll"/>
            <w:bookmarkEnd w:id="89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1" w:name="xdx_988_eus-gaap--FinancingReceivableAll"/>
            <w:bookmarkEnd w:id="891"/>
          </w:p>
        </w:tc>
        <w:tc>
          <w:tcPr>
            <w:tcW w:w="1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2" w:name="xdx_98B_eus-gaap--FinancingReceivableAll"/>
            <w:bookmarkEnd w:id="89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1,885,390</w:t>
            </w:r>
          </w:p>
        </w:tc>
        <w:tc>
          <w:tcPr>
            <w:tcW w:w="112" w:type="dxa"/>
            <w:tcBorders/>
            <w:shd w:fill="FFFFFF" w:val="clear"/>
            <w:vAlign w:val="center"/>
          </w:tcPr>
          <w:p>
            <w:pPr>
              <w:pStyle w:val="TableContents"/>
              <w:bidi w:val="0"/>
              <w:spacing w:before="0" w:after="283"/>
              <w:jc w:val="left"/>
              <w:rPr/>
            </w:pPr>
            <w:r>
              <w:rPr/>
              <w:t> </w:t>
            </w:r>
          </w:p>
        </w:tc>
      </w:tr>
      <w:tr>
        <w:trPr/>
        <w:tc>
          <w:tcPr>
            <w:tcW w:w="38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893" w:name="xdx_983_ecustom--AllowanceForCreditLosse"/>
            <w:bookmarkEnd w:id="893"/>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94" w:name="xdx_982_ecustom--AllowanceForCreditLosse"/>
            <w:bookmarkEnd w:id="89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bookmarkStart w:id="895" w:name="xdx_989_ecustom--AllowanceForCreditLosse"/>
            <w:bookmarkEnd w:id="895"/>
          </w:p>
        </w:tc>
        <w:tc>
          <w:tcPr>
            <w:tcW w:w="1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96" w:name="xdx_98E_ecustom--AllowanceForCreditLosse"/>
            <w:bookmarkEnd w:id="89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755,354</w:t>
            </w:r>
          </w:p>
        </w:tc>
        <w:tc>
          <w:tcPr>
            <w:tcW w:w="112" w:type="dxa"/>
            <w:tcBorders/>
            <w:shd w:fill="CCEEFF" w:val="clear"/>
            <w:vAlign w:val="center"/>
          </w:tcPr>
          <w:p>
            <w:pPr>
              <w:pStyle w:val="TableContents"/>
              <w:bidi w:val="0"/>
              <w:spacing w:before="0" w:after="283"/>
              <w:jc w:val="left"/>
              <w:rPr/>
            </w:pPr>
            <w:r>
              <w:rPr/>
              <w:t> </w:t>
            </w:r>
          </w:p>
        </w:tc>
      </w:tr>
      <w:tr>
        <w:trPr/>
        <w:tc>
          <w:tcPr>
            <w:tcW w:w="38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E_ecustom--AllowanceForCreditLosse"/>
            <w:bookmarkEnd w:id="897"/>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8" w:name="xdx_98A_ecustom--AllowanceForCreditLosse"/>
            <w:bookmarkEnd w:id="89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9" w:name="xdx_985_ecustom--AllowanceForCreditLosse"/>
            <w:bookmarkEnd w:id="899"/>
          </w:p>
        </w:tc>
        <w:tc>
          <w:tcPr>
            <w:tcW w:w="1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0" w:name="xdx_98B_ecustom--AllowanceForCreditLosse"/>
            <w:bookmarkEnd w:id="90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38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2025</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1" w:name="xdx_985_eus-gaap--FinancingReceivableAll"/>
            <w:bookmarkEnd w:id="901"/>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2" w:name="xdx_987_eus-gaap--FinancingReceivableAll"/>
            <w:bookmarkEnd w:id="90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3" w:name="xdx_981_eus-gaap--FinancingReceivableAll"/>
            <w:bookmarkEnd w:id="903"/>
          </w:p>
        </w:tc>
        <w:tc>
          <w:tcPr>
            <w:tcW w:w="19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4" w:name="xdx_989_eus-gaap--FinancingReceivableAll"/>
            <w:bookmarkEnd w:id="90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2,640,744</w:t>
            </w:r>
          </w:p>
        </w:tc>
        <w:tc>
          <w:tcPr>
            <w:tcW w:w="112"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905" w:name="xdx_F08_zmapSGjUmdyb"/>
            <w:bookmarkEnd w:id="905"/>
            <w:r>
              <w:rPr>
                <w:rFonts w:ascii="Times New Roman;Times;Serif" w:hAnsi="Times New Roman;Times;Serif"/>
                <w:sz w:val="20"/>
              </w:rPr>
              <w:t>(1)</w:t>
            </w:r>
          </w:p>
        </w:tc>
        <w:tc>
          <w:tcPr>
            <w:tcW w:w="6605" w:type="dxa"/>
            <w:tcBorders/>
            <w:vAlign w:val="center"/>
          </w:tcPr>
          <w:p>
            <w:pPr>
              <w:pStyle w:val="TableContents"/>
              <w:bidi w:val="0"/>
              <w:spacing w:before="0" w:after="283"/>
              <w:jc w:val="both"/>
              <w:rPr>
                <w:rFonts w:ascii="Times New Roman;Times;Serif" w:hAnsi="Times New Roman;Times;Serif"/>
                <w:sz w:val="20"/>
              </w:rPr>
            </w:pPr>
            <w:bookmarkStart w:id="906" w:name="xdx_F1D_zsdU9wRZbps"/>
            <w:bookmarkEnd w:id="906"/>
            <w:r>
              <w:rPr>
                <w:rFonts w:ascii="Times New Roman;Times;Serif" w:hAnsi="Times New Roman;Times;Serif"/>
                <w:sz w:val="20"/>
              </w:rPr>
              <w:t>Included in other expenses on the condensed consolidated statements of earnings</w:t>
            </w:r>
          </w:p>
        </w:tc>
      </w:tr>
    </w:tbl>
    <w:p>
      <w:pPr>
        <w:pStyle w:val="TextBody"/>
        <w:pBdr/>
        <w:bidi w:val="0"/>
        <w:spacing w:before="0" w:after="0"/>
        <w:ind w:left="0" w:right="0" w:hanging="0"/>
        <w:jc w:val="both"/>
        <w:rPr>
          <w:caps w:val="false"/>
          <w:smallCaps w:val="false"/>
        </w:rPr>
      </w:pPr>
      <w:bookmarkStart w:id="907" w:name="xdx_8A5_zHzAfY70BxRh"/>
      <w:bookmarkEnd w:id="90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908" w:name="xdx_891_ecustom--ScheduleOfAgingOfMortga"/>
      <w:bookmarkEnd w:id="908"/>
      <w:r>
        <w:rPr>
          <w:rFonts w:ascii="Times New Roman;Times;Serif" w:hAnsi="Times New Roman;Times;Serif"/>
          <w:b w:val="false"/>
          <w:i w:val="false"/>
          <w:caps w:val="false"/>
          <w:smallCaps w:val="false"/>
          <w:sz w:val="20"/>
        </w:rPr>
        <w:t>The following table presents the aging of mortgage loans held for investment by loan type as of the dates indicated:</w:t>
      </w:r>
    </w:p>
    <w:p>
      <w:pPr>
        <w:pStyle w:val="TextBody"/>
        <w:pBdr/>
        <w:bidi w:val="0"/>
        <w:spacing w:before="0" w:after="0"/>
        <w:ind w:left="0" w:right="0" w:hanging="0"/>
        <w:jc w:val="left"/>
        <w:rPr>
          <w:caps w:val="false"/>
          <w:smallCaps w:val="false"/>
        </w:rPr>
      </w:pPr>
      <w:r>
        <w:rPr>
          <w:caps w:val="false"/>
          <w:smallCaps w:val="false"/>
        </w:rPr>
        <w:t> </w:t>
      </w:r>
      <w:bookmarkStart w:id="909" w:name="xdx_8BD_z13cLKUTPN63"/>
      <w:bookmarkEnd w:id="909"/>
      <w:r>
        <w:rPr>
          <w:rFonts w:ascii="Times New Roman;Times;Serif" w:hAnsi="Times New Roman;Times;Serif"/>
          <w:b w:val="false"/>
          <w:i w:val="false"/>
          <w:caps w:val="false"/>
          <w:smallCaps w:val="false"/>
          <w:sz w:val="20"/>
        </w:rPr>
        <w:t>Schedule of Aging of Mortgage Loans</w:t>
      </w:r>
    </w:p>
    <w:tbl>
      <w:tblPr>
        <w:tblW w:w="9590" w:type="dxa"/>
        <w:jc w:val="left"/>
        <w:tblInd w:w="0" w:type="dxa"/>
        <w:tblLayout w:type="fixed"/>
        <w:tblCellMar>
          <w:top w:w="0" w:type="dxa"/>
          <w:left w:w="0" w:type="dxa"/>
          <w:bottom w:w="0" w:type="dxa"/>
          <w:right w:w="0" w:type="dxa"/>
        </w:tblCellMar>
      </w:tblPr>
      <w:tblGrid>
        <w:gridCol w:w="3755"/>
        <w:gridCol w:w="60"/>
        <w:gridCol w:w="140"/>
        <w:gridCol w:w="1100"/>
        <w:gridCol w:w="95"/>
        <w:gridCol w:w="60"/>
        <w:gridCol w:w="140"/>
        <w:gridCol w:w="1100"/>
        <w:gridCol w:w="95"/>
        <w:gridCol w:w="60"/>
        <w:gridCol w:w="140"/>
        <w:gridCol w:w="1220"/>
        <w:gridCol w:w="95"/>
        <w:gridCol w:w="60"/>
        <w:gridCol w:w="140"/>
        <w:gridCol w:w="1220"/>
        <w:gridCol w:w="11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Residential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Residential</w:t>
            </w:r>
          </w:p>
          <w:p>
            <w:pPr>
              <w:pStyle w:val="TableContents"/>
              <w:bidi w:val="0"/>
              <w:spacing w:before="0" w:after="283"/>
              <w:jc w:val="center"/>
              <w:rPr>
                <w:rFonts w:ascii="Times New Roman;Times;Serif" w:hAnsi="Times New Roman;Times;Serif"/>
              </w:rPr>
            </w:pPr>
            <w:r>
              <w:rPr>
                <w:rFonts w:ascii="Times New Roman;Times;Serif" w:hAnsi="Times New Roman;Times;Serif"/>
              </w:rPr>
              <w:t>Construction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30-59 days past due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0" w:name="xdx_985_ecustom--MortgageLoansDuringPeri"/>
            <w:bookmarkEnd w:id="910"/>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1" w:name="xdx_98D_ecustom--MortgageLoansDuringPeri"/>
            <w:bookmarkEnd w:id="91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6,593,310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2" w:name="xdx_989_ecustom--MortgageLoansDuringPeri"/>
            <w:bookmarkEnd w:id="912"/>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3" w:name="xdx_98A_ecustom--MortgageLoansDuringPeri"/>
            <w:bookmarkEnd w:id="913"/>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6,593,310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60-89 days past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4" w:name="xdx_98F_ecustom--MortgageLoansDuringPeri"/>
            <w:bookmarkEnd w:id="91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5" w:name="xdx_98A_ecustom--MortgageLoansDuringPeri"/>
            <w:bookmarkEnd w:id="91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6" w:name="xdx_980_ecustom--MortgageLoansDuringPeri"/>
            <w:bookmarkEnd w:id="91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7" w:name="xdx_988_ecustom--MortgageLoansDuringPeri"/>
            <w:bookmarkEnd w:id="91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1,418,118</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90 days past due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18" w:name="xdx_983_ecustom--MortgageLoansDuringPeri"/>
            <w:bookmarkEnd w:id="91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7,522,308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19" w:name="xdx_983_ecustom--MortgageLoansDuringPeri"/>
            <w:bookmarkEnd w:id="91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20" w:name="xdx_985_ecustom--MortgageLoansDuringPeri"/>
            <w:bookmarkEnd w:id="920"/>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21" w:name="xdx_984_ecustom--MortgageLoansDuringPeri"/>
            <w:bookmarkEnd w:id="92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14,760,660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process of foreclosure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2" w:name="xdx_983_ecustom--MortgageLoansDuringPeri"/>
            <w:bookmarkEnd w:id="92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3" w:name="xdx_984_ecustom--MortgageLoansDuringPeri"/>
            <w:bookmarkEnd w:id="92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4" w:name="xdx_988_ecustom--MortgageLoansDuringPeri"/>
            <w:bookmarkEnd w:id="92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5" w:name="xdx_98E_ecustom--MortgageLoansDuringPeri"/>
            <w:bookmarkEnd w:id="92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1,053,434</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past due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6" w:name="xdx_981_ecustom--MortgageLoansDuringPeri"/>
            <w:bookmarkEnd w:id="92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7,599,826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7" w:name="xdx_984_ecustom--MortgageLoansDuringPeri"/>
            <w:bookmarkEnd w:id="92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16,225,696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8" w:name="xdx_987_ecustom--MortgageLoansDuringPeri"/>
            <w:bookmarkEnd w:id="92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9" w:name="xdx_984_ecustom--MortgageLoansDuringPeri"/>
            <w:bookmarkEnd w:id="929"/>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23,825,522</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0" w:name="xdx_98A_ecustom--MortgageLoansDuringPeri"/>
            <w:bookmarkEnd w:id="93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60,481,208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1" w:name="xdx_98C_ecustom--MortgageLoansDuringPeri"/>
            <w:bookmarkEnd w:id="93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69,738,160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2" w:name="xdx_98F_ecustom--MortgageLoansDuringPeri"/>
            <w:bookmarkEnd w:id="93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3" w:name="xdx_98C_ecustom--MortgageLoansDuringPeri"/>
            <w:bookmarkEnd w:id="93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270,911,608</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mortgage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4" w:name="xdx_982_ecustom--MortgageLoansDuringPeri"/>
            <w:bookmarkEnd w:id="93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5" w:name="xdx_985_ecustom--MortgageLoansDuringPeri"/>
            <w:bookmarkEnd w:id="935"/>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85,963,856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6" w:name="xdx_98D_ecustom--MortgageLoansDuringPeri"/>
            <w:bookmarkEnd w:id="93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7" w:name="xdx_98D_ecustom--MortgageLoansDuringPeri"/>
            <w:bookmarkEnd w:id="93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294,737,130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38" w:name="xdx_982_eus-gaap--FinancingReceivableAll"/>
            <w:bookmarkEnd w:id="93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(756,033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39" w:name="xdx_989_eus-gaap--FinancingReceivableAll"/>
            <w:bookmarkEnd w:id="93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(1,217,775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40" w:name="xdx_987_eus-gaap--FinancingReceivableAll"/>
            <w:bookmarkEnd w:id="940"/>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(281,385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41" w:name="xdx_98B_eus-gaap--FinancingReceivableAll"/>
            <w:bookmarkEnd w:id="94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(2,255,193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Unamortized deferred loan fees,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2" w:name="xdx_981_ecustom--MortgageLoansOnRealEsta"/>
            <w:bookmarkEnd w:id="94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3" w:name="xdx_980_ecustom--MortgageLoansOnRealEsta"/>
            <w:bookmarkEnd w:id="943"/>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(1,162,227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4" w:name="xdx_98C_ecustom--MortgageLoansOnRealEsta"/>
            <w:bookmarkEnd w:id="944"/>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5" w:name="xdx_988_ecustom--MortgageLoansOnRealEsta"/>
            <w:bookmarkEnd w:id="945"/>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(1,552,440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Unamortized discounts,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6" w:name="xdx_988_ecustom--MortgageLoansOnRealEsta"/>
            <w:bookmarkEnd w:id="94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(138,563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7" w:name="xdx_986_ecustom--MortgageLoansOnRealEsta"/>
            <w:bookmarkEnd w:id="94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8" w:name="xdx_987_ecustom--MortgageLoansOnRealEsta"/>
            <w:bookmarkEnd w:id="94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49" w:name="xdx_986_ecustom--MortgageLoansOnRealEsta"/>
            <w:bookmarkEnd w:id="94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(244,309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mortgage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0" w:name="xdx_98A_ecustom--MortgageLoansDuringPeri"/>
            <w:bookmarkEnd w:id="95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67,029,573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1" w:name="xdx_987_ecustom--MortgageLoansDuringPeri"/>
            <w:bookmarkEnd w:id="95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83,478,108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2" w:name="xdx_984_ecustom--MortgageLoansDuringPeri"/>
            <w:bookmarkEnd w:id="952"/>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140,177,507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3" w:name="xdx_984_ecustom--MortgageLoansDuringPeri"/>
            <w:bookmarkEnd w:id="95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290,685,188</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30-59 days past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4" w:name="xdx_98A_ecustom--MortgageLoansDuringPeri"/>
            <w:bookmarkEnd w:id="95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5" w:name="xdx_988_ecustom--MortgageLoansDuringPeri"/>
            <w:bookmarkEnd w:id="95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7,302,658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6" w:name="xdx_98F_ecustom--MortgageLoansDuringPeri"/>
            <w:bookmarkEnd w:id="95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7" w:name="xdx_98E_ecustom--MortgageLoansDuringPeri"/>
            <w:bookmarkEnd w:id="95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7,388,775</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60-89 days past due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8" w:name="xdx_98F_ecustom--MortgageLoansDuringPeri"/>
            <w:bookmarkEnd w:id="95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9" w:name="xdx_988_ecustom--MortgageLoansDuringPeri"/>
            <w:bookmarkEnd w:id="959"/>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2,485,313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0" w:name="xdx_987_ecustom--MortgageLoansDuringPeri"/>
            <w:bookmarkEnd w:id="960"/>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1" w:name="xdx_986_ecustom--MortgageLoansDuringPeri"/>
            <w:bookmarkEnd w:id="96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2,485,313</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90 days past due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2" w:name="xdx_986_ecustom--MortgageLoansDuringPeri"/>
            <w:bookmarkEnd w:id="96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3" w:name="xdx_988_ecustom--MortgageLoansDuringPeri"/>
            <w:bookmarkEnd w:id="96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4" w:name="xdx_986_ecustom--MortgageLoansDuringPeri"/>
            <w:bookmarkEnd w:id="964"/>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5" w:name="xdx_986_ecustom--MortgageLoansDuringPeri"/>
            <w:bookmarkEnd w:id="96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5,311,851</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process of foreclosure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6" w:name="xdx_989_ecustom--MortgageLoansDuringPeri"/>
            <w:bookmarkEnd w:id="96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7" w:name="xdx_984_ecustom--MortgageLoansDuringPeri"/>
            <w:bookmarkEnd w:id="96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8" w:name="xdx_98A_ecustom--MortgageLoansDuringPeri"/>
            <w:bookmarkEnd w:id="96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9" w:name="xdx_989_ecustom--MortgageLoansDuringPeri"/>
            <w:bookmarkEnd w:id="969"/>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1,204,443</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past due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0" w:name="xdx_982_ecustom--MortgageLoansDuringPeri"/>
            <w:bookmarkEnd w:id="97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3,506,502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1" w:name="xdx_983_ecustom--MortgageLoansDuringPeri"/>
            <w:bookmarkEnd w:id="97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12,883,880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2" w:name="xdx_986_ecustom--MortgageLoansDuringPeri"/>
            <w:bookmarkEnd w:id="97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3" w:name="xdx_980_ecustom--MortgageLoansDuringPeri"/>
            <w:bookmarkEnd w:id="97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16,390,382</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4" w:name="xdx_985_ecustom--MortgageLoansDuringPeri"/>
            <w:bookmarkEnd w:id="97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75,725,284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5" w:name="xdx_98C_ecustom--MortgageLoansDuringPeri"/>
            <w:bookmarkEnd w:id="975"/>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77,760,710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6" w:name="xdx_982_ecustom--MortgageLoansDuringPeri"/>
            <w:bookmarkEnd w:id="97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7" w:name="xdx_987_ecustom--MortgageLoansDuringPeri"/>
            <w:bookmarkEnd w:id="97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310,884,699</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mortgage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8" w:name="xdx_98F_ecustom--MortgageLoansDuringPeri"/>
            <w:bookmarkEnd w:id="97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79,231,786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79" w:name="xdx_98C_ecustom--MortgageLoansDuringPeri"/>
            <w:bookmarkEnd w:id="97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90,644,590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80" w:name="xdx_989_ecustom--MortgageLoansDuringPeri"/>
            <w:bookmarkEnd w:id="98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81" w:name="xdx_98A_ecustom--MortgageLoansDuringPeri"/>
            <w:bookmarkEnd w:id="98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327,275,081</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2" w:name="xdx_984_eus-gaap--FinancingReceivableAll"/>
            <w:bookmarkEnd w:id="98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(1,368,121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3" w:name="xdx_986_eus-gaap--FinancingReceivableAll"/>
            <w:bookmarkEnd w:id="983"/>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4" w:name="xdx_98E_eus-gaap--FinancingReceivableAll"/>
            <w:bookmarkEnd w:id="984"/>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85" w:name="xdx_981_eus-gaap--FinancingReceivableAll"/>
            <w:bookmarkEnd w:id="985"/>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(2,588,918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Unamortized deferred loan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6" w:name="xdx_985_ecustom--MortgageLoansOnRealEsta"/>
            <w:bookmarkEnd w:id="98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(374,372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7" w:name="xdx_981_ecustom--MortgageLoansOnRealEsta"/>
            <w:bookmarkEnd w:id="98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8" w:name="xdx_983_ecustom--MortgageLoansOnRealEsta"/>
            <w:bookmarkEnd w:id="988"/>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9" w:name="xdx_980_ecustom--MortgageLoansOnRealEsta"/>
            <w:bookmarkEnd w:id="98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(1,995,795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Unamortized discounts,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0" w:name="xdx_98A_ecustom--MortgageLoansOnRealEsta"/>
            <w:bookmarkEnd w:id="99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1" w:name="xdx_981_ecustom--MortgageLoansOnRealEsta"/>
            <w:bookmarkEnd w:id="99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2" w:name="xdx_98C_ecustom--MortgageLoansOnRealEsta"/>
            <w:bookmarkEnd w:id="992"/>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3" w:name="xdx_988_ecustom--MortgageLoansOnRealEsta"/>
            <w:bookmarkEnd w:id="993"/>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mortgage 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94" w:name="xdx_988_ecustom--MortgageLoansDuringPeri"/>
            <w:bookmarkEnd w:id="99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77,342,759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95" w:name="xdx_986_ecustom--MortgageLoansDuringPeri"/>
            <w:bookmarkEnd w:id="99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88,348,354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96" w:name="xdx_98E_ecustom--MortgageLoansDuringPeri"/>
            <w:bookmarkEnd w:id="996"/>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156,744,272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97" w:name="xdx_984_ecustom--MortgageLoansDuringPeri"/>
            <w:bookmarkEnd w:id="997"/>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322,435,385</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9565" w:type="dxa"/>
        <w:jc w:val="left"/>
        <w:tblInd w:w="0" w:type="dxa"/>
        <w:tblLayout w:type="fixed"/>
        <w:tblCellMar>
          <w:top w:w="0" w:type="dxa"/>
          <w:left w:w="0" w:type="dxa"/>
          <w:bottom w:w="0" w:type="dxa"/>
          <w:right w:w="0" w:type="dxa"/>
        </w:tblCellMar>
      </w:tblPr>
      <w:tblGrid>
        <w:gridCol w:w="290"/>
        <w:gridCol w:w="9275"/>
      </w:tblGrid>
      <w:tr>
        <w:trPr/>
        <w:tc>
          <w:tcPr>
            <w:tcW w:w="290" w:type="dxa"/>
            <w:tcBorders/>
            <w:vAlign w:val="center"/>
          </w:tcPr>
          <w:p>
            <w:pPr>
              <w:pStyle w:val="TableContents"/>
              <w:bidi w:val="0"/>
              <w:spacing w:before="0" w:after="283"/>
              <w:jc w:val="both"/>
              <w:rPr/>
            </w:pPr>
            <w:bookmarkStart w:id="998" w:name="xdx_F0F_z10y7FqOpb38"/>
            <w:bookmarkEnd w:id="998"/>
            <w:r>
              <w:rPr/>
              <w:t>(1)</w:t>
            </w:r>
            <w:bookmarkStart w:id="999" w:name="xdx_F11_znssOhZ5hUG4"/>
            <w:bookmarkEnd w:id="999"/>
          </w:p>
        </w:tc>
        <w:tc>
          <w:tcPr>
            <w:tcW w:w="9275" w:type="dxa"/>
            <w:tcBorders/>
            <w:vAlign w:val="center"/>
          </w:tcPr>
          <w:p>
            <w:pPr>
              <w:pStyle w:val="TableContents"/>
              <w:bidi w:val="0"/>
              <w:spacing w:before="0" w:after="283"/>
              <w:jc w:val="both"/>
              <w:rPr/>
            </w:pPr>
            <w:r>
              <w:rPr/>
              <w:t>Interest income is not recognized on loans which are more than 90 days past due or in foreclosure.</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Quality Indicators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and monitors the credit quality of its commercial loans by analyzing LTV and DSCR. Monitoring a commercial mortgage loan increases when the loan is delinquent or earlier if there is an indication of impairment.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000" w:name="xdx_89A_eus-gaap--FinancingReceivableCre"/>
      <w:bookmarkEnd w:id="1000"/>
      <w:r>
        <w:rPr>
          <w:rFonts w:ascii="Times New Roman;Times;Serif" w:hAnsi="Times New Roman;Times;Serif"/>
          <w:b w:val="false"/>
          <w:i w:val="false"/>
          <w:caps w:val="false"/>
          <w:smallCaps w:val="false"/>
          <w:sz w:val="20"/>
        </w:rPr>
        <w:t>The aggregate unpaid principal balance of commercial mortgage loans by credit quality indicator and origination year was as follows as of June 30, 2026:</w:t>
      </w:r>
    </w:p>
    <w:p>
      <w:pPr>
        <w:pStyle w:val="TextBody"/>
        <w:pBdr/>
        <w:bidi w:val="0"/>
        <w:spacing w:before="0" w:after="0"/>
        <w:ind w:left="0" w:right="0" w:hanging="0"/>
        <w:jc w:val="both"/>
        <w:rPr>
          <w:caps w:val="false"/>
          <w:smallCaps w:val="false"/>
        </w:rPr>
      </w:pPr>
      <w:r>
        <w:rPr>
          <w:caps w:val="false"/>
          <w:smallCaps w:val="false"/>
        </w:rPr>
        <w:t> </w:t>
      </w:r>
      <w:bookmarkStart w:id="1001" w:name="xdx_8B6_zIeYXILSMajb"/>
      <w:bookmarkEnd w:id="1001"/>
      <w:r>
        <w:rPr>
          <w:rFonts w:ascii="Times New Roman;Times;Serif" w:hAnsi="Times New Roman;Times;Serif"/>
          <w:b w:val="false"/>
          <w:i w:val="false"/>
          <w:caps w:val="false"/>
          <w:smallCaps w:val="false"/>
          <w:sz w:val="20"/>
        </w:rPr>
        <w:t>Schedule of Commercial and Residential Mortgage Loans By Credit Quality Indicator</w:t>
      </w:r>
    </w:p>
    <w:tbl>
      <w:tblPr>
        <w:tblW w:w="10885" w:type="dxa"/>
        <w:jc w:val="left"/>
        <w:tblInd w:w="0" w:type="dxa"/>
        <w:tblLayout w:type="fixed"/>
        <w:tblCellMar>
          <w:top w:w="0" w:type="dxa"/>
          <w:left w:w="0" w:type="dxa"/>
          <w:bottom w:w="28" w:type="dxa"/>
          <w:right w:w="0" w:type="dxa"/>
        </w:tblCellMar>
      </w:tblPr>
      <w:tblGrid>
        <w:gridCol w:w="875"/>
        <w:gridCol w:w="60"/>
        <w:gridCol w:w="140"/>
        <w:gridCol w:w="980"/>
        <w:gridCol w:w="60"/>
        <w:gridCol w:w="60"/>
        <w:gridCol w:w="140"/>
        <w:gridCol w:w="1100"/>
        <w:gridCol w:w="60"/>
        <w:gridCol w:w="60"/>
        <w:gridCol w:w="140"/>
        <w:gridCol w:w="1100"/>
        <w:gridCol w:w="60"/>
        <w:gridCol w:w="60"/>
        <w:gridCol w:w="140"/>
        <w:gridCol w:w="1100"/>
        <w:gridCol w:w="60"/>
        <w:gridCol w:w="60"/>
        <w:gridCol w:w="140"/>
        <w:gridCol w:w="800"/>
        <w:gridCol w:w="60"/>
        <w:gridCol w:w="60"/>
        <w:gridCol w:w="140"/>
        <w:gridCol w:w="980"/>
        <w:gridCol w:w="60"/>
        <w:gridCol w:w="60"/>
        <w:gridCol w:w="140"/>
        <w:gridCol w:w="1100"/>
        <w:gridCol w:w="60"/>
        <w:gridCol w:w="60"/>
        <w:gridCol w:w="60"/>
        <w:gridCol w:w="680"/>
        <w:gridCol w:w="230"/>
      </w:tblGrid>
      <w:tr>
        <w:trPr/>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002" w:name="xdx_485_eus-gaap--FinancingReceivableOri"/>
            <w:bookmarkEnd w:id="1002"/>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03" w:name="xdx_914_eus-gaap--FinancingReceivableOri"/>
            <w:bookmarkEnd w:id="1003"/>
            <w:r>
              <w:rPr>
                <w:rFonts w:ascii="Times New Roman;Times;Serif" w:hAnsi="Times New Roman;Times;Serif"/>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04" w:name="xdx_48B_eus-gaap--FinancingReceivableOri"/>
            <w:bookmarkEnd w:id="1004"/>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05" w:name="xdx_91E_eus-gaap--FinancingReceivableOri"/>
            <w:bookmarkEnd w:id="1005"/>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06" w:name="xdx_483_eus-gaap--FinancingReceivableOri"/>
            <w:bookmarkEnd w:id="1006"/>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07" w:name="xdx_913_eus-gaap--FinancingReceivableOri"/>
            <w:bookmarkEnd w:id="1007"/>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08" w:name="xdx_485_eus-gaap--FinancingReceivableOri"/>
            <w:bookmarkEnd w:id="100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09" w:name="xdx_913_eus-gaap--FinancingReceivableOri"/>
            <w:bookmarkEnd w:id="1009"/>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0" w:name="xdx_486_eus-gaap--FinancingReceivableOri"/>
            <w:bookmarkEnd w:id="1010"/>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11" w:name="xdx_916_eus-gaap--FinancingReceivableOri"/>
            <w:bookmarkEnd w:id="1011"/>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2" w:name="xdx_48B_eus-gaap--FinancingReceivableOri"/>
            <w:bookmarkEnd w:id="1012"/>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13" w:name="xdx_912_eus-gaap--FinancingReceivableOri"/>
            <w:bookmarkEnd w:id="1013"/>
            <w:r>
              <w:rPr>
                <w:rFonts w:ascii="Times New Roman;Times;Serif" w:hAnsi="Times New Roman;Times;Serif"/>
              </w:rPr>
              <w:t>Prior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4" w:name="xdx_48A_eus-gaap--NotesReceivableGross_i"/>
            <w:bookmarkEnd w:id="1014"/>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15" w:name="xdx_919_eus-gaap--NotesReceivableGross_z"/>
            <w:bookmarkEnd w:id="1015"/>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6" w:name="xdx_486_eus-gaap--FinancingReceivableNon"/>
            <w:bookmarkEnd w:id="1016"/>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17" w:name="xdx_91C_eus-gaap--FinancingReceivableNon"/>
            <w:bookmarkEnd w:id="1017"/>
            <w:r>
              <w:rPr>
                <w:rFonts w:ascii="Times New Roman;Times;Serif" w:hAnsi="Times New Roman;Times;Serif"/>
              </w:rPr>
              <w:t>% of Total</w:t>
            </w:r>
          </w:p>
        </w:tc>
        <w:tc>
          <w:tcPr>
            <w:tcW w:w="23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018" w:name="xdx_414_20260630__us-gaap--LoanToValueAx"/>
            <w:bookmarkEnd w:id="1018"/>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18,643,045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3,888,514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171,493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8,689,865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48,066,917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9" w:name="xdx_41C_20260630__us-gaap--LoanToValueAx"/>
            <w:bookmarkEnd w:id="1019"/>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4,769,919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10,424,266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1,000,506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17,700,825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0" w:name="xdx_411_20260630__us-gaap--LoanToValueAx"/>
            <w:bookmarkEnd w:id="1020"/>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2,313,292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2,313,292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021" w:name="xdx_41E_20260630__us-gaap--FinancingRece"/>
            <w:bookmarkEnd w:id="1021"/>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8,643,919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22,168,599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14,312,780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13,800,506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8,689,865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68,081,034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DSCR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022" w:name="xdx_419_20260630__us-gaap--LoanToValueAx"/>
            <w:bookmarkEnd w:id="1022"/>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&gt;1.20x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9,991,610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5,227,181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23,014,291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3" w:name="xdx_419_20260630__us-gaap--LoanToValueAx"/>
            <w:bookmarkEnd w:id="1023"/>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1.00x - 1.20x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8,643,919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17,498,099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37,572,348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55.19</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4" w:name="xdx_418_20260630__us-gaap--LoanToValueAx"/>
            <w:bookmarkEnd w:id="1024"/>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&lt;1.00x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7,494,395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025" w:name="xdx_411_20260630__us-gaap--FinancingRece"/>
            <w:bookmarkEnd w:id="1025"/>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8,643,919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22,168,599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14,312,780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13,800,506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8,689,865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68,081,034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unpaid principal balance of commercial mortgage loans by credit quality indicator and origination year was as follows as of December 31, 2025:</w:t>
      </w:r>
    </w:p>
    <w:p>
      <w:pPr>
        <w:pStyle w:val="TextBody"/>
        <w:pBdr/>
        <w:bidi w:val="0"/>
        <w:spacing w:before="0" w:after="0"/>
        <w:ind w:left="0" w:right="0" w:hanging="0"/>
        <w:jc w:val="both"/>
        <w:rPr>
          <w:caps w:val="false"/>
          <w:smallCaps w:val="false"/>
        </w:rPr>
      </w:pPr>
      <w:r>
        <w:rPr>
          <w:caps w:val="false"/>
          <w:smallCaps w:val="false"/>
        </w:rPr>
        <w:t> </w:t>
      </w:r>
    </w:p>
    <w:tbl>
      <w:tblPr>
        <w:tblW w:w="10885" w:type="dxa"/>
        <w:jc w:val="left"/>
        <w:tblInd w:w="0" w:type="dxa"/>
        <w:tblLayout w:type="fixed"/>
        <w:tblCellMar>
          <w:top w:w="0" w:type="dxa"/>
          <w:left w:w="0" w:type="dxa"/>
          <w:bottom w:w="28" w:type="dxa"/>
          <w:right w:w="0" w:type="dxa"/>
        </w:tblCellMar>
      </w:tblPr>
      <w:tblGrid>
        <w:gridCol w:w="875"/>
        <w:gridCol w:w="60"/>
        <w:gridCol w:w="140"/>
        <w:gridCol w:w="1100"/>
        <w:gridCol w:w="60"/>
        <w:gridCol w:w="60"/>
        <w:gridCol w:w="140"/>
        <w:gridCol w:w="1100"/>
        <w:gridCol w:w="60"/>
        <w:gridCol w:w="60"/>
        <w:gridCol w:w="140"/>
        <w:gridCol w:w="1100"/>
        <w:gridCol w:w="60"/>
        <w:gridCol w:w="60"/>
        <w:gridCol w:w="140"/>
        <w:gridCol w:w="800"/>
        <w:gridCol w:w="60"/>
        <w:gridCol w:w="60"/>
        <w:gridCol w:w="140"/>
        <w:gridCol w:w="980"/>
        <w:gridCol w:w="60"/>
        <w:gridCol w:w="60"/>
        <w:gridCol w:w="140"/>
        <w:gridCol w:w="980"/>
        <w:gridCol w:w="60"/>
        <w:gridCol w:w="60"/>
        <w:gridCol w:w="140"/>
        <w:gridCol w:w="1100"/>
        <w:gridCol w:w="60"/>
        <w:gridCol w:w="60"/>
        <w:gridCol w:w="60"/>
        <w:gridCol w:w="680"/>
        <w:gridCol w:w="230"/>
      </w:tblGrid>
      <w:tr>
        <w:trPr/>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026" w:name="xdx_486_eus-gaap--FinancingReceivableOri"/>
            <w:bookmarkEnd w:id="1026"/>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27" w:name="xdx_911_eus-gaap--FinancingReceivableOri"/>
            <w:bookmarkEnd w:id="1027"/>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8" w:name="xdx_483_eus-gaap--FinancingReceivableOri"/>
            <w:bookmarkEnd w:id="102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29" w:name="xdx_917_eus-gaap--FinancingReceivableOri"/>
            <w:bookmarkEnd w:id="1029"/>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0" w:name="xdx_48B_eus-gaap--FinancingReceivableOri"/>
            <w:bookmarkEnd w:id="103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31" w:name="xdx_911_eus-gaap--FinancingReceivableOri"/>
            <w:bookmarkEnd w:id="1031"/>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2" w:name="xdx_48A_eus-gaap--FinancingReceivableOri"/>
            <w:bookmarkEnd w:id="1032"/>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33" w:name="xdx_918_eus-gaap--FinancingReceivableOri"/>
            <w:bookmarkEnd w:id="1033"/>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4" w:name="xdx_48C_eus-gaap--FinancingReceivableOri"/>
            <w:bookmarkEnd w:id="1034"/>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35" w:name="xdx_916_eus-gaap--FinancingReceivableOri"/>
            <w:bookmarkEnd w:id="1035"/>
            <w:r>
              <w:rPr>
                <w:rFonts w:ascii="Times New Roman;Times;Serif" w:hAnsi="Times New Roman;Times;Serif"/>
              </w:rPr>
              <w:t>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6" w:name="xdx_484_eus-gaap--FinancingReceivableOri"/>
            <w:bookmarkEnd w:id="1036"/>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37" w:name="xdx_91A_eus-gaap--FinancingReceivableOri"/>
            <w:bookmarkEnd w:id="1037"/>
            <w:r>
              <w:rPr>
                <w:rFonts w:ascii="Times New Roman;Times;Serif" w:hAnsi="Times New Roman;Times;Serif"/>
              </w:rPr>
              <w:t>Prior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8" w:name="xdx_486_eus-gaap--NotesReceivableGross_i"/>
            <w:bookmarkEnd w:id="103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39" w:name="xdx_91D_eus-gaap--NotesReceivableGross_z"/>
            <w:bookmarkEnd w:id="1039"/>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40" w:name="xdx_48D_eus-gaap--FinancingReceivableNon"/>
            <w:bookmarkEnd w:id="1040"/>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41" w:name="xdx_917_eus-gaap--FinancingReceivableNon"/>
            <w:bookmarkEnd w:id="1041"/>
            <w:r>
              <w:rPr>
                <w:rFonts w:ascii="Times New Roman;Times;Serif" w:hAnsi="Times New Roman;Times;Serif"/>
              </w:rPr>
              <w:t>% of Total</w:t>
            </w:r>
          </w:p>
        </w:tc>
        <w:tc>
          <w:tcPr>
            <w:tcW w:w="23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042" w:name="xdx_417_20251231__us-gaap--LoanToValueAx"/>
            <w:bookmarkEnd w:id="1042"/>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34,518,653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8,299,883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63,582,137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3" w:name="xdx_41C_20251231__us-gaap--LoanToValueAx"/>
            <w:bookmarkEnd w:id="1043"/>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3,525,554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15,253,144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4" w:name="xdx_41D_20251231__us-gaap--LoanToValueAx"/>
            <w:bookmarkEnd w:id="1044"/>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045" w:name="xdx_41E_20251231__us-gaap--FinancingRece"/>
            <w:bookmarkEnd w:id="1045"/>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38,044,207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14,323,086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16,600,776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8,299,883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79,231,786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DSCR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046" w:name="xdx_41A_20251231__us-gaap--LoanToValueAx"/>
            <w:bookmarkEnd w:id="1046"/>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&gt;1.20x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5,292,385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30,311,385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38.26</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7" w:name="xdx_41F_20251231__us-gaap--LoanToValueAx"/>
            <w:bookmarkEnd w:id="1047"/>
          </w:p>
        </w:tc>
      </w:tr>
      <w:tr>
        <w:trPr/>
        <w:tc>
          <w:tcPr>
            <w:tcW w:w="8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1.00x - 1.20x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28,300,207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4,323,086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9,100,776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3,007,498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46,695,401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58.94</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8" w:name="xdx_414_20251231__us-gaap--LoanToValueAx"/>
            <w:bookmarkEnd w:id="1048"/>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&lt;1.00x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049" w:name="xdx_411_20251231__us-gaap--FinancingRece"/>
            <w:bookmarkEnd w:id="1049"/>
          </w:p>
        </w:tc>
      </w:tr>
      <w:tr>
        <w:trPr/>
        <w:tc>
          <w:tcPr>
            <w:tcW w:w="8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38,044,207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14,323,086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16,600,776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8,299,883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79,231,786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unpaid principal balance of residential mortgage loans by credit quality indicator and origination year was as follows as of June 30, 2026:</w:t>
      </w:r>
    </w:p>
    <w:p>
      <w:pPr>
        <w:pStyle w:val="TextBody"/>
        <w:pBdr/>
        <w:bidi w:val="0"/>
        <w:spacing w:before="0" w:after="0"/>
        <w:ind w:left="0" w:right="0" w:hanging="0"/>
        <w:jc w:val="both"/>
        <w:rPr>
          <w:caps w:val="false"/>
          <w:smallCaps w:val="false"/>
        </w:rPr>
      </w:pPr>
      <w:r>
        <w:rPr>
          <w:caps w:val="false"/>
          <w:smallCaps w:val="false"/>
        </w:rPr>
        <w:t> </w:t>
      </w:r>
    </w:p>
    <w:tbl>
      <w:tblPr>
        <w:tblW w:w="11770" w:type="dxa"/>
        <w:jc w:val="left"/>
        <w:tblInd w:w="0" w:type="dxa"/>
        <w:tblLayout w:type="fixed"/>
        <w:tblCellMar>
          <w:top w:w="0" w:type="dxa"/>
          <w:left w:w="0" w:type="dxa"/>
          <w:bottom w:w="28" w:type="dxa"/>
          <w:right w:w="0" w:type="dxa"/>
        </w:tblCellMar>
      </w:tblPr>
      <w:tblGrid>
        <w:gridCol w:w="1580"/>
        <w:gridCol w:w="60"/>
        <w:gridCol w:w="140"/>
        <w:gridCol w:w="980"/>
        <w:gridCol w:w="60"/>
        <w:gridCol w:w="60"/>
        <w:gridCol w:w="140"/>
        <w:gridCol w:w="980"/>
        <w:gridCol w:w="60"/>
        <w:gridCol w:w="60"/>
        <w:gridCol w:w="140"/>
        <w:gridCol w:w="1100"/>
        <w:gridCol w:w="60"/>
        <w:gridCol w:w="60"/>
        <w:gridCol w:w="140"/>
        <w:gridCol w:w="980"/>
        <w:gridCol w:w="60"/>
        <w:gridCol w:w="60"/>
        <w:gridCol w:w="140"/>
        <w:gridCol w:w="1100"/>
        <w:gridCol w:w="60"/>
        <w:gridCol w:w="60"/>
        <w:gridCol w:w="140"/>
        <w:gridCol w:w="1100"/>
        <w:gridCol w:w="60"/>
        <w:gridCol w:w="60"/>
        <w:gridCol w:w="140"/>
        <w:gridCol w:w="1100"/>
        <w:gridCol w:w="60"/>
        <w:gridCol w:w="60"/>
        <w:gridCol w:w="60"/>
        <w:gridCol w:w="680"/>
        <w:gridCol w:w="23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050" w:name="xdx_486_eus-gaap--FinancingReceivableOri"/>
            <w:bookmarkEnd w:id="1050"/>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51" w:name="xdx_912_eus-gaap--FinancingReceivableOri"/>
            <w:bookmarkEnd w:id="1051"/>
            <w:r>
              <w:rPr>
                <w:rFonts w:ascii="Times New Roman;Times;Serif" w:hAnsi="Times New Roman;Times;Serif"/>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52" w:name="xdx_482_eus-gaap--FinancingReceivableOri"/>
            <w:bookmarkEnd w:id="1052"/>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53" w:name="xdx_916_eus-gaap--FinancingReceivableOri"/>
            <w:bookmarkEnd w:id="1053"/>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54" w:name="xdx_48C_eus-gaap--FinancingReceivableOri"/>
            <w:bookmarkEnd w:id="1054"/>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55" w:name="xdx_91B_eus-gaap--FinancingReceivableOri"/>
            <w:bookmarkEnd w:id="1055"/>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56" w:name="xdx_487_eus-gaap--FinancingReceivableOri"/>
            <w:bookmarkEnd w:id="1056"/>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57" w:name="xdx_91F_eus-gaap--FinancingReceivableOri"/>
            <w:bookmarkEnd w:id="1057"/>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58" w:name="xdx_484_eus-gaap--FinancingReceivableOri"/>
            <w:bookmarkEnd w:id="105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59" w:name="xdx_919_eus-gaap--FinancingReceivableOri"/>
            <w:bookmarkEnd w:id="1059"/>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60" w:name="xdx_484_eus-gaap--FinancingReceivableOri"/>
            <w:bookmarkEnd w:id="106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61" w:name="xdx_910_eus-gaap--FinancingReceivableOri"/>
            <w:bookmarkEnd w:id="1061"/>
            <w:r>
              <w:rPr>
                <w:rFonts w:ascii="Times New Roman;Times;Serif" w:hAnsi="Times New Roman;Times;Serif"/>
              </w:rPr>
              <w:t>Prior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62" w:name="xdx_484_eus-gaap--NotesReceivableGross_i"/>
            <w:bookmarkEnd w:id="1062"/>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63" w:name="xdx_91F_eus-gaap--NotesReceivableGross_z"/>
            <w:bookmarkEnd w:id="1063"/>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64" w:name="xdx_48A_eus-gaap--FinancingReceivableNon"/>
            <w:bookmarkEnd w:id="1064"/>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65" w:name="xdx_914_eus-gaap--FinancingReceivableNon"/>
            <w:bookmarkEnd w:id="1065"/>
            <w:r>
              <w:rPr>
                <w:rFonts w:ascii="Times New Roman;Times;Serif" w:hAnsi="Times New Roman;Times;Serif"/>
              </w:rPr>
              <w:t>% of Total</w:t>
            </w:r>
          </w:p>
        </w:tc>
        <w:tc>
          <w:tcPr>
            <w:tcW w:w="230"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Performance Indicators: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066" w:name="xdx_41B_20260630__us-gaap--FinancingRece"/>
            <w:bookmarkEnd w:id="1066"/>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5,772,823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10,015,937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7,383,847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33,701,203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12,918,223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77,672,070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7" w:name="xdx_41E_20260630__us-gaap--FinancingRece"/>
            <w:bookmarkEnd w:id="1067"/>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Non-performing </w:t>
            </w:r>
            <w:bookmarkStart w:id="1068" w:name="xdx_F49_zmkBCPKnqFc9"/>
            <w:bookmarkEnd w:id="1068"/>
            <w:r>
              <w:rPr>
                <w:rFonts w:ascii="Times New Roman;Times;Serif" w:hAnsi="Times New Roman;Times;Serif"/>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1,468,575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2,088,256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1,719,224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8,291,786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069" w:name="xdx_419_20260630__us-gaap--FinancingRece"/>
            <w:bookmarkEnd w:id="1069"/>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9,348,612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11,686,567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9,472,103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34,693,437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14,637,447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85,963,856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640" w:type="dxa"/>
        <w:jc w:val="left"/>
        <w:tblInd w:w="0" w:type="dxa"/>
        <w:tblLayout w:type="fixed"/>
        <w:tblCellMar>
          <w:top w:w="0" w:type="dxa"/>
          <w:left w:w="0" w:type="dxa"/>
          <w:bottom w:w="0" w:type="dxa"/>
          <w:right w:w="0" w:type="dxa"/>
        </w:tblCellMar>
      </w:tblPr>
      <w:tblGrid>
        <w:gridCol w:w="245"/>
        <w:gridCol w:w="6395"/>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1070" w:name="xdx_F02_zSeSGf50Iepl"/>
            <w:bookmarkEnd w:id="1070"/>
            <w:r>
              <w:rPr>
                <w:rFonts w:ascii="Times New Roman;Times;Serif" w:hAnsi="Times New Roman;Times;Serif"/>
                <w:sz w:val="20"/>
              </w:rPr>
              <w:t>(1)</w:t>
            </w:r>
          </w:p>
        </w:tc>
        <w:tc>
          <w:tcPr>
            <w:tcW w:w="6395" w:type="dxa"/>
            <w:tcBorders/>
            <w:vAlign w:val="center"/>
          </w:tcPr>
          <w:p>
            <w:pPr>
              <w:pStyle w:val="TableContents"/>
              <w:bidi w:val="0"/>
              <w:spacing w:before="0" w:after="283"/>
              <w:jc w:val="both"/>
              <w:rPr>
                <w:rFonts w:ascii="Times New Roman;Times;Serif" w:hAnsi="Times New Roman;Times;Serif"/>
                <w:sz w:val="20"/>
              </w:rPr>
            </w:pPr>
            <w:bookmarkStart w:id="1071" w:name="xdx_F13_zIe40dj66Axe"/>
            <w:bookmarkEnd w:id="1071"/>
            <w:r>
              <w:rPr>
                <w:rFonts w:ascii="Times New Roman;Times;Serif" w:hAnsi="Times New Roman;Times;Serif"/>
                <w:sz w:val="20"/>
              </w:rPr>
              <w:t>Includes residential mortgage loans in the process of foreclosure of $1,053,434</w:t>
            </w:r>
          </w:p>
        </w:tc>
      </w:tr>
    </w:tbl>
    <w:p>
      <w:pPr>
        <w:pStyle w:val="TextBody"/>
        <w:pBdr/>
        <w:bidi w:val="0"/>
        <w:spacing w:before="0" w:after="0"/>
        <w:ind w:left="0" w:right="0" w:hanging="0"/>
        <w:jc w:val="left"/>
        <w:rPr>
          <w:caps w:val="false"/>
          <w:smallCaps w:val="false"/>
        </w:rPr>
      </w:pPr>
      <w:r>
        <w:rPr>
          <w:caps w:val="false"/>
          <w:smallCaps w:val="false"/>
        </w:rPr>
        <w:t> </w:t>
      </w:r>
    </w:p>
    <w:tbl>
      <w:tblPr>
        <w:tblW w:w="10930" w:type="dxa"/>
        <w:jc w:val="left"/>
        <w:tblInd w:w="0" w:type="dxa"/>
        <w:tblLayout w:type="fixed"/>
        <w:tblCellMar>
          <w:top w:w="0" w:type="dxa"/>
          <w:left w:w="0" w:type="dxa"/>
          <w:bottom w:w="0" w:type="dxa"/>
          <w:right w:w="0" w:type="dxa"/>
        </w:tblCellMar>
      </w:tblPr>
      <w:tblGrid>
        <w:gridCol w:w="740"/>
        <w:gridCol w:w="60"/>
        <w:gridCol w:w="140"/>
        <w:gridCol w:w="980"/>
        <w:gridCol w:w="60"/>
        <w:gridCol w:w="60"/>
        <w:gridCol w:w="140"/>
        <w:gridCol w:w="980"/>
        <w:gridCol w:w="60"/>
        <w:gridCol w:w="60"/>
        <w:gridCol w:w="140"/>
        <w:gridCol w:w="1100"/>
        <w:gridCol w:w="60"/>
        <w:gridCol w:w="60"/>
        <w:gridCol w:w="140"/>
        <w:gridCol w:w="980"/>
        <w:gridCol w:w="60"/>
        <w:gridCol w:w="60"/>
        <w:gridCol w:w="140"/>
        <w:gridCol w:w="1100"/>
        <w:gridCol w:w="60"/>
        <w:gridCol w:w="60"/>
        <w:gridCol w:w="140"/>
        <w:gridCol w:w="1100"/>
        <w:gridCol w:w="60"/>
        <w:gridCol w:w="60"/>
        <w:gridCol w:w="140"/>
        <w:gridCol w:w="1100"/>
        <w:gridCol w:w="60"/>
        <w:gridCol w:w="60"/>
        <w:gridCol w:w="60"/>
        <w:gridCol w:w="680"/>
        <w:gridCol w:w="230"/>
      </w:tblGrid>
      <w:tr>
        <w:trPr/>
        <w:tc>
          <w:tcPr>
            <w:tcW w:w="740"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vAlign w:val="center"/>
          </w:tcPr>
          <w:p>
            <w:pPr>
              <w:pStyle w:val="TableContents"/>
              <w:bidi w:val="0"/>
              <w:spacing w:before="0" w:after="283"/>
              <w:jc w:val="left"/>
              <w:rPr/>
            </w:pPr>
            <w:r>
              <w:rPr/>
              <w:t> </w:t>
            </w:r>
            <w:bookmarkStart w:id="1072" w:name="xdx_485_eus-gaap--FinancingReceivableOri"/>
            <w:bookmarkEnd w:id="1072"/>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3" w:name="xdx_480_eus-gaap--FinancingReceivableOri"/>
            <w:bookmarkEnd w:id="1073"/>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4" w:name="xdx_48D_eus-gaap--FinancingReceivableOri"/>
            <w:bookmarkEnd w:id="1074"/>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5" w:name="xdx_484_eus-gaap--FinancingReceivableOri"/>
            <w:bookmarkEnd w:id="1075"/>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6" w:name="xdx_48F_eus-gaap--FinancingReceivableOri"/>
            <w:bookmarkEnd w:id="1076"/>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7" w:name="xdx_480_eus-gaap--FinancingReceivableOri"/>
            <w:bookmarkEnd w:id="1077"/>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8" w:name="xdx_485_eus-gaap--NotesReceivableGross_i"/>
            <w:bookmarkEnd w:id="1078"/>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9" w:name="xdx_487_eus-gaap--FinancingReceivableNon"/>
            <w:bookmarkEnd w:id="1079"/>
          </w:p>
        </w:tc>
        <w:tc>
          <w:tcPr>
            <w:tcW w:w="7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bookmarkStart w:id="1080" w:name="xdx_410_20260630__us-gaap--LoanToValueAx"/>
            <w:bookmarkEnd w:id="1080"/>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1,797,451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6,020,086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8,483,048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26,743,989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81" w:name="xdx_41A_20260630__us-gaap--LoanToValueAx"/>
            <w:bookmarkEnd w:id="1081"/>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6,065,619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5,511,619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6,059,879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27,438,602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5,619,593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53,388,514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82" w:name="xdx_416_20260630__us-gaap--LoanToValueAx"/>
            <w:bookmarkEnd w:id="1082"/>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2,013,123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1083" w:name="xdx_417_20260630__us-gaap--FinancingRece"/>
            <w:bookmarkEnd w:id="1083"/>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9,348,612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11,686,567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34,693,437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14,637,447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85,963,856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unpaid principal balance of residential mortgage loans by credit quality indicator and origination year was as follows as of December 31, 2025:</w:t>
      </w:r>
    </w:p>
    <w:p>
      <w:pPr>
        <w:pStyle w:val="TextBody"/>
        <w:pBdr/>
        <w:bidi w:val="0"/>
        <w:spacing w:before="0" w:after="0"/>
        <w:ind w:left="0" w:right="0" w:hanging="0"/>
        <w:jc w:val="both"/>
        <w:rPr>
          <w:caps w:val="false"/>
          <w:smallCaps w:val="false"/>
        </w:rPr>
      </w:pPr>
      <w:r>
        <w:rPr>
          <w:caps w:val="false"/>
          <w:smallCaps w:val="false"/>
        </w:rPr>
        <w:t> </w:t>
      </w:r>
    </w:p>
    <w:tbl>
      <w:tblPr>
        <w:tblW w:w="12010" w:type="dxa"/>
        <w:jc w:val="left"/>
        <w:tblInd w:w="0" w:type="dxa"/>
        <w:tblLayout w:type="fixed"/>
        <w:tblCellMar>
          <w:top w:w="0" w:type="dxa"/>
          <w:left w:w="0" w:type="dxa"/>
          <w:bottom w:w="28" w:type="dxa"/>
          <w:right w:w="0" w:type="dxa"/>
        </w:tblCellMar>
      </w:tblPr>
      <w:tblGrid>
        <w:gridCol w:w="1580"/>
        <w:gridCol w:w="60"/>
        <w:gridCol w:w="140"/>
        <w:gridCol w:w="1100"/>
        <w:gridCol w:w="60"/>
        <w:gridCol w:w="60"/>
        <w:gridCol w:w="140"/>
        <w:gridCol w:w="1100"/>
        <w:gridCol w:w="60"/>
        <w:gridCol w:w="60"/>
        <w:gridCol w:w="140"/>
        <w:gridCol w:w="1100"/>
        <w:gridCol w:w="60"/>
        <w:gridCol w:w="60"/>
        <w:gridCol w:w="140"/>
        <w:gridCol w:w="1100"/>
        <w:gridCol w:w="60"/>
        <w:gridCol w:w="60"/>
        <w:gridCol w:w="140"/>
        <w:gridCol w:w="980"/>
        <w:gridCol w:w="60"/>
        <w:gridCol w:w="60"/>
        <w:gridCol w:w="140"/>
        <w:gridCol w:w="1100"/>
        <w:gridCol w:w="60"/>
        <w:gridCol w:w="60"/>
        <w:gridCol w:w="140"/>
        <w:gridCol w:w="1100"/>
        <w:gridCol w:w="60"/>
        <w:gridCol w:w="60"/>
        <w:gridCol w:w="60"/>
        <w:gridCol w:w="680"/>
        <w:gridCol w:w="23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084" w:name="xdx_48E_eus-gaap--FinancingReceivableOri"/>
            <w:bookmarkEnd w:id="1084"/>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85" w:name="xdx_918_eus-gaap--FinancingReceivableOri"/>
            <w:bookmarkEnd w:id="1085"/>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86" w:name="xdx_480_eus-gaap--FinancingReceivableOri"/>
            <w:bookmarkEnd w:id="1086"/>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87" w:name="xdx_919_eus-gaap--FinancingReceivableOri"/>
            <w:bookmarkEnd w:id="1087"/>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88" w:name="xdx_487_eus-gaap--FinancingReceivableOri"/>
            <w:bookmarkEnd w:id="108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89" w:name="xdx_912_eus-gaap--FinancingReceivableOri"/>
            <w:bookmarkEnd w:id="1089"/>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90" w:name="xdx_482_eus-gaap--FinancingReceivableOri"/>
            <w:bookmarkEnd w:id="109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91" w:name="xdx_91D_eus-gaap--FinancingReceivableOri"/>
            <w:bookmarkEnd w:id="1091"/>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92" w:name="xdx_483_eus-gaap--FinancingReceivableOri"/>
            <w:bookmarkEnd w:id="1092"/>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93" w:name="xdx_918_eus-gaap--FinancingReceivableOri"/>
            <w:bookmarkEnd w:id="1093"/>
            <w:r>
              <w:rPr>
                <w:rFonts w:ascii="Times New Roman;Times;Serif" w:hAnsi="Times New Roman;Times;Serif"/>
              </w:rPr>
              <w:t>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94" w:name="xdx_481_eus-gaap--FinancingReceivableOri"/>
            <w:bookmarkEnd w:id="1094"/>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95" w:name="xdx_91D_eus-gaap--FinancingReceivableOri"/>
            <w:bookmarkEnd w:id="1095"/>
            <w:r>
              <w:rPr>
                <w:rFonts w:ascii="Times New Roman;Times;Serif" w:hAnsi="Times New Roman;Times;Serif"/>
              </w:rPr>
              <w:t>Prior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96" w:name="xdx_482_eus-gaap--NotesReceivableGross_i"/>
            <w:bookmarkEnd w:id="1096"/>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97" w:name="xdx_919_eus-gaap--NotesReceivableGross_z"/>
            <w:bookmarkEnd w:id="1097"/>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98" w:name="xdx_48B_eus-gaap--FinancingReceivableNon"/>
            <w:bookmarkEnd w:id="1098"/>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099" w:name="xdx_917_eus-gaap--FinancingReceivableNon"/>
            <w:bookmarkEnd w:id="1099"/>
            <w:r>
              <w:rPr>
                <w:rFonts w:ascii="Times New Roman;Times;Serif" w:hAnsi="Times New Roman;Times;Serif"/>
              </w:rPr>
              <w:t>% of Total</w:t>
            </w:r>
          </w:p>
        </w:tc>
        <w:tc>
          <w:tcPr>
            <w:tcW w:w="230"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Performance Indicators: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100" w:name="xdx_410_20251231__us-gaap--FinancingRece"/>
            <w:bookmarkEnd w:id="1100"/>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10,946,252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11,711,336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10,177,427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39,714,697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2,264,902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12,734,067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87,548,681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96.58</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01" w:name="xdx_418_20251231__us-gaap--FinancingRece"/>
            <w:bookmarkEnd w:id="1101"/>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Non-performing </w:t>
            </w:r>
            <w:bookmarkStart w:id="1102" w:name="xdx_F40_zkQI74vTSzqe"/>
            <w:bookmarkEnd w:id="1102"/>
            <w:r>
              <w:rPr>
                <w:rFonts w:ascii="Times New Roman;Times;Serif" w:hAnsi="Times New Roman;Times;Serif"/>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103" w:name="xdx_419_20251231__us-gaap--FinancingRece"/>
            <w:bookmarkEnd w:id="1103"/>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12,638,591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10,793,857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39,970,241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90,644,590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555" w:type="dxa"/>
        <w:jc w:val="left"/>
        <w:tblInd w:w="0" w:type="dxa"/>
        <w:tblLayout w:type="fixed"/>
        <w:tblCellMar>
          <w:top w:w="0" w:type="dxa"/>
          <w:left w:w="0" w:type="dxa"/>
          <w:bottom w:w="0" w:type="dxa"/>
          <w:right w:w="0" w:type="dxa"/>
        </w:tblCellMar>
      </w:tblPr>
      <w:tblGrid>
        <w:gridCol w:w="290"/>
        <w:gridCol w:w="7265"/>
      </w:tblGrid>
      <w:tr>
        <w:trPr/>
        <w:tc>
          <w:tcPr>
            <w:tcW w:w="290" w:type="dxa"/>
            <w:tcBorders/>
            <w:vAlign w:val="center"/>
          </w:tcPr>
          <w:p>
            <w:pPr>
              <w:pStyle w:val="TableContents"/>
              <w:bidi w:val="0"/>
              <w:spacing w:before="0" w:after="283"/>
              <w:jc w:val="both"/>
              <w:rPr/>
            </w:pPr>
            <w:bookmarkStart w:id="1104" w:name="xdx_F09_zJId5xmXz9X8"/>
            <w:bookmarkEnd w:id="1104"/>
            <w:r>
              <w:rPr/>
              <w:t>(1)</w:t>
            </w:r>
            <w:bookmarkStart w:id="1105" w:name="xdx_F1C_zkryKH2jU8N9"/>
            <w:bookmarkEnd w:id="1105"/>
          </w:p>
        </w:tc>
        <w:tc>
          <w:tcPr>
            <w:tcW w:w="7265" w:type="dxa"/>
            <w:tcBorders/>
            <w:vAlign w:val="center"/>
          </w:tcPr>
          <w:p>
            <w:pPr>
              <w:pStyle w:val="TableContents"/>
              <w:bidi w:val="0"/>
              <w:spacing w:before="0" w:after="283"/>
              <w:jc w:val="both"/>
              <w:rPr/>
            </w:pPr>
            <w:r>
              <w:rPr/>
              <w:t>Includes residential mortgage loans in the process of foreclosure of $616,430</w:t>
            </w:r>
          </w:p>
        </w:tc>
      </w:tr>
    </w:tbl>
    <w:p>
      <w:pPr>
        <w:pStyle w:val="TextBody"/>
        <w:pBdr/>
        <w:bidi w:val="0"/>
        <w:spacing w:before="0" w:after="0"/>
        <w:ind w:left="0" w:right="0" w:hanging="0"/>
        <w:jc w:val="left"/>
        <w:rPr>
          <w:caps w:val="false"/>
          <w:smallCaps w:val="false"/>
        </w:rPr>
      </w:pPr>
      <w:r>
        <w:rPr>
          <w:caps w:val="false"/>
          <w:smallCaps w:val="false"/>
        </w:rPr>
        <w:t> </w:t>
      </w:r>
    </w:p>
    <w:tbl>
      <w:tblPr>
        <w:tblW w:w="11170" w:type="dxa"/>
        <w:jc w:val="left"/>
        <w:tblInd w:w="0" w:type="dxa"/>
        <w:tblLayout w:type="fixed"/>
        <w:tblCellMar>
          <w:top w:w="0" w:type="dxa"/>
          <w:left w:w="0" w:type="dxa"/>
          <w:bottom w:w="0" w:type="dxa"/>
          <w:right w:w="0" w:type="dxa"/>
        </w:tblCellMar>
      </w:tblPr>
      <w:tblGrid>
        <w:gridCol w:w="740"/>
        <w:gridCol w:w="60"/>
        <w:gridCol w:w="140"/>
        <w:gridCol w:w="1100"/>
        <w:gridCol w:w="60"/>
        <w:gridCol w:w="60"/>
        <w:gridCol w:w="140"/>
        <w:gridCol w:w="1100"/>
        <w:gridCol w:w="60"/>
        <w:gridCol w:w="60"/>
        <w:gridCol w:w="140"/>
        <w:gridCol w:w="1100"/>
        <w:gridCol w:w="60"/>
        <w:gridCol w:w="60"/>
        <w:gridCol w:w="140"/>
        <w:gridCol w:w="1100"/>
        <w:gridCol w:w="60"/>
        <w:gridCol w:w="60"/>
        <w:gridCol w:w="140"/>
        <w:gridCol w:w="980"/>
        <w:gridCol w:w="60"/>
        <w:gridCol w:w="60"/>
        <w:gridCol w:w="140"/>
        <w:gridCol w:w="1100"/>
        <w:gridCol w:w="60"/>
        <w:gridCol w:w="60"/>
        <w:gridCol w:w="140"/>
        <w:gridCol w:w="1100"/>
        <w:gridCol w:w="60"/>
        <w:gridCol w:w="60"/>
        <w:gridCol w:w="60"/>
        <w:gridCol w:w="680"/>
        <w:gridCol w:w="230"/>
      </w:tblGrid>
      <w:tr>
        <w:trPr/>
        <w:tc>
          <w:tcPr>
            <w:tcW w:w="740"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vAlign w:val="center"/>
          </w:tcPr>
          <w:p>
            <w:pPr>
              <w:pStyle w:val="TableContents"/>
              <w:bidi w:val="0"/>
              <w:spacing w:before="0" w:after="283"/>
              <w:jc w:val="left"/>
              <w:rPr/>
            </w:pPr>
            <w:r>
              <w:rPr/>
              <w:t> </w:t>
            </w:r>
            <w:bookmarkStart w:id="1106" w:name="xdx_481_eus-gaap--FinancingReceivableOri"/>
            <w:bookmarkEnd w:id="1106"/>
          </w:p>
        </w:tc>
        <w:tc>
          <w:tcPr>
            <w:tcW w:w="1240" w:type="dxa"/>
            <w:gridSpan w:val="2"/>
            <w:tcBorders/>
            <w:vAlign w:val="center"/>
          </w:tcPr>
          <w:p>
            <w:pPr>
              <w:pStyle w:val="TableContents"/>
              <w:bidi w:val="0"/>
              <w:spacing w:before="0" w:after="283"/>
              <w:jc w:val="left"/>
              <w:rPr/>
            </w:pPr>
            <w:r>
              <w:rPr/>
              <w:t> </w:t>
            </w:r>
            <w:bookmarkStart w:id="1107" w:name="xdx_91B_eus-gaap--FinancingReceivableOri"/>
            <w:bookmarkEnd w:id="1107"/>
            <w:r>
              <w:rPr>
                <w:rFonts w:ascii="Times New Roman;Times;Serif" w:hAnsi="Times New Roman;Times;Serif"/>
                <w:sz w:val="20"/>
              </w:rPr>
              <w:t>Year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8" w:name="xdx_48A_eus-gaap--FinancingReceivableOri"/>
            <w:bookmarkEnd w:id="1108"/>
          </w:p>
        </w:tc>
        <w:tc>
          <w:tcPr>
            <w:tcW w:w="1240" w:type="dxa"/>
            <w:gridSpan w:val="2"/>
            <w:tcBorders/>
            <w:vAlign w:val="center"/>
          </w:tcPr>
          <w:p>
            <w:pPr>
              <w:pStyle w:val="TableContents"/>
              <w:bidi w:val="0"/>
              <w:spacing w:before="0" w:after="283"/>
              <w:jc w:val="left"/>
              <w:rPr>
                <w:rFonts w:ascii="Times New Roman;Times;Serif" w:hAnsi="Times New Roman;Times;Serif"/>
                <w:sz w:val="20"/>
              </w:rPr>
            </w:pPr>
            <w:bookmarkStart w:id="1109" w:name="xdx_91B_eus-gaap--FinancingReceivableOri"/>
            <w:bookmarkEnd w:id="1109"/>
            <w:r>
              <w:rPr>
                <w:rFonts w:ascii="Times New Roman;Times;Serif" w:hAnsi="Times New Roman;Times;Serif"/>
                <w:sz w:val="20"/>
              </w:rPr>
              <w:t>Year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0" w:name="xdx_488_eus-gaap--FinancingReceivableOri"/>
            <w:bookmarkEnd w:id="1110"/>
          </w:p>
        </w:tc>
        <w:tc>
          <w:tcPr>
            <w:tcW w:w="1240" w:type="dxa"/>
            <w:gridSpan w:val="2"/>
            <w:tcBorders/>
            <w:vAlign w:val="center"/>
          </w:tcPr>
          <w:p>
            <w:pPr>
              <w:pStyle w:val="TableContents"/>
              <w:bidi w:val="0"/>
              <w:spacing w:before="0" w:after="283"/>
              <w:jc w:val="left"/>
              <w:rPr>
                <w:rFonts w:ascii="Times New Roman;Times;Serif" w:hAnsi="Times New Roman;Times;Serif"/>
                <w:sz w:val="20"/>
              </w:rPr>
            </w:pPr>
            <w:bookmarkStart w:id="1111" w:name="xdx_910_eus-gaap--FinancingReceivableOri"/>
            <w:bookmarkEnd w:id="1111"/>
            <w:r>
              <w:rPr>
                <w:rFonts w:ascii="Times New Roman;Times;Serif" w:hAnsi="Times New Roman;Times;Serif"/>
                <w:sz w:val="20"/>
              </w:rPr>
              <w:t>Year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2" w:name="xdx_489_eus-gaap--FinancingReceivableOri"/>
            <w:bookmarkEnd w:id="1112"/>
          </w:p>
        </w:tc>
        <w:tc>
          <w:tcPr>
            <w:tcW w:w="1240" w:type="dxa"/>
            <w:gridSpan w:val="2"/>
            <w:tcBorders/>
            <w:vAlign w:val="center"/>
          </w:tcPr>
          <w:p>
            <w:pPr>
              <w:pStyle w:val="TableContents"/>
              <w:bidi w:val="0"/>
              <w:spacing w:before="0" w:after="283"/>
              <w:jc w:val="left"/>
              <w:rPr>
                <w:rFonts w:ascii="Times New Roman;Times;Serif" w:hAnsi="Times New Roman;Times;Serif"/>
                <w:sz w:val="20"/>
              </w:rPr>
            </w:pPr>
            <w:bookmarkStart w:id="1113" w:name="xdx_911_eus-gaap--FinancingReceivableOri"/>
            <w:bookmarkEnd w:id="1113"/>
            <w:r>
              <w:rPr>
                <w:rFonts w:ascii="Times New Roman;Times;Serif" w:hAnsi="Times New Roman;Times;Serif"/>
                <w:sz w:val="20"/>
              </w:rPr>
              <w:t>Year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4" w:name="xdx_482_eus-gaap--FinancingReceivableOri"/>
            <w:bookmarkEnd w:id="1114"/>
          </w:p>
        </w:tc>
        <w:tc>
          <w:tcPr>
            <w:tcW w:w="1120" w:type="dxa"/>
            <w:gridSpan w:val="2"/>
            <w:tcBorders/>
            <w:vAlign w:val="center"/>
          </w:tcPr>
          <w:p>
            <w:pPr>
              <w:pStyle w:val="TableContents"/>
              <w:bidi w:val="0"/>
              <w:spacing w:before="0" w:after="283"/>
              <w:jc w:val="left"/>
              <w:rPr>
                <w:rFonts w:ascii="Times New Roman;Times;Serif" w:hAnsi="Times New Roman;Times;Serif"/>
                <w:sz w:val="20"/>
              </w:rPr>
            </w:pPr>
            <w:bookmarkStart w:id="1115" w:name="xdx_911_eus-gaap--FinancingReceivableOri"/>
            <w:bookmarkEnd w:id="1115"/>
            <w:r>
              <w:rPr>
                <w:rFonts w:ascii="Times New Roman;Times;Serif" w:hAnsi="Times New Roman;Times;Serif"/>
                <w:sz w:val="20"/>
              </w:rPr>
              <w:t>Year 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6" w:name="xdx_480_eus-gaap--FinancingReceivableOri"/>
            <w:bookmarkEnd w:id="1116"/>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7" w:name="xdx_485_eus-gaap--NotesReceivableGross_i"/>
            <w:bookmarkEnd w:id="1117"/>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8" w:name="xdx_483_eus-gaap--FinancingReceivableNon"/>
            <w:bookmarkEnd w:id="1118"/>
          </w:p>
        </w:tc>
        <w:tc>
          <w:tcPr>
            <w:tcW w:w="7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bookmarkStart w:id="1119" w:name="xdx_41C_20251231__us-gaap--LoanToValueAx"/>
            <w:bookmarkEnd w:id="1119"/>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6,054,903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4,118,599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5,710,475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7,259,011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0" w:name="xdx_410_20251231__us-gaap--LoanToValueAx"/>
            <w:bookmarkEnd w:id="1120"/>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6,673,602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6,428,826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6,380,363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32,514,676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5,688,715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58,982,707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1" w:name="xdx_413_20251231__us-gaap--LoanToValueAx"/>
            <w:bookmarkEnd w:id="1121"/>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3,168,194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1122" w:name="xdx_410_20251231__us-gaap--FinancingRece"/>
            <w:bookmarkEnd w:id="1122"/>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11,492,854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12,638,591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10,793,857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39,970,241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90,644,590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1123" w:name="xdx_8AB_zjaKEBJboTza"/>
      <w:bookmarkEnd w:id="112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124" w:name="xdx_899_ecustom--ScheduleOfResidentialCo"/>
      <w:bookmarkEnd w:id="1124"/>
      <w:r>
        <w:rPr>
          <w:rFonts w:ascii="Times New Roman;Times;Serif" w:hAnsi="Times New Roman;Times;Serif"/>
          <w:b w:val="false"/>
          <w:i w:val="false"/>
          <w:caps w:val="false"/>
          <w:smallCaps w:val="false"/>
          <w:sz w:val="20"/>
        </w:rPr>
        <w:t>The aggregate unpaid principal balance of residential construction mortgage loans by credit quality indicator and origination year was as follows as of June 30, 2026:</w:t>
      </w:r>
    </w:p>
    <w:p>
      <w:pPr>
        <w:pStyle w:val="TextBody"/>
        <w:pBdr/>
        <w:bidi w:val="0"/>
        <w:spacing w:before="0" w:after="0"/>
        <w:ind w:left="0" w:right="0" w:hanging="0"/>
        <w:jc w:val="both"/>
        <w:rPr>
          <w:caps w:val="false"/>
          <w:smallCaps w:val="false"/>
        </w:rPr>
      </w:pPr>
      <w:r>
        <w:rPr>
          <w:caps w:val="false"/>
          <w:smallCaps w:val="false"/>
        </w:rPr>
        <w:t> </w:t>
      </w:r>
      <w:bookmarkStart w:id="1125" w:name="xdx_8B8_zb0DbhmBJ215"/>
      <w:bookmarkEnd w:id="1125"/>
      <w:r>
        <w:rPr>
          <w:rFonts w:ascii="Times New Roman;Times;Serif" w:hAnsi="Times New Roman;Times;Serif"/>
          <w:b w:val="false"/>
          <w:i w:val="false"/>
          <w:caps w:val="false"/>
          <w:smallCaps w:val="false"/>
          <w:sz w:val="20"/>
        </w:rPr>
        <w:t>Schedule of Residential Construction Mortgage Loans</w:t>
      </w:r>
    </w:p>
    <w:tbl>
      <w:tblPr>
        <w:tblW w:w="10650" w:type="dxa"/>
        <w:jc w:val="left"/>
        <w:tblInd w:w="0" w:type="dxa"/>
        <w:tblLayout w:type="fixed"/>
        <w:tblCellMar>
          <w:top w:w="0" w:type="dxa"/>
          <w:left w:w="0" w:type="dxa"/>
          <w:bottom w:w="28" w:type="dxa"/>
          <w:right w:w="0" w:type="dxa"/>
        </w:tblCellMar>
      </w:tblPr>
      <w:tblGrid>
        <w:gridCol w:w="1580"/>
        <w:gridCol w:w="60"/>
        <w:gridCol w:w="140"/>
        <w:gridCol w:w="1100"/>
        <w:gridCol w:w="60"/>
        <w:gridCol w:w="60"/>
        <w:gridCol w:w="140"/>
        <w:gridCol w:w="1100"/>
        <w:gridCol w:w="60"/>
        <w:gridCol w:w="60"/>
        <w:gridCol w:w="140"/>
        <w:gridCol w:w="1100"/>
        <w:gridCol w:w="60"/>
        <w:gridCol w:w="60"/>
        <w:gridCol w:w="140"/>
        <w:gridCol w:w="980"/>
        <w:gridCol w:w="60"/>
        <w:gridCol w:w="60"/>
        <w:gridCol w:w="140"/>
        <w:gridCol w:w="980"/>
        <w:gridCol w:w="60"/>
        <w:gridCol w:w="60"/>
        <w:gridCol w:w="140"/>
        <w:gridCol w:w="1220"/>
        <w:gridCol w:w="60"/>
        <w:gridCol w:w="60"/>
        <w:gridCol w:w="60"/>
        <w:gridCol w:w="680"/>
        <w:gridCol w:w="23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126" w:name="xdx_48B_eus-gaap--FinancingReceivableOri"/>
            <w:bookmarkEnd w:id="1126"/>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27" w:name="xdx_917_eus-gaap--FinancingReceivableOri"/>
            <w:bookmarkEnd w:id="1127"/>
            <w:r>
              <w:rPr>
                <w:rFonts w:ascii="Times New Roman;Times;Serif" w:hAnsi="Times New Roman;Times;Serif"/>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28" w:name="xdx_48F_eus-gaap--FinancingReceivableOri"/>
            <w:bookmarkEnd w:id="1128"/>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29" w:name="xdx_917_eus-gaap--FinancingReceivableOri"/>
            <w:bookmarkEnd w:id="1129"/>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30" w:name="xdx_487_eus-gaap--FinancingReceivableOri"/>
            <w:bookmarkEnd w:id="113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31" w:name="xdx_919_eus-gaap--FinancingReceivableOri"/>
            <w:bookmarkEnd w:id="1131"/>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32" w:name="xdx_483_eus-gaap--FinancingReceivableOri"/>
            <w:bookmarkEnd w:id="1132"/>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33" w:name="xdx_91D_eus-gaap--FinancingReceivableOri"/>
            <w:bookmarkEnd w:id="1133"/>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34" w:name="xdx_48F_eus-gaap--FinancingReceivableOri"/>
            <w:bookmarkEnd w:id="1134"/>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35" w:name="xdx_913_eus-gaap--FinancingReceivableOri"/>
            <w:bookmarkEnd w:id="1135"/>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36" w:name="xdx_482_eus-gaap--NotesReceivableGross_i"/>
            <w:bookmarkEnd w:id="1136"/>
          </w:p>
        </w:tc>
        <w:tc>
          <w:tcPr>
            <w:tcW w:w="13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37" w:name="xdx_91D_eus-gaap--NotesReceivableGross_z"/>
            <w:bookmarkEnd w:id="1137"/>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38" w:name="xdx_483_eus-gaap--FinancingReceivableNon"/>
            <w:bookmarkEnd w:id="1138"/>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39" w:name="xdx_915_eus-gaap--FinancingReceivableNon"/>
            <w:bookmarkEnd w:id="1139"/>
            <w:r>
              <w:rPr>
                <w:rFonts w:ascii="Times New Roman;Times;Serif" w:hAnsi="Times New Roman;Times;Serif"/>
              </w:rPr>
              <w:t>% of Total</w:t>
            </w:r>
          </w:p>
        </w:tc>
        <w:tc>
          <w:tcPr>
            <w:tcW w:w="230" w:type="dxa"/>
            <w:tcBorders/>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Performance Indicators: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140" w:name="xdx_410_20260630__us-gaap--FinancialInst"/>
            <w:bookmarkEnd w:id="1140"/>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54,166,000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55,395,707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24,335,368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3,769,201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1" w:name="xdx_415_20260630__us-gaap--FinancialInst"/>
            <w:bookmarkEnd w:id="1141"/>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Non-performing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bookmarkStart w:id="1142" w:name="xdx_41E_20260630__us-gaap--FinancingRece"/>
            <w:bookmarkEnd w:id="1142"/>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55,395,707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24,335,368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3,769,201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3,025,964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1143" w:name="xdx_414_20260630__us-gaap--LoanToValueAx"/>
            <w:bookmarkEnd w:id="1143"/>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11,605,814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24,371,764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22,989,281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3,769,201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65,762,024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46.74</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4" w:name="xdx_413_20260630__us-gaap--LoanToValueAx"/>
            <w:bookmarkEnd w:id="1144"/>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42,560,186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31,023,943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74,930,216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53.26</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5" w:name="xdx_41D_20260630__us-gaap--LoanToValueAx"/>
            <w:bookmarkEnd w:id="1145"/>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6" w:name="xdx_982_eus-gaap--FinancingReceivableOri"/>
            <w:bookmarkEnd w:id="1146"/>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54,166,000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7" w:name="xdx_98E_eus-gaap--FinancingReceivableOri"/>
            <w:bookmarkEnd w:id="1147"/>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55,395,707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8" w:name="xdx_98E_eus-gaap--FinancingReceivableOri"/>
            <w:bookmarkEnd w:id="1148"/>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24,335,368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9" w:name="xdx_985_eus-gaap--FinancingReceivableOri"/>
            <w:bookmarkEnd w:id="1149"/>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3,769,201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0" w:name="xdx_981_eus-gaap--FinancingReceivableOri"/>
            <w:bookmarkEnd w:id="1150"/>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1" w:name="xdx_988_eus-gaap--NotesReceivableGross_i"/>
            <w:bookmarkEnd w:id="1151"/>
          </w:p>
        </w:tc>
        <w:tc>
          <w:tcPr>
            <w:tcW w:w="122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140,692,240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152" w:name="xdx_98B_eus-gaap--FinancingReceivableNon"/>
            <w:bookmarkEnd w:id="1152"/>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unpaid principal balance of residential construction mortgage loans by credit quality indicator and origination year was as follows as of December 31, 2025:</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4"/>
        <w:gridCol w:w="60"/>
        <w:gridCol w:w="140"/>
        <w:gridCol w:w="1220"/>
        <w:gridCol w:w="60"/>
        <w:gridCol w:w="60"/>
        <w:gridCol w:w="140"/>
        <w:gridCol w:w="1100"/>
        <w:gridCol w:w="60"/>
        <w:gridCol w:w="60"/>
        <w:gridCol w:w="140"/>
        <w:gridCol w:w="980"/>
        <w:gridCol w:w="60"/>
        <w:gridCol w:w="60"/>
        <w:gridCol w:w="297"/>
        <w:gridCol w:w="203"/>
        <w:gridCol w:w="60"/>
        <w:gridCol w:w="60"/>
        <w:gridCol w:w="140"/>
        <w:gridCol w:w="980"/>
        <w:gridCol w:w="60"/>
        <w:gridCol w:w="60"/>
        <w:gridCol w:w="140"/>
        <w:gridCol w:w="1220"/>
        <w:gridCol w:w="60"/>
        <w:gridCol w:w="60"/>
        <w:gridCol w:w="64"/>
        <w:gridCol w:w="726"/>
        <w:gridCol w:w="231"/>
      </w:tblGrid>
      <w:tr>
        <w:trPr/>
        <w:tc>
          <w:tcPr>
            <w:tcW w:w="1704"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Credit Quality Indicator</w:t>
            </w:r>
          </w:p>
        </w:tc>
        <w:tc>
          <w:tcPr>
            <w:tcW w:w="60" w:type="dxa"/>
            <w:tcBorders/>
            <w:tcMar>
              <w:bottom w:w="0" w:type="dxa"/>
            </w:tcMar>
            <w:vAlign w:val="center"/>
          </w:tcPr>
          <w:p>
            <w:pPr>
              <w:pStyle w:val="TableContents"/>
              <w:bidi w:val="0"/>
              <w:spacing w:before="0" w:after="283"/>
              <w:jc w:val="left"/>
              <w:rPr/>
            </w:pPr>
            <w:r>
              <w:rPr/>
              <w:t> </w:t>
            </w:r>
            <w:bookmarkStart w:id="1153" w:name="xdx_48B_eus-gaap--FinancingReceivableOri"/>
            <w:bookmarkEnd w:id="1153"/>
          </w:p>
        </w:tc>
        <w:tc>
          <w:tcPr>
            <w:tcW w:w="13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54" w:name="xdx_91E_eus-gaap--FinancingReceivableOri"/>
            <w:bookmarkEnd w:id="1154"/>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55" w:name="xdx_486_eus-gaap--FinancingReceivableOri"/>
            <w:bookmarkEnd w:id="1155"/>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56" w:name="xdx_913_eus-gaap--FinancingReceivableOri"/>
            <w:bookmarkEnd w:id="1156"/>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57" w:name="xdx_486_eus-gaap--FinancingReceivableOri"/>
            <w:bookmarkEnd w:id="1157"/>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58" w:name="xdx_916_eus-gaap--FinancingReceivableOri"/>
            <w:bookmarkEnd w:id="1158"/>
            <w:r>
              <w:rPr>
                <w:rFonts w:ascii="Times New Roman;Times;Serif" w:hAnsi="Times New Roman;Times;Serif"/>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59" w:name="xdx_484_eus-gaap--FinancingReceivableOri"/>
            <w:bookmarkEnd w:id="1159"/>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60" w:name="xdx_915_eus-gaap--FinancingReceivableOri"/>
            <w:bookmarkEnd w:id="1160"/>
            <w:r>
              <w:rPr>
                <w:rFonts w:ascii="Times New Roman;Times;Serif" w:hAnsi="Times New Roman;Times;Serif"/>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1" w:name="xdx_489_eus-gaap--FinancingReceivableOri"/>
            <w:bookmarkEnd w:id="1161"/>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62" w:name="xdx_918_eus-gaap--FinancingReceivableOri"/>
            <w:bookmarkEnd w:id="1162"/>
            <w:r>
              <w:rPr>
                <w:rFonts w:ascii="Times New Roman;Times;Serif" w:hAnsi="Times New Roman;Times;Serif"/>
              </w:rPr>
              <w:t>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3" w:name="xdx_483_eus-gaap--NotesReceivableGross_i"/>
            <w:bookmarkEnd w:id="1163"/>
          </w:p>
        </w:tc>
        <w:tc>
          <w:tcPr>
            <w:tcW w:w="13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64" w:name="xdx_919_eus-gaap--NotesReceivableGross_z"/>
            <w:bookmarkEnd w:id="1164"/>
            <w:r>
              <w:rPr>
                <w:rFonts w:ascii="Times New Roman;Times;Serif" w:hAnsi="Times New Roman;Times;Serif"/>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5" w:name="xdx_488_eus-gaap--FinancingReceivableNon"/>
            <w:bookmarkEnd w:id="1165"/>
          </w:p>
        </w:tc>
        <w:tc>
          <w:tcPr>
            <w:tcW w:w="7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bookmarkStart w:id="1166" w:name="xdx_914_eus-gaap--FinancingReceivableNon"/>
            <w:bookmarkEnd w:id="1166"/>
            <w:r>
              <w:rPr>
                <w:rFonts w:ascii="Times New Roman;Times;Serif" w:hAnsi="Times New Roman;Times;Serif"/>
              </w:rPr>
              <w:t>% of Total</w:t>
            </w:r>
          </w:p>
        </w:tc>
        <w:tc>
          <w:tcPr>
            <w:tcW w:w="231" w:type="dxa"/>
            <w:tcBorders/>
            <w:tcMar>
              <w:bottom w:w="0" w:type="dxa"/>
            </w:tcMar>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Performance Indicators: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bookmarkStart w:id="1167" w:name="xdx_41D_20251231__us-gaap--FinancialInst"/>
            <w:bookmarkEnd w:id="1167"/>
          </w:p>
        </w:tc>
      </w:tr>
      <w:tr>
        <w:trPr/>
        <w:tc>
          <w:tcPr>
            <w:tcW w:w="17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105,516,880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42,129,717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5,820,344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8" w:name="xdx_41B_20251231__us-gaap--FinancialInst"/>
            <w:bookmarkEnd w:id="1168"/>
          </w:p>
        </w:tc>
      </w:tr>
      <w:tr>
        <w:trPr/>
        <w:tc>
          <w:tcPr>
            <w:tcW w:w="17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Non-performing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bookmarkStart w:id="1169" w:name="xdx_412_20251231__us-gaap--FinancingRece"/>
            <w:bookmarkEnd w:id="1169"/>
          </w:p>
        </w:tc>
      </w:tr>
      <w:tr>
        <w:trPr/>
        <w:tc>
          <w:tcPr>
            <w:tcW w:w="17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105,516,880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42,129,717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5,820,344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3,931,764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LTV: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bookmarkStart w:id="1170" w:name="xdx_411_20251231__us-gaap--LoanToValueAx"/>
            <w:bookmarkEnd w:id="1170"/>
          </w:p>
        </w:tc>
      </w:tr>
      <w:tr>
        <w:trPr/>
        <w:tc>
          <w:tcPr>
            <w:tcW w:w="17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than 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24,286,540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20,684,760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5,820,344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54,723,408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1" w:name="xdx_41C_20251231__us-gaap--LoanToValueAx"/>
            <w:bookmarkEnd w:id="1171"/>
          </w:p>
        </w:tc>
      </w:tr>
      <w:tr>
        <w:trPr/>
        <w:tc>
          <w:tcPr>
            <w:tcW w:w="17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 to 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78,223,502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21,444,957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99,668,459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63.32</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2" w:name="xdx_417_20251231__us-gaap--LoanToValueAx"/>
            <w:bookmarkEnd w:id="1172"/>
          </w:p>
        </w:tc>
      </w:tr>
      <w:tr>
        <w:trPr/>
        <w:tc>
          <w:tcPr>
            <w:tcW w:w="17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Greater than 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3,006,838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single" w:sz="8" w:space="0" w:color="000000"/>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3,006,838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17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3" w:name="xdx_989_eus-gaap--FinancingReceivableOri"/>
            <w:bookmarkEnd w:id="1173"/>
          </w:p>
        </w:tc>
        <w:tc>
          <w:tcPr>
            <w:tcW w:w="122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105,516,880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4" w:name="xdx_989_eus-gaap--FinancingReceivableOri"/>
            <w:bookmarkEnd w:id="1174"/>
          </w:p>
        </w:tc>
        <w:tc>
          <w:tcPr>
            <w:tcW w:w="11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42,129,717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5" w:name="xdx_98F_eus-gaap--FinancingReceivableOri"/>
            <w:bookmarkEnd w:id="1175"/>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5,820,344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6" w:name="xdx_98E_eus-gaap--FinancingReceivableOri"/>
            <w:bookmarkEnd w:id="1176"/>
          </w:p>
        </w:tc>
        <w:tc>
          <w:tcPr>
            <w:tcW w:w="20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7" w:name="xdx_98E_eus-gaap--FinancingReceivableOri"/>
            <w:bookmarkEnd w:id="1177"/>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8" w:name="xdx_987_eus-gaap--NotesReceivableGross_i"/>
            <w:bookmarkEnd w:id="1178"/>
          </w:p>
        </w:tc>
        <w:tc>
          <w:tcPr>
            <w:tcW w:w="122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157,398,705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FFFFFF" w:val="clear"/>
            <w:vAlign w:val="center"/>
          </w:tcPr>
          <w:p>
            <w:pPr>
              <w:pStyle w:val="TableContents"/>
              <w:bidi w:val="0"/>
              <w:spacing w:before="0" w:after="283"/>
              <w:jc w:val="left"/>
              <w:rPr/>
            </w:pPr>
            <w:r>
              <w:rPr/>
              <w:t> </w:t>
            </w:r>
            <w:bookmarkStart w:id="1179" w:name="xdx_98C_eus-gaap--FinancingReceivableNon"/>
            <w:bookmarkEnd w:id="1179"/>
          </w:p>
        </w:tc>
        <w:tc>
          <w:tcPr>
            <w:tcW w:w="72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1180" w:name="xdx_8A8_zfLJco1uMtUk"/>
      <w:bookmarkEnd w:id="118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Assignments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181" w:name="xdx_896_ecustom--ScheduleOfAgingOfInsura"/>
      <w:bookmarkEnd w:id="1181"/>
      <w:r>
        <w:rPr>
          <w:rFonts w:ascii="Times New Roman;Times;Serif" w:hAnsi="Times New Roman;Times;Serif"/>
          <w:b w:val="false"/>
          <w:i w:val="false"/>
          <w:caps w:val="false"/>
          <w:smallCaps w:val="false"/>
          <w:sz w:val="20"/>
        </w:rPr>
        <w:t>The following table presents the aging of insurance assignments, included in other investments and policy loans on the condensed consolidated balance sheets:</w:t>
      </w:r>
    </w:p>
    <w:p>
      <w:pPr>
        <w:pStyle w:val="TextBody"/>
        <w:pBdr/>
        <w:bidi w:val="0"/>
        <w:spacing w:before="0" w:after="0"/>
        <w:ind w:left="0" w:right="0" w:hanging="0"/>
        <w:jc w:val="both"/>
        <w:rPr>
          <w:caps w:val="false"/>
          <w:smallCaps w:val="false"/>
        </w:rPr>
      </w:pPr>
      <w:r>
        <w:rPr>
          <w:caps w:val="false"/>
          <w:smallCaps w:val="false"/>
        </w:rPr>
        <w:t> </w:t>
      </w:r>
      <w:bookmarkStart w:id="1182" w:name="xdx_8BE_zPNaDLIhWcEh"/>
      <w:bookmarkEnd w:id="1182"/>
      <w:r>
        <w:rPr>
          <w:rFonts w:ascii="Times New Roman;Times;Serif" w:hAnsi="Times New Roman;Times;Serif"/>
          <w:b w:val="false"/>
          <w:i w:val="false"/>
          <w:caps w:val="false"/>
          <w:smallCaps w:val="false"/>
          <w:sz w:val="20"/>
        </w:rPr>
        <w:t>Schedule of Aging of Insurance Assignments</w:t>
      </w:r>
    </w:p>
    <w:tbl>
      <w:tblPr>
        <w:tblW w:w="5609" w:type="dxa"/>
        <w:jc w:val="left"/>
        <w:tblInd w:w="0" w:type="dxa"/>
        <w:tblLayout w:type="fixed"/>
        <w:tblCellMar>
          <w:top w:w="0" w:type="dxa"/>
          <w:left w:w="0" w:type="dxa"/>
          <w:bottom w:w="0" w:type="dxa"/>
          <w:right w:w="0" w:type="dxa"/>
        </w:tblCellMar>
      </w:tblPr>
      <w:tblGrid>
        <w:gridCol w:w="2690"/>
        <w:gridCol w:w="60"/>
        <w:gridCol w:w="140"/>
        <w:gridCol w:w="1100"/>
        <w:gridCol w:w="95"/>
        <w:gridCol w:w="60"/>
        <w:gridCol w:w="152"/>
        <w:gridCol w:w="1202"/>
        <w:gridCol w:w="11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jc w:val="center"/>
              <w:rPr>
                <w:rFonts w:ascii="Times New Roman;Times;Serif" w:hAnsi="Times New Roman;Times;Serif"/>
              </w:rPr>
            </w:pPr>
            <w:r>
              <w:rPr>
                <w:rFonts w:ascii="Times New Roman;Times;Serif" w:hAnsi="Times New Roman;Times;Serif"/>
              </w:rPr>
              <w:t>June 30,</w:t>
            </w:r>
          </w:p>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30-59 days past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83" w:name="xdx_98A_ecustom--InsuranceAssignmentsDur"/>
            <w:bookmarkEnd w:id="118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8,365,826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84" w:name="xdx_98D_ecustom--InsuranceAssignmentsDur"/>
            <w:bookmarkEnd w:id="1184"/>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8,444,866</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60-89 days past due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85" w:name="xdx_980_ecustom--InsuranceAssignmentsDur"/>
            <w:bookmarkEnd w:id="118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3,947,278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1186" w:name="xdx_985_ecustom--InsuranceAssignmentsDur"/>
            <w:bookmarkEnd w:id="1186"/>
          </w:p>
        </w:tc>
        <w:tc>
          <w:tcPr>
            <w:tcW w:w="12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3,344,793</w:t>
            </w:r>
          </w:p>
        </w:tc>
        <w:tc>
          <w:tcPr>
            <w:tcW w:w="11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90 days past due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87" w:name="xdx_98A_ecustom--InsuranceAssignmentsDur"/>
            <w:bookmarkEnd w:id="118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5,148,954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88" w:name="xdx_98A_ecustom--InsuranceAssignmentsDur"/>
            <w:bookmarkEnd w:id="1188"/>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4,976,211</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past due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9" w:name="xdx_989_ecustom--InsuranceAssignmentsDur"/>
            <w:bookmarkEnd w:id="118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17,462,058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0" w:name="xdx_984_ecustom--InsuranceAssignmentsDur"/>
            <w:bookmarkEnd w:id="1190"/>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16,765,870</w:t>
            </w:r>
          </w:p>
        </w:tc>
        <w:tc>
          <w:tcPr>
            <w:tcW w:w="11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91" w:name="xdx_987_ecustom--InsuranceAssignmentsDur"/>
            <w:bookmarkEnd w:id="1191"/>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26,547,452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92" w:name="xdx_985_ecustom--InsuranceAssignmentsDur"/>
            <w:bookmarkEnd w:id="1192"/>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29,418,129</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insurance assignments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3" w:name="xdx_980_ecustom--InsuranceAssignmentsDur"/>
            <w:bookmarkEnd w:id="119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44,009,510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4" w:name="xdx_989_ecustom--InsuranceAssignmentsDur"/>
            <w:bookmarkEnd w:id="1194"/>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46,183,999</w:t>
            </w:r>
          </w:p>
        </w:tc>
        <w:tc>
          <w:tcPr>
            <w:tcW w:w="11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95" w:name="xdx_98C_eus-gaap--AllowanceForDoubtfulAc"/>
            <w:bookmarkEnd w:id="119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(1,476,295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96" w:name="xdx_986_eus-gaap--AllowanceForDoubtfulAc"/>
            <w:bookmarkEnd w:id="1196"/>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(1,676,468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insurance assignments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97" w:name="xdx_982_ecustom--InsuranceAssignmentsDur"/>
            <w:bookmarkEnd w:id="119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42,533,215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98" w:name="xdx_983_ecustom--InsuranceAssignmentsDur"/>
            <w:bookmarkEnd w:id="1198"/>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44,507,531</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199" w:name="xdx_8AB_zXU3onASsSke"/>
      <w:bookmarkEnd w:id="119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an allowance for credit losses when the insurance assignment is funded. Once an insurance assignment is 90 days past due or is in legal proceedings, it is monitored for write-off and collectability, and any adjustments to the allowance are recorded at that 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200" w:name="xdx_89B_ecustom--ScheduleOfAllowanceForC"/>
      <w:bookmarkEnd w:id="1200"/>
      <w:r>
        <w:rPr>
          <w:rFonts w:ascii="Times New Roman;Times;Serif" w:hAnsi="Times New Roman;Times;Serif"/>
          <w:b w:val="false"/>
          <w:i w:val="false"/>
          <w:caps w:val="false"/>
          <w:smallCaps w:val="false"/>
          <w:sz w:val="20"/>
        </w:rPr>
        <w:t>The following table presents a roll forward of the allowance for credit losses for insurance assignments as of the dates indicated:</w:t>
      </w:r>
    </w:p>
    <w:p>
      <w:pPr>
        <w:pStyle w:val="TextBody"/>
        <w:pBdr/>
        <w:bidi w:val="0"/>
        <w:spacing w:before="0" w:after="0"/>
        <w:ind w:left="0" w:right="0" w:hanging="0"/>
        <w:jc w:val="both"/>
        <w:rPr>
          <w:caps w:val="false"/>
          <w:smallCaps w:val="false"/>
        </w:rPr>
      </w:pPr>
      <w:r>
        <w:rPr>
          <w:caps w:val="false"/>
          <w:smallCaps w:val="false"/>
        </w:rPr>
        <w:t> </w:t>
      </w:r>
      <w:bookmarkStart w:id="1201" w:name="xdx_8B8_z2a47SYxJuD7"/>
      <w:bookmarkEnd w:id="1201"/>
      <w:r>
        <w:rPr>
          <w:rFonts w:ascii="Times New Roman;Times;Serif" w:hAnsi="Times New Roman;Times;Serif"/>
          <w:b w:val="false"/>
          <w:i w:val="false"/>
          <w:caps w:val="false"/>
          <w:smallCaps w:val="false"/>
          <w:sz w:val="20"/>
        </w:rPr>
        <w:t>Schedule of Allowance for Credit Losses for Insurance Assignments</w:t>
      </w:r>
    </w:p>
    <w:tbl>
      <w:tblPr>
        <w:tblW w:w="5159" w:type="dxa"/>
        <w:jc w:val="left"/>
        <w:tblInd w:w="0" w:type="dxa"/>
        <w:tblLayout w:type="fixed"/>
        <w:tblCellMar>
          <w:top w:w="0" w:type="dxa"/>
          <w:left w:w="0" w:type="dxa"/>
          <w:bottom w:w="0" w:type="dxa"/>
          <w:right w:w="0" w:type="dxa"/>
        </w:tblCellMar>
      </w:tblPr>
      <w:tblGrid>
        <w:gridCol w:w="3275"/>
        <w:gridCol w:w="60"/>
        <w:gridCol w:w="222"/>
        <w:gridCol w:w="1507"/>
        <w:gridCol w:w="95"/>
      </w:tblGrid>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2" w:name="xdx_988_eus-gaap--AllowanceForDoubtfulAc"/>
            <w:bookmarkEnd w:id="1202"/>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1,518,047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03" w:name="xdx_983_ecustom--AllowanceForCreditLosse"/>
            <w:bookmarkEnd w:id="1203"/>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04" w:name="xdx_98B_ecustom--AllowanceForCreditLosse"/>
            <w:bookmarkEnd w:id="1204"/>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(279,081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5" w:name="xdx_981_eus-gaap--AllowanceForDoubtfulAc"/>
            <w:bookmarkEnd w:id="1205"/>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1,476,295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March 3,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6" w:name="xdx_988_eus-gaap--AllowanceForDoubtfulAc"/>
            <w:bookmarkEnd w:id="1206"/>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1,517,783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07" w:name="xdx_988_ecustom--AllowanceForCreditLosse"/>
            <w:bookmarkEnd w:id="1207"/>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257,253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08" w:name="xdx_98C_ecustom--AllowanceForCreditLosse"/>
            <w:bookmarkEnd w:id="1208"/>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9" w:name="xdx_989_eus-gaap--AllowanceForDoubtfulAc"/>
            <w:bookmarkEnd w:id="1209"/>
          </w:p>
        </w:tc>
        <w:tc>
          <w:tcPr>
            <w:tcW w:w="1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1,481,032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930" w:type="dxa"/>
        <w:jc w:val="left"/>
        <w:tblInd w:w="0" w:type="dxa"/>
        <w:tblLayout w:type="fixed"/>
        <w:tblCellMar>
          <w:top w:w="0" w:type="dxa"/>
          <w:left w:w="0" w:type="dxa"/>
          <w:bottom w:w="0" w:type="dxa"/>
          <w:right w:w="0" w:type="dxa"/>
        </w:tblCellMar>
      </w:tblPr>
      <w:tblGrid>
        <w:gridCol w:w="290"/>
        <w:gridCol w:w="7640"/>
      </w:tblGrid>
      <w:tr>
        <w:trPr/>
        <w:tc>
          <w:tcPr>
            <w:tcW w:w="290" w:type="dxa"/>
            <w:tcBorders/>
            <w:vAlign w:val="center"/>
          </w:tcPr>
          <w:p>
            <w:pPr>
              <w:pStyle w:val="TableContents"/>
              <w:bidi w:val="0"/>
              <w:spacing w:before="0" w:after="283"/>
              <w:jc w:val="both"/>
              <w:rPr/>
            </w:pPr>
            <w:bookmarkStart w:id="1210" w:name="xdx_F09_zYUxGHTXWPl8"/>
            <w:bookmarkEnd w:id="1210"/>
            <w:r>
              <w:rPr/>
              <w:t>(1)</w:t>
            </w:r>
            <w:bookmarkStart w:id="1211" w:name="xdx_F13_zcEWJVrLuUQi"/>
            <w:bookmarkEnd w:id="1211"/>
          </w:p>
        </w:tc>
        <w:tc>
          <w:tcPr>
            <w:tcW w:w="7640" w:type="dxa"/>
            <w:tcBorders/>
            <w:vAlign w:val="center"/>
          </w:tcPr>
          <w:p>
            <w:pPr>
              <w:pStyle w:val="TableContents"/>
              <w:bidi w:val="0"/>
              <w:spacing w:before="0" w:after="283"/>
              <w:jc w:val="both"/>
              <w:rPr/>
            </w:pPr>
            <w:r>
              <w:rPr/>
              <w:t>Included in other expenses on the condensed consolidated statements of earnings</w:t>
            </w:r>
          </w:p>
        </w:tc>
      </w:tr>
    </w:tbl>
    <w:p>
      <w:pPr>
        <w:pStyle w:val="TextBody"/>
        <w:pBdr/>
        <w:bidi w:val="0"/>
        <w:spacing w:before="0" w:after="0"/>
        <w:ind w:left="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0" w:type="dxa"/>
          <w:right w:w="0" w:type="dxa"/>
        </w:tblCellMar>
      </w:tblPr>
      <w:tblGrid>
        <w:gridCol w:w="3875"/>
        <w:gridCol w:w="60"/>
        <w:gridCol w:w="223"/>
        <w:gridCol w:w="1566"/>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2025</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2" w:name="xdx_988_eus-gaap--AllowanceForDoubtfulAc"/>
            <w:bookmarkEnd w:id="1212"/>
          </w:p>
        </w:tc>
        <w:tc>
          <w:tcPr>
            <w:tcW w:w="15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1,676,468</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1213" w:name="xdx_985_ecustom--AllowanceForCreditLosse"/>
            <w:bookmarkEnd w:id="1213"/>
          </w:p>
        </w:tc>
        <w:tc>
          <w:tcPr>
            <w:tcW w:w="15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522,156</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14" w:name="xdx_98E_ecustom--AllowanceForCreditLosse"/>
            <w:bookmarkEnd w:id="1214"/>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(722,329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2026</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5" w:name="xdx_981_eus-gaap--AllowanceForDoubtfulAc"/>
            <w:bookmarkEnd w:id="1215"/>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1,476,295</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 - December 31, 2024</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6" w:name="xdx_980_eus-gaap--AllowanceForDoubtfulAc"/>
            <w:bookmarkEnd w:id="1216"/>
          </w:p>
        </w:tc>
        <w:tc>
          <w:tcPr>
            <w:tcW w:w="15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1,536,926</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 (1)</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bookmarkStart w:id="1217" w:name="xdx_989_ecustom--AllowanceForCreditLosse"/>
            <w:bookmarkEnd w:id="1217"/>
          </w:p>
        </w:tc>
        <w:tc>
          <w:tcPr>
            <w:tcW w:w="15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551,051</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8" w:name="xdx_987_ecustom--AllowanceForCreditLosse"/>
            <w:bookmarkEnd w:id="1218"/>
          </w:p>
        </w:tc>
        <w:tc>
          <w:tcPr>
            <w:tcW w:w="15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 - June 30, 2025</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9" w:name="xdx_986_eus-gaap--AllowanceForDoubtfulAc"/>
            <w:bookmarkEnd w:id="1219"/>
          </w:p>
        </w:tc>
        <w:tc>
          <w:tcPr>
            <w:tcW w:w="15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1,481,032</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1220" w:name="xdx_F02_z8gu0qxFWob5"/>
            <w:bookmarkEnd w:id="1220"/>
            <w:r>
              <w:rPr>
                <w:rFonts w:ascii="Times New Roman;Times;Serif" w:hAnsi="Times New Roman;Times;Serif"/>
                <w:sz w:val="20"/>
              </w:rPr>
              <w:t>(1)</w:t>
            </w:r>
          </w:p>
        </w:tc>
        <w:tc>
          <w:tcPr>
            <w:tcW w:w="6605" w:type="dxa"/>
            <w:tcBorders/>
            <w:vAlign w:val="center"/>
          </w:tcPr>
          <w:p>
            <w:pPr>
              <w:pStyle w:val="TableContents"/>
              <w:bidi w:val="0"/>
              <w:spacing w:before="0" w:after="283"/>
              <w:jc w:val="both"/>
              <w:rPr>
                <w:rFonts w:ascii="Times New Roman;Times;Serif" w:hAnsi="Times New Roman;Times;Serif"/>
                <w:sz w:val="20"/>
              </w:rPr>
            </w:pPr>
            <w:bookmarkStart w:id="1221" w:name="xdx_F1D_zNfkoGJb1PAd"/>
            <w:bookmarkEnd w:id="1221"/>
            <w:r>
              <w:rPr>
                <w:rFonts w:ascii="Times New Roman;Times;Serif" w:hAnsi="Times New Roman;Times;Serif"/>
                <w:sz w:val="20"/>
              </w:rPr>
              <w:t>Included in other expenses on the condensed consolidated statements of earnings</w:t>
            </w:r>
          </w:p>
        </w:tc>
      </w:tr>
    </w:tbl>
    <w:p>
      <w:pPr>
        <w:pStyle w:val="TextBody"/>
        <w:pBdr/>
        <w:bidi w:val="0"/>
        <w:spacing w:before="0" w:after="0"/>
        <w:ind w:left="0" w:right="0" w:hanging="0"/>
        <w:jc w:val="both"/>
        <w:rPr>
          <w:caps w:val="false"/>
          <w:smallCaps w:val="false"/>
        </w:rPr>
      </w:pPr>
      <w:bookmarkStart w:id="1222" w:name="xdx_8A2_zDDcsqOiGbi4"/>
      <w:bookmarkEnd w:id="122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 Interest Entities (“VIE”)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223" w:name="xdx_904_eus-gaap--EquityMethodInvestment"/>
      <w:bookmarkStart w:id="1224" w:name="xdx_908_eus-gaap--EquityMethodInvestment"/>
      <w:bookmarkStart w:id="1225" w:name="xdx_904_eus-gaap--EquityMethodInvestment"/>
      <w:bookmarkEnd w:id="1223"/>
      <w:bookmarkEnd w:id="1224"/>
      <w:bookmarkEnd w:id="1225"/>
      <w:r>
        <w:rPr>
          <w:rFonts w:ascii="Times New Roman;Times;Serif" w:hAnsi="Times New Roman;Times;Serif"/>
          <w:b w:val="false"/>
          <w:i w:val="false"/>
          <w:caps w:val="false"/>
          <w:smallCaps w:val="false"/>
          <w:sz w:val="20"/>
        </w:rPr>
        <w:t>50% ownership interests in three VIEs: HHH Real Estate LLC (“HHH”), SN Oquirrh LLC (“Oquirrh”), and SN Towns LLC (“Towns”). These entities hold and develop single family lots for residential construction. In accordance with the operating agreements for these entities, net profits and losses are allocated to the members in accordance with their ownership interests. The investments in all three VIEs are accounted for under the equity method of accounting. The Company classifies distributions received using the cumulative earnings approach.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226" w:name="xdx_895_eus-gaap--EquityMethodInvestment"/>
      <w:bookmarkEnd w:id="1226"/>
      <w:r>
        <w:rPr>
          <w:rFonts w:ascii="Times New Roman;Times;Serif" w:hAnsi="Times New Roman;Times;Serif"/>
          <w:b w:val="false"/>
          <w:i w:val="false"/>
          <w:caps w:val="false"/>
          <w:smallCaps w:val="false"/>
          <w:sz w:val="20"/>
        </w:rPr>
        <w:t>The following table presents the carrying value of the investments as of the dates indicated:</w:t>
      </w:r>
    </w:p>
    <w:p>
      <w:pPr>
        <w:pStyle w:val="TextBody"/>
        <w:pBdr/>
        <w:bidi w:val="0"/>
        <w:spacing w:before="0" w:after="0"/>
        <w:ind w:left="0" w:right="0" w:hanging="0"/>
        <w:jc w:val="both"/>
        <w:rPr>
          <w:caps w:val="false"/>
          <w:smallCaps w:val="false"/>
        </w:rPr>
      </w:pPr>
      <w:r>
        <w:rPr>
          <w:caps w:val="false"/>
          <w:smallCaps w:val="false"/>
        </w:rPr>
        <w:t> </w:t>
      </w:r>
      <w:bookmarkStart w:id="1227" w:name="xdx_8B9_zUswSze1vms9"/>
      <w:bookmarkEnd w:id="1227"/>
      <w:r>
        <w:rPr>
          <w:rFonts w:ascii="Times New Roman;Times;Serif" w:hAnsi="Times New Roman;Times;Serif"/>
          <w:b w:val="false"/>
          <w:i w:val="false"/>
          <w:caps w:val="false"/>
          <w:smallCaps w:val="false"/>
          <w:sz w:val="20"/>
        </w:rPr>
        <w:t>Schedule of Carrying Value of Investments</w:t>
      </w:r>
    </w:p>
    <w:tbl>
      <w:tblPr>
        <w:tblW w:w="4618" w:type="dxa"/>
        <w:jc w:val="left"/>
        <w:tblInd w:w="0" w:type="dxa"/>
        <w:tblLayout w:type="fixed"/>
        <w:tblCellMar>
          <w:top w:w="0" w:type="dxa"/>
          <w:left w:w="0" w:type="dxa"/>
          <w:bottom w:w="0" w:type="dxa"/>
          <w:right w:w="0" w:type="dxa"/>
        </w:tblCellMar>
      </w:tblPr>
      <w:tblGrid>
        <w:gridCol w:w="1115"/>
        <w:gridCol w:w="60"/>
        <w:gridCol w:w="152"/>
        <w:gridCol w:w="1202"/>
        <w:gridCol w:w="60"/>
        <w:gridCol w:w="60"/>
        <w:gridCol w:w="213"/>
        <w:gridCol w:w="1681"/>
        <w:gridCol w:w="7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HHH (1)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28" w:name="xdx_985_eus-gaap--EquityMethodInvestment"/>
            <w:bookmarkEnd w:id="1228"/>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7,733,769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29" w:name="xdx_984_eus-gaap--EquityMethodInvestment"/>
            <w:bookmarkEnd w:id="1229"/>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10,530,515</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Oquirrh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1230" w:name="xdx_982_eus-gaap--EquityMethodInvestment"/>
            <w:bookmarkEnd w:id="1230"/>
          </w:p>
        </w:tc>
        <w:tc>
          <w:tcPr>
            <w:tcW w:w="12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bookmarkStart w:id="1231" w:name="xdx_981_eus-gaap--EquityMethodInvestment"/>
            <w:bookmarkEnd w:id="1231"/>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887,532</w:t>
            </w:r>
          </w:p>
        </w:tc>
        <w:tc>
          <w:tcPr>
            <w:tcW w:w="75"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Towns (2)</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32" w:name="xdx_983_eus-gaap--EquityMethodInvestment"/>
            <w:bookmarkEnd w:id="1232"/>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2,407,618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33" w:name="xdx_98A_eus-gaap--EquityMethodInvestment"/>
            <w:bookmarkEnd w:id="1233"/>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2,656,616</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4" w:name="xdx_984_eus-gaap--EquityMethodInvestment"/>
            <w:bookmarkEnd w:id="1234"/>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10,793,946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5" w:name="xdx_98A_eus-gaap--EquityMethodInvestment"/>
            <w:bookmarkEnd w:id="1235"/>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14,074,663</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sz w:val="20"/>
              </w:rPr>
            </w:pPr>
            <w:bookmarkStart w:id="1236" w:name="xdx_F03_z9nMx24spHI4"/>
            <w:bookmarkEnd w:id="1236"/>
            <w:r>
              <w:rPr>
                <w:rFonts w:ascii="Times New Roman;Times;Serif" w:hAnsi="Times New Roman;Times;Serif"/>
                <w:sz w:val="20"/>
              </w:rPr>
              <w:t>(1)</w:t>
            </w:r>
          </w:p>
        </w:tc>
        <w:tc>
          <w:tcPr>
            <w:tcW w:w="10001" w:type="dxa"/>
            <w:tcBorders/>
            <w:vAlign w:val="center"/>
          </w:tcPr>
          <w:p>
            <w:pPr>
              <w:pStyle w:val="TableContents"/>
              <w:bidi w:val="0"/>
              <w:spacing w:before="0" w:after="283"/>
              <w:jc w:val="both"/>
              <w:rPr>
                <w:rFonts w:ascii="Times New Roman;Times;Serif" w:hAnsi="Times New Roman;Times;Serif"/>
                <w:sz w:val="20"/>
              </w:rPr>
            </w:pPr>
            <w:bookmarkStart w:id="1237" w:name="xdx_F13_zbWoLMznEY96"/>
            <w:bookmarkEnd w:id="1237"/>
            <w:r>
              <w:rPr>
                <w:rFonts w:ascii="Times New Roman;Times;Serif" w:hAnsi="Times New Roman;Times;Serif"/>
                <w:sz w:val="20"/>
              </w:rPr>
              <w:t>Included in other investments and policy loans on the condensed consolidated balance sheets</w:t>
            </w:r>
          </w:p>
        </w:tc>
      </w:tr>
      <w:tr>
        <w:trPr/>
        <w:tc>
          <w:tcPr>
            <w:tcW w:w="204" w:type="dxa"/>
            <w:tcBorders/>
            <w:vAlign w:val="center"/>
          </w:tcPr>
          <w:p>
            <w:pPr>
              <w:pStyle w:val="TableContents"/>
              <w:bidi w:val="0"/>
              <w:spacing w:before="0" w:after="283"/>
              <w:jc w:val="both"/>
              <w:rPr>
                <w:rFonts w:ascii="Times New Roman;Times;Serif" w:hAnsi="Times New Roman;Times;Serif"/>
                <w:sz w:val="20"/>
              </w:rPr>
            </w:pPr>
            <w:bookmarkStart w:id="1238" w:name="xdx_F0F_zY6Er2J51cOk"/>
            <w:bookmarkEnd w:id="1238"/>
            <w:r>
              <w:rPr>
                <w:rFonts w:ascii="Times New Roman;Times;Serif" w:hAnsi="Times New Roman;Times;Serif"/>
                <w:sz w:val="20"/>
              </w:rPr>
              <w:t>(2)</w:t>
            </w:r>
          </w:p>
        </w:tc>
        <w:tc>
          <w:tcPr>
            <w:tcW w:w="10001" w:type="dxa"/>
            <w:tcBorders/>
            <w:vAlign w:val="center"/>
          </w:tcPr>
          <w:p>
            <w:pPr>
              <w:pStyle w:val="TableContents"/>
              <w:bidi w:val="0"/>
              <w:spacing w:before="0" w:after="283"/>
              <w:jc w:val="both"/>
              <w:rPr>
                <w:rFonts w:ascii="Times New Roman;Times;Serif" w:hAnsi="Times New Roman;Times;Serif"/>
                <w:sz w:val="20"/>
              </w:rPr>
            </w:pPr>
            <w:bookmarkStart w:id="1239" w:name="xdx_F1B_z1KJZowy8BC5"/>
            <w:bookmarkEnd w:id="1239"/>
            <w:r>
              <w:rPr>
                <w:rFonts w:ascii="Times New Roman;Times;Serif" w:hAnsi="Times New Roman;Times;Serif"/>
                <w:sz w:val="20"/>
              </w:rPr>
              <w:t>Out of these totals, $</w:t>
            </w:r>
            <w:bookmarkStart w:id="1240" w:name="xdx_901_eus-gaap--OtherRestrictedAssets_"/>
            <w:bookmarkEnd w:id="1240"/>
            <w:r>
              <w:rPr>
                <w:rFonts w:ascii="Times New Roman;Times;Serif" w:hAnsi="Times New Roman;Times;Serif"/>
                <w:sz w:val="20"/>
              </w:rPr>
              <w:t>1,174,675 and $</w:t>
            </w:r>
            <w:bookmarkStart w:id="1241" w:name="xdx_905_eus-gaap--OtherRestrictedAssets_"/>
            <w:bookmarkEnd w:id="1241"/>
            <w:r>
              <w:rPr>
                <w:rFonts w:ascii="Times New Roman;Times;Serif" w:hAnsi="Times New Roman;Times;Serif"/>
                <w:sz w:val="20"/>
              </w:rPr>
              <w:t>1,467,058 of which at June 30, 2026, and December 31, 2025, respectively, were included in restricted assets and $</w:t>
            </w:r>
            <w:bookmarkStart w:id="1242" w:name="xdx_905_eus-gaap--OtherInvestments_iI_c2"/>
            <w:bookmarkEnd w:id="1242"/>
            <w:r>
              <w:rPr>
                <w:rFonts w:ascii="Times New Roman;Times;Serif" w:hAnsi="Times New Roman;Times;Serif"/>
                <w:sz w:val="20"/>
              </w:rPr>
              <w:t>1,232,942 and $</w:t>
            </w:r>
            <w:bookmarkStart w:id="1243" w:name="xdx_90F_eus-gaap--OtherInvestments_iI_c2"/>
            <w:bookmarkEnd w:id="1243"/>
            <w:r>
              <w:rPr>
                <w:rFonts w:ascii="Times New Roman;Times;Serif" w:hAnsi="Times New Roman;Times;Serif"/>
                <w:sz w:val="20"/>
              </w:rPr>
              <w:t>1,189,558 of which at June 30, 2026, and December 31, 2025, respectively, were included in cemetery perpetual care trust investments on the condensed consolidated balance sheets</w:t>
            </w:r>
          </w:p>
        </w:tc>
      </w:tr>
    </w:tbl>
    <w:p>
      <w:pPr>
        <w:pStyle w:val="TextBody"/>
        <w:pBdr/>
        <w:bidi w:val="0"/>
        <w:spacing w:before="0" w:after="0"/>
        <w:ind w:left="0" w:right="0" w:hanging="0"/>
        <w:jc w:val="both"/>
        <w:rPr>
          <w:caps w:val="false"/>
          <w:smallCaps w:val="false"/>
        </w:rPr>
      </w:pPr>
      <w:bookmarkStart w:id="1244" w:name="xdx_8A8_zt2AqMkqI5U8"/>
      <w:bookmarkEnd w:id="124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HHH, Oquirrh and Towns are VIEs for which the Company is not the primary beneficiary for the following reasons: (1) the at-risk equity holders, as a group, lack the characteristics of a controlling financial interest, (2) the Company does not direct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investees is limited to the carrying value of the Company’s investments.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Related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245" w:name="xdx_895_eus-gaap--GainLossOnInvestmentsT"/>
      <w:bookmarkEnd w:id="1245"/>
      <w:r>
        <w:rPr>
          <w:rFonts w:ascii="Times New Roman;Times;Serif" w:hAnsi="Times New Roman;Times;Serif"/>
          <w:b w:val="false"/>
          <w:i w:val="false"/>
          <w:caps w:val="false"/>
          <w:smallCaps w:val="false"/>
          <w:sz w:val="20"/>
        </w:rPr>
        <w:t>The following table presents the realized gains and losses from sales, calls, and maturities, and unrealized gains and losses on equity securities from investments and other assets:</w:t>
      </w:r>
    </w:p>
    <w:p>
      <w:pPr>
        <w:pStyle w:val="TextBody"/>
        <w:pBdr/>
        <w:bidi w:val="0"/>
        <w:spacing w:before="0" w:after="0"/>
        <w:ind w:left="0" w:right="0" w:hanging="0"/>
        <w:jc w:val="left"/>
        <w:rPr>
          <w:caps w:val="false"/>
          <w:smallCaps w:val="false"/>
        </w:rPr>
      </w:pPr>
      <w:r>
        <w:rPr>
          <w:caps w:val="false"/>
          <w:smallCaps w:val="false"/>
        </w:rPr>
        <w:t> </w:t>
      </w:r>
      <w:bookmarkStart w:id="1246" w:name="xdx_8B8_zu1D7e2xhjT5"/>
      <w:bookmarkEnd w:id="1246"/>
      <w:r>
        <w:rPr>
          <w:rFonts w:ascii="Times New Roman;Times;Serif" w:hAnsi="Times New Roman;Times;Serif"/>
          <w:b w:val="false"/>
          <w:i w:val="false"/>
          <w:caps w:val="false"/>
          <w:smallCaps w:val="false"/>
          <w:sz w:val="20"/>
        </w:rPr>
        <w:t>Schedule of Gain (Loss) on Investments</w:t>
      </w:r>
    </w:p>
    <w:tbl>
      <w:tblPr>
        <w:tblW w:w="10205" w:type="dxa"/>
        <w:jc w:val="left"/>
        <w:tblInd w:w="0" w:type="dxa"/>
        <w:tblLayout w:type="fixed"/>
        <w:tblCellMar>
          <w:top w:w="0" w:type="dxa"/>
          <w:left w:w="0" w:type="dxa"/>
          <w:bottom w:w="0" w:type="dxa"/>
          <w:right w:w="0" w:type="dxa"/>
        </w:tblCellMar>
      </w:tblPr>
      <w:tblGrid>
        <w:gridCol w:w="4524"/>
        <w:gridCol w:w="60"/>
        <w:gridCol w:w="161"/>
        <w:gridCol w:w="1134"/>
        <w:gridCol w:w="109"/>
        <w:gridCol w:w="69"/>
        <w:gridCol w:w="161"/>
        <w:gridCol w:w="1134"/>
        <w:gridCol w:w="95"/>
        <w:gridCol w:w="60"/>
        <w:gridCol w:w="150"/>
        <w:gridCol w:w="1058"/>
        <w:gridCol w:w="101"/>
        <w:gridCol w:w="64"/>
        <w:gridCol w:w="150"/>
        <w:gridCol w:w="1058"/>
        <w:gridCol w:w="117"/>
      </w:tblGrid>
      <w:tr>
        <w:trPr/>
        <w:tc>
          <w:tcPr>
            <w:tcW w:w="45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7" w:name="xdx_493_20260401__20260630_zMDdolRCv7Qg"/>
            <w:bookmarkEnd w:id="1247"/>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1248" w:name="xdx_49D_20250401__20250630_ztwJG0Qw0sE2"/>
            <w:bookmarkEnd w:id="1248"/>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9" w:name="xdx_49D_20260101__20260630_zaD9ENV1Xbu"/>
            <w:bookmarkEnd w:id="1249"/>
          </w:p>
        </w:tc>
        <w:tc>
          <w:tcPr>
            <w:tcW w:w="12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250" w:name="xdx_492_20250101__20250630_zbRVpCOyfKch"/>
            <w:bookmarkEnd w:id="1250"/>
          </w:p>
        </w:tc>
        <w:tc>
          <w:tcPr>
            <w:tcW w:w="12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17" w:type="dxa"/>
            <w:tcBorders/>
            <w:vAlign w:val="center"/>
          </w:tcPr>
          <w:p>
            <w:pPr>
              <w:pStyle w:val="TableContents"/>
              <w:bidi w:val="0"/>
              <w:spacing w:before="0" w:after="283"/>
              <w:jc w:val="left"/>
              <w:rPr/>
            </w:pPr>
            <w:r>
              <w:rPr/>
              <w:t> </w:t>
            </w:r>
          </w:p>
        </w:tc>
      </w:tr>
      <w:tr>
        <w:trPr/>
        <w:tc>
          <w:tcPr>
            <w:tcW w:w="45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7" w:type="dxa"/>
            <w:tcBorders/>
            <w:vAlign w:val="center"/>
          </w:tcPr>
          <w:p>
            <w:pPr>
              <w:pStyle w:val="TableContents"/>
              <w:bidi w:val="0"/>
              <w:spacing w:before="0" w:after="283"/>
              <w:jc w:val="left"/>
              <w:rPr/>
            </w:pPr>
            <w:r>
              <w:rPr/>
              <w:t> </w:t>
            </w:r>
          </w:p>
        </w:tc>
      </w:tr>
      <w:tr>
        <w:trPr/>
        <w:tc>
          <w:tcPr>
            <w:tcW w:w="45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7" w:type="dxa"/>
            <w:tcBorders/>
            <w:vAlign w:val="center"/>
          </w:tcPr>
          <w:p>
            <w:pPr>
              <w:pStyle w:val="TableContents"/>
              <w:bidi w:val="0"/>
              <w:spacing w:before="0" w:after="283"/>
              <w:jc w:val="left"/>
              <w:rPr/>
            </w:pPr>
            <w:r>
              <w:rPr/>
              <w:t> </w:t>
            </w:r>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251" w:name="xdx_408_eus-gaap--DebtSecuritiesAvailabl"/>
            <w:bookmarkEnd w:id="1251"/>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gains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15,132</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40,926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w:t>
            </w:r>
          </w:p>
        </w:tc>
        <w:tc>
          <w:tcPr>
            <w:tcW w:w="117" w:type="dxa"/>
            <w:tcBorders/>
            <w:shd w:fill="FFFFFF" w:val="clear"/>
            <w:vAlign w:val="center"/>
          </w:tcPr>
          <w:p>
            <w:pPr>
              <w:pStyle w:val="TableContents"/>
              <w:bidi w:val="0"/>
              <w:spacing w:before="0" w:after="283"/>
              <w:jc w:val="left"/>
              <w:rPr/>
            </w:pPr>
            <w:r>
              <w:rPr/>
              <w:t> </w:t>
            </w:r>
            <w:bookmarkStart w:id="1252" w:name="xdx_404_eus-gaap--DebtSecuritiesAvailabl"/>
            <w:bookmarkEnd w:id="1252"/>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losses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(9,495</w:t>
            </w:r>
          </w:p>
        </w:tc>
        <w:tc>
          <w:tcPr>
            <w:tcW w:w="1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(87,368</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(12,257</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53" w:name="xdx_406_eus-gaap--DebtSecuritiesAvailabl"/>
            <w:bookmarkEnd w:id="1253"/>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credit loss provision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(164,663</w:t>
            </w:r>
          </w:p>
        </w:tc>
        <w:tc>
          <w:tcPr>
            <w:tcW w:w="1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(261,210</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(65,993</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Equity securities: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54" w:name="xdx_409_eus-gaap--EquitySecuritiesFvNiRe"/>
            <w:bookmarkEnd w:id="1254"/>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Gains (losses) on securities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(157,861</w:t>
            </w:r>
          </w:p>
        </w:tc>
        <w:tc>
          <w:tcPr>
            <w:tcW w:w="1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(142,139</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130,108</w:t>
            </w:r>
          </w:p>
        </w:tc>
        <w:tc>
          <w:tcPr>
            <w:tcW w:w="117" w:type="dxa"/>
            <w:tcBorders/>
            <w:shd w:fill="CCEEFF" w:val="clear"/>
            <w:vAlign w:val="center"/>
          </w:tcPr>
          <w:p>
            <w:pPr>
              <w:pStyle w:val="TableContents"/>
              <w:bidi w:val="0"/>
              <w:spacing w:before="0" w:after="283"/>
              <w:jc w:val="left"/>
              <w:rPr/>
            </w:pPr>
            <w:r>
              <w:rPr/>
              <w:t> </w:t>
            </w:r>
            <w:bookmarkStart w:id="1255" w:name="xdx_403_eus-gaap--EquitySecuritiesFvNiUn"/>
            <w:bookmarkEnd w:id="1255"/>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gains on securities held at the end of the period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4,032,384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3,977,871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1,066,880</w:t>
            </w:r>
          </w:p>
        </w:tc>
        <w:tc>
          <w:tcPr>
            <w:tcW w:w="117" w:type="dxa"/>
            <w:tcBorders/>
            <w:shd w:fill="FFFFFF" w:val="clear"/>
            <w:vAlign w:val="center"/>
          </w:tcPr>
          <w:p>
            <w:pPr>
              <w:pStyle w:val="TableContents"/>
              <w:bidi w:val="0"/>
              <w:spacing w:before="0" w:after="283"/>
              <w:jc w:val="left"/>
              <w:rPr/>
            </w:pPr>
            <w:r>
              <w:rPr/>
              <w:t> </w:t>
            </w:r>
          </w:p>
        </w:tc>
      </w:tr>
      <w:tr>
        <w:trPr/>
        <w:tc>
          <w:tcPr>
            <w:tcW w:w="45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estate held for investment and sale: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56" w:name="xdx_408_ecustom--GrossRealizedGains_hus-"/>
            <w:bookmarkEnd w:id="1256"/>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gains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845,360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1,432,332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596,915</w:t>
            </w:r>
          </w:p>
        </w:tc>
        <w:tc>
          <w:tcPr>
            <w:tcW w:w="117" w:type="dxa"/>
            <w:tcBorders/>
            <w:shd w:fill="CCEEFF" w:val="clear"/>
            <w:vAlign w:val="center"/>
          </w:tcPr>
          <w:p>
            <w:pPr>
              <w:pStyle w:val="TableContents"/>
              <w:bidi w:val="0"/>
              <w:spacing w:before="0" w:after="283"/>
              <w:jc w:val="left"/>
              <w:rPr/>
            </w:pPr>
            <w:r>
              <w:rPr/>
              <w:t> </w:t>
            </w:r>
            <w:bookmarkStart w:id="1257" w:name="xdx_407_ecustom--GrossRealizedLosses_hus"/>
            <w:bookmarkEnd w:id="1257"/>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losses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(15,119</w:t>
            </w:r>
          </w:p>
        </w:tc>
        <w:tc>
          <w:tcPr>
            <w:tcW w:w="1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(50,771</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p>
        </w:tc>
      </w:tr>
      <w:tr>
        <w:trPr/>
        <w:tc>
          <w:tcPr>
            <w:tcW w:w="45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58" w:name="xdx_403_ecustom--GrossRealizedGains_hus-"/>
            <w:bookmarkEnd w:id="1258"/>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gains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54,701</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88,392</w:t>
            </w:r>
          </w:p>
        </w:tc>
        <w:tc>
          <w:tcPr>
            <w:tcW w:w="117" w:type="dxa"/>
            <w:tcBorders/>
            <w:shd w:fill="CCEEFF" w:val="clear"/>
            <w:vAlign w:val="center"/>
          </w:tcPr>
          <w:p>
            <w:pPr>
              <w:pStyle w:val="TableContents"/>
              <w:bidi w:val="0"/>
              <w:spacing w:before="0" w:after="283"/>
              <w:jc w:val="left"/>
              <w:rPr/>
            </w:pPr>
            <w:r>
              <w:rPr/>
              <w:t> </w:t>
            </w:r>
            <w:bookmarkStart w:id="1259" w:name="xdx_405_ecustom--GrossRealizedLosses_hus"/>
            <w:bookmarkEnd w:id="1259"/>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realized losses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(20,116</w:t>
            </w:r>
          </w:p>
        </w:tc>
        <w:tc>
          <w:tcPr>
            <w:tcW w:w="1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(33,940</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(76,838</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60" w:name="xdx_401_ecustom--GainLossOnInvestmentsAn"/>
            <w:bookmarkEnd w:id="1260"/>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4,580,323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4,931,071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1,728,728</w:t>
            </w:r>
          </w:p>
        </w:tc>
        <w:tc>
          <w:tcPr>
            <w:tcW w:w="117"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261" w:name="xdx_8A9_z7cwU8zuUlqb"/>
      <w:bookmarkEnd w:id="1261"/>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realized gains and losses on the sale of securities are recorded on the trade date, and the cost of the securities sold is determined using the specific identification method.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gains and losses include gains and losses from cemetery perpetual care trust investments and the restricted assets of cemeteries and mortuaries and totaled $</w:t>
      </w:r>
      <w:bookmarkStart w:id="1262" w:name="xdx_90D_eus-gaap--RealizedInvestmentGain"/>
      <w:bookmarkEnd w:id="1262"/>
      <w:r>
        <w:rPr>
          <w:rFonts w:ascii="Times New Roman;Times;Serif" w:hAnsi="Times New Roman;Times;Serif"/>
          <w:b w:val="false"/>
          <w:i w:val="false"/>
          <w:caps w:val="false"/>
          <w:smallCaps w:val="false"/>
          <w:sz w:val="20"/>
        </w:rPr>
        <w:t>1,510,457 in net gains and $</w:t>
      </w:r>
      <w:bookmarkStart w:id="1263" w:name="xdx_90A_eus-gaap--RealizedInvestmentGain"/>
      <w:bookmarkEnd w:id="1263"/>
      <w:r>
        <w:rPr>
          <w:rFonts w:ascii="Times New Roman;Times;Serif" w:hAnsi="Times New Roman;Times;Serif"/>
          <w:b w:val="false"/>
          <w:i w:val="false"/>
          <w:caps w:val="false"/>
          <w:smallCaps w:val="false"/>
          <w:sz w:val="20"/>
        </w:rPr>
        <w:t>271,176 in net gains for the three-month periods ended June 30, 2026 and 2025, respectively, and of $</w:t>
      </w:r>
      <w:bookmarkStart w:id="1264" w:name="xdx_904_eus-gaap--RealizedInvestmentGain"/>
      <w:bookmarkEnd w:id="1264"/>
      <w:r>
        <w:rPr>
          <w:rFonts w:ascii="Times New Roman;Times;Serif" w:hAnsi="Times New Roman;Times;Serif"/>
          <w:b w:val="false"/>
          <w:i w:val="false"/>
          <w:caps w:val="false"/>
          <w:smallCaps w:val="false"/>
          <w:sz w:val="20"/>
        </w:rPr>
        <w:t>1,436,129 in net gains and $</w:t>
      </w:r>
      <w:bookmarkStart w:id="1265" w:name="xdx_908_eus-gaap--RealizedInvestmentGain"/>
      <w:bookmarkEnd w:id="1265"/>
      <w:r>
        <w:rPr>
          <w:rFonts w:ascii="Times New Roman;Times;Serif" w:hAnsi="Times New Roman;Times;Serif"/>
          <w:b w:val="false"/>
          <w:i w:val="false"/>
          <w:caps w:val="false"/>
          <w:smallCaps w:val="false"/>
          <w:sz w:val="20"/>
        </w:rPr>
        <w:t>485,155 in net gains for the six-month periods ended June 30, 2026 and 2025, respectively.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266" w:name="xdx_C07_gL3GLOITB-JBQV_z8mtpJn26b5a"/>
      <w:bookmarkEnd w:id="1266"/>
      <w:r>
        <w:rPr>
          <w:rFonts w:ascii="Times New Roman;Times;Serif" w:hAnsi="Times New Roman;Times;Serif"/>
          <w:b w:val="false"/>
          <w:i w:val="false"/>
          <w:caps w:val="false"/>
          <w:smallCaps w:val="false"/>
          <w:sz w:val="20"/>
        </w:rPr>
        <w:t>Major categories of net investment income were as follows: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pBdr/>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67" w:name="xdx_308_134_zNAIkM4DtKv1"/>
      <w:bookmarkStart w:id="1268" w:name="xdx_308_134_zNAIkM4DtKv1"/>
      <w:bookmarkEnd w:id="1268"/>
    </w:p>
    <w:tbl>
      <w:tblPr>
        <w:tblW w:w="9913" w:type="dxa"/>
        <w:jc w:val="left"/>
        <w:tblInd w:w="0" w:type="dxa"/>
        <w:tblLayout w:type="fixed"/>
        <w:tblCellMar>
          <w:top w:w="0" w:type="dxa"/>
          <w:left w:w="0" w:type="dxa"/>
          <w:bottom w:w="0" w:type="dxa"/>
          <w:right w:w="0" w:type="dxa"/>
        </w:tblCellMar>
      </w:tblPr>
      <w:tblGrid>
        <w:gridCol w:w="3995"/>
        <w:gridCol w:w="60"/>
        <w:gridCol w:w="153"/>
        <w:gridCol w:w="1204"/>
        <w:gridCol w:w="104"/>
        <w:gridCol w:w="65"/>
        <w:gridCol w:w="153"/>
        <w:gridCol w:w="1204"/>
        <w:gridCol w:w="95"/>
        <w:gridCol w:w="60"/>
        <w:gridCol w:w="140"/>
        <w:gridCol w:w="1100"/>
        <w:gridCol w:w="95"/>
        <w:gridCol w:w="60"/>
        <w:gridCol w:w="140"/>
        <w:gridCol w:w="1175"/>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9" w:name="xdx_495_20260401__20260630_zIW1A6nyban4"/>
            <w:bookmarkEnd w:id="1269"/>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1270" w:name="xdx_498_20250401__20250630_zYStV8Lthl78"/>
            <w:bookmarkEnd w:id="1270"/>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1" w:name="xdx_49F_20260101__20260630_zbdZgNPA3AQb"/>
            <w:bookmarkEnd w:id="127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2" w:name="xdx_49C_20250101__20250630_zuS8eKs0DFLi"/>
            <w:bookmarkEnd w:id="1272"/>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bookmarkStart w:id="1273" w:name="xdx_40C_ecustom--GrossInvestmentIncome_h"/>
            <w:bookmarkEnd w:id="1273"/>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4,690,866</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4,749,965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9,403,510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9,414,798</w:t>
            </w:r>
          </w:p>
        </w:tc>
        <w:tc>
          <w:tcPr>
            <w:tcW w:w="110" w:type="dxa"/>
            <w:tcBorders/>
            <w:shd w:fill="CCEEFF" w:val="clear"/>
            <w:vAlign w:val="center"/>
          </w:tcPr>
          <w:p>
            <w:pPr>
              <w:pStyle w:val="TableContents"/>
              <w:bidi w:val="0"/>
              <w:spacing w:before="0" w:after="283"/>
              <w:jc w:val="left"/>
              <w:rPr/>
            </w:pPr>
            <w:r>
              <w:rPr/>
              <w:t> </w:t>
            </w:r>
            <w:bookmarkStart w:id="1274" w:name="xdx_406_ecustom--GrossInvestmentIncome_h"/>
            <w:bookmarkEnd w:id="1274"/>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Equity securities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233,674</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440,263</w:t>
            </w:r>
          </w:p>
        </w:tc>
        <w:tc>
          <w:tcPr>
            <w:tcW w:w="110" w:type="dxa"/>
            <w:tcBorders/>
            <w:shd w:fill="FFFFFF" w:val="clear"/>
            <w:vAlign w:val="center"/>
          </w:tcPr>
          <w:p>
            <w:pPr>
              <w:pStyle w:val="TableContents"/>
              <w:bidi w:val="0"/>
              <w:spacing w:before="0" w:after="283"/>
              <w:jc w:val="left"/>
              <w:rPr/>
            </w:pPr>
            <w:r>
              <w:rPr/>
              <w:t> </w:t>
            </w:r>
            <w:bookmarkStart w:id="1275" w:name="xdx_401_ecustom--GrossInvestmentIncome_h"/>
            <w:bookmarkEnd w:id="1275"/>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6,341,825</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12,457,357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14,615,885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20,421,897</w:t>
            </w:r>
          </w:p>
        </w:tc>
        <w:tc>
          <w:tcPr>
            <w:tcW w:w="110" w:type="dxa"/>
            <w:tcBorders/>
            <w:shd w:fill="CCEEFF" w:val="clear"/>
            <w:vAlign w:val="center"/>
          </w:tcPr>
          <w:p>
            <w:pPr>
              <w:pStyle w:val="TableContents"/>
              <w:bidi w:val="0"/>
              <w:spacing w:before="0" w:after="283"/>
              <w:jc w:val="left"/>
              <w:rPr/>
            </w:pPr>
            <w:r>
              <w:rPr/>
              <w:t> </w:t>
            </w:r>
            <w:bookmarkStart w:id="1276" w:name="xdx_407_ecustom--GrossInvestmentIncome_h"/>
            <w:bookmarkEnd w:id="1276"/>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estate held for investment and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2,914,081</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2,872,566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5,832,278</w:t>
            </w:r>
          </w:p>
        </w:tc>
        <w:tc>
          <w:tcPr>
            <w:tcW w:w="110" w:type="dxa"/>
            <w:tcBorders/>
            <w:shd w:fill="FFFFFF" w:val="clear"/>
            <w:vAlign w:val="center"/>
          </w:tcPr>
          <w:p>
            <w:pPr>
              <w:pStyle w:val="TableContents"/>
              <w:bidi w:val="0"/>
              <w:spacing w:before="0" w:after="283"/>
              <w:jc w:val="left"/>
              <w:rPr/>
            </w:pPr>
            <w:r>
              <w:rPr/>
              <w:t> </w:t>
            </w:r>
            <w:bookmarkStart w:id="1277" w:name="xdx_401_ecustom--GrossInvestmentIncome_h"/>
            <w:bookmarkEnd w:id="1277"/>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Policy loans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210,231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480,363</w:t>
            </w:r>
          </w:p>
        </w:tc>
        <w:tc>
          <w:tcPr>
            <w:tcW w:w="110" w:type="dxa"/>
            <w:tcBorders/>
            <w:shd w:fill="CCEEFF" w:val="clear"/>
            <w:vAlign w:val="center"/>
          </w:tcPr>
          <w:p>
            <w:pPr>
              <w:pStyle w:val="TableContents"/>
              <w:bidi w:val="0"/>
              <w:spacing w:before="0" w:after="283"/>
              <w:jc w:val="left"/>
              <w:rPr/>
            </w:pPr>
            <w:r>
              <w:rPr/>
              <w:t> </w:t>
            </w:r>
            <w:bookmarkStart w:id="1278" w:name="xdx_402_ecustom--GrossInvestmentIncome_h"/>
            <w:bookmarkEnd w:id="1278"/>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assignments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4,878,392</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5,138,214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10,322,623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10,870,365</w:t>
            </w:r>
          </w:p>
        </w:tc>
        <w:tc>
          <w:tcPr>
            <w:tcW w:w="110" w:type="dxa"/>
            <w:tcBorders/>
            <w:shd w:fill="FFFFFF" w:val="clear"/>
            <w:vAlign w:val="center"/>
          </w:tcPr>
          <w:p>
            <w:pPr>
              <w:pStyle w:val="TableContents"/>
              <w:bidi w:val="0"/>
              <w:spacing w:before="0" w:after="283"/>
              <w:jc w:val="left"/>
              <w:rPr/>
            </w:pPr>
            <w:r>
              <w:rPr/>
              <w:t> </w:t>
            </w:r>
            <w:bookmarkStart w:id="1279" w:name="xdx_402_ecustom--GrossInvestmentIncome_h"/>
            <w:bookmarkEnd w:id="1279"/>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investments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196,965</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243,835</w:t>
            </w:r>
          </w:p>
        </w:tc>
        <w:tc>
          <w:tcPr>
            <w:tcW w:w="110" w:type="dxa"/>
            <w:tcBorders/>
            <w:shd w:fill="CCEEFF" w:val="clear"/>
            <w:vAlign w:val="center"/>
          </w:tcPr>
          <w:p>
            <w:pPr>
              <w:pStyle w:val="TableContents"/>
              <w:bidi w:val="0"/>
              <w:spacing w:before="0" w:after="283"/>
              <w:jc w:val="left"/>
              <w:rPr/>
            </w:pPr>
            <w:r>
              <w:rPr/>
              <w:t> </w:t>
            </w:r>
            <w:bookmarkStart w:id="1280" w:name="xdx_407_ecustom--GrossInvestmentIncome_h"/>
            <w:bookmarkEnd w:id="1280"/>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1,195,981</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2,356,252</w:t>
            </w:r>
          </w:p>
        </w:tc>
        <w:tc>
          <w:tcPr>
            <w:tcW w:w="110" w:type="dxa"/>
            <w:tcBorders/>
            <w:shd w:fill="FFFFFF" w:val="clear"/>
            <w:vAlign w:val="center"/>
          </w:tcPr>
          <w:p>
            <w:pPr>
              <w:pStyle w:val="TableContents"/>
              <w:bidi w:val="0"/>
              <w:spacing w:before="0" w:after="283"/>
              <w:jc w:val="left"/>
              <w:rPr/>
            </w:pPr>
            <w:r>
              <w:rPr/>
              <w:t> </w:t>
            </w:r>
            <w:bookmarkStart w:id="1281" w:name="xdx_40A_ecustom--GrossInvestmentIncome_z"/>
            <w:bookmarkEnd w:id="1281"/>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investment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20,662,015</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26,737,460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43,843,083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50,060,051</w:t>
            </w:r>
          </w:p>
        </w:tc>
        <w:tc>
          <w:tcPr>
            <w:tcW w:w="110" w:type="dxa"/>
            <w:tcBorders/>
            <w:shd w:fill="CCEEFF" w:val="clear"/>
            <w:vAlign w:val="center"/>
          </w:tcPr>
          <w:p>
            <w:pPr>
              <w:pStyle w:val="TableContents"/>
              <w:bidi w:val="0"/>
              <w:spacing w:before="0" w:after="283"/>
              <w:jc w:val="left"/>
              <w:rPr/>
            </w:pPr>
            <w:r>
              <w:rPr/>
              <w:t> </w:t>
            </w:r>
            <w:bookmarkStart w:id="1282" w:name="xdx_404_eus-gaap--InvestmentIncomeInvest"/>
            <w:bookmarkEnd w:id="1282"/>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Investment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(4,233,114</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(6,156,472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(8,912,834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(10,276,439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83" w:name="xdx_40E_eus-gaap--NetInvestmentIncome_zD"/>
            <w:bookmarkEnd w:id="1283"/>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investment income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16,428,901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20,580,988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34,930,249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39,783,612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pBdr/>
        <w:bidi w:val="0"/>
        <w:spacing w:before="0" w:after="0"/>
        <w:ind w:left="0" w:right="0" w:hanging="0"/>
        <w:jc w:val="both"/>
        <w:rPr>
          <w:caps w:val="false"/>
          <w:smallCaps w:val="false"/>
        </w:rPr>
      </w:pPr>
      <w:bookmarkStart w:id="1284" w:name="xdx_C0F_gL3GLOITB-JBQV_zkp6F8iiLxUb"/>
      <w:bookmarkEnd w:id="128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includes income earned from cemetery perpetual care trust investments and the restricted assets of cemeteries and mortuaries of $</w:t>
      </w:r>
      <w:bookmarkStart w:id="1285" w:name="xdx_90D_eus-gaap--NetInvestmentIncome_c2"/>
      <w:bookmarkEnd w:id="1285"/>
      <w:r>
        <w:rPr>
          <w:rFonts w:ascii="Times New Roman;Times;Serif" w:hAnsi="Times New Roman;Times;Serif"/>
          <w:b w:val="false"/>
          <w:i w:val="false"/>
          <w:caps w:val="false"/>
          <w:smallCaps w:val="false"/>
          <w:sz w:val="20"/>
        </w:rPr>
        <w:t>231,327 and $</w:t>
      </w:r>
      <w:bookmarkStart w:id="1286" w:name="xdx_909_eus-gaap--NetInvestmentIncome_c2"/>
      <w:bookmarkEnd w:id="1286"/>
      <w:r>
        <w:rPr>
          <w:rFonts w:ascii="Times New Roman;Times;Serif" w:hAnsi="Times New Roman;Times;Serif"/>
          <w:b w:val="false"/>
          <w:i w:val="false"/>
          <w:caps w:val="false"/>
          <w:smallCaps w:val="false"/>
          <w:sz w:val="20"/>
        </w:rPr>
        <w:t>220,634 for the three-month periods ended June 30, 2026, and 2025, respectively, and of $</w:t>
      </w:r>
      <w:bookmarkStart w:id="1287" w:name="xdx_903_eus-gaap--NetInvestmentIncome_c2"/>
      <w:bookmarkEnd w:id="1287"/>
      <w:r>
        <w:rPr>
          <w:rFonts w:ascii="Times New Roman;Times;Serif" w:hAnsi="Times New Roman;Times;Serif"/>
          <w:b w:val="false"/>
          <w:i w:val="false"/>
          <w:caps w:val="false"/>
          <w:smallCaps w:val="false"/>
          <w:sz w:val="20"/>
        </w:rPr>
        <w:t>438,459 and $</w:t>
      </w:r>
      <w:bookmarkStart w:id="1288" w:name="xdx_902_eus-gaap--NetInvestmentIncome_c2"/>
      <w:bookmarkEnd w:id="1288"/>
      <w:r>
        <w:rPr>
          <w:rFonts w:ascii="Times New Roman;Times;Serif" w:hAnsi="Times New Roman;Times;Serif"/>
          <w:b w:val="false"/>
          <w:i w:val="false"/>
          <w:caps w:val="false"/>
          <w:smallCaps w:val="false"/>
          <w:sz w:val="20"/>
        </w:rPr>
        <w:t xml:space="preserve">367,472 for the six-month periods ended June 30, 2026, and 2025, respectively.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Investment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289" w:name="xdx_898_eus-gaap--InvestmentIncomeTextBl"/>
      <w:bookmarkEnd w:id="1289"/>
      <w:r>
        <w:rPr>
          <w:rFonts w:ascii="Times New Roman;Times;Serif" w:hAnsi="Times New Roman;Times;Serif"/>
          <w:b w:val="false"/>
          <w:i w:val="false"/>
          <w:caps w:val="false"/>
          <w:smallCaps w:val="false"/>
          <w:sz w:val="20"/>
        </w:rPr>
        <w:t>Accrued investment income consists of the following:</w:t>
      </w:r>
    </w:p>
    <w:p>
      <w:pPr>
        <w:pStyle w:val="TextBody"/>
        <w:pBdr/>
        <w:bidi w:val="0"/>
        <w:spacing w:before="0" w:after="0"/>
        <w:ind w:left="0" w:right="0" w:hanging="0"/>
        <w:jc w:val="left"/>
        <w:rPr>
          <w:caps w:val="false"/>
          <w:smallCaps w:val="false"/>
        </w:rPr>
      </w:pPr>
      <w:r>
        <w:rPr>
          <w:caps w:val="false"/>
          <w:smallCaps w:val="false"/>
        </w:rPr>
        <w:t> </w:t>
      </w:r>
      <w:bookmarkStart w:id="1290" w:name="xdx_8B5_zIphNftNBfnj"/>
      <w:bookmarkEnd w:id="1290"/>
      <w:r>
        <w:rPr>
          <w:rFonts w:ascii="Times New Roman;Times;Serif" w:hAnsi="Times New Roman;Times;Serif"/>
          <w:b w:val="false"/>
          <w:i w:val="false"/>
          <w:caps w:val="false"/>
          <w:smallCaps w:val="false"/>
          <w:sz w:val="20"/>
        </w:rPr>
        <w:t>Schedule of Accrued Investment Income</w:t>
      </w:r>
    </w:p>
    <w:tbl>
      <w:tblPr>
        <w:tblW w:w="7498" w:type="dxa"/>
        <w:jc w:val="left"/>
        <w:tblInd w:w="0" w:type="dxa"/>
        <w:tblLayout w:type="fixed"/>
        <w:tblCellMar>
          <w:top w:w="0" w:type="dxa"/>
          <w:left w:w="0" w:type="dxa"/>
          <w:bottom w:w="0" w:type="dxa"/>
          <w:right w:w="0" w:type="dxa"/>
        </w:tblCellMar>
      </w:tblPr>
      <w:tblGrid>
        <w:gridCol w:w="3995"/>
        <w:gridCol w:w="60"/>
        <w:gridCol w:w="169"/>
        <w:gridCol w:w="1185"/>
        <w:gridCol w:w="60"/>
        <w:gridCol w:w="60"/>
        <w:gridCol w:w="236"/>
        <w:gridCol w:w="1658"/>
        <w:gridCol w:w="7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1" w:name="xdx_491_20260630_zpx7wOmA74yl"/>
            <w:bookmarkEnd w:id="1291"/>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2" w:name="xdx_498_20251231_zpCtCWLTH5s6"/>
            <w:bookmarkEnd w:id="1292"/>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bookmarkStart w:id="1293" w:name="xdx_404_eus-gaap--AccruedInvestmentIncom"/>
            <w:bookmarkEnd w:id="1293"/>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4,089,819</w:t>
            </w:r>
          </w:p>
        </w:tc>
        <w:tc>
          <w:tcPr>
            <w:tcW w:w="75" w:type="dxa"/>
            <w:tcBorders/>
            <w:shd w:fill="CCEEFF" w:val="clear"/>
            <w:vAlign w:val="center"/>
          </w:tcPr>
          <w:p>
            <w:pPr>
              <w:pStyle w:val="TableContents"/>
              <w:bidi w:val="0"/>
              <w:spacing w:before="0" w:after="283"/>
              <w:jc w:val="left"/>
              <w:rPr/>
            </w:pPr>
            <w:r>
              <w:rPr/>
              <w:t> </w:t>
            </w:r>
            <w:bookmarkStart w:id="1294" w:name="xdx_400_eus-gaap--AccruedInvestmentIncom"/>
            <w:bookmarkEnd w:id="1294"/>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13,169</w:t>
            </w:r>
          </w:p>
        </w:tc>
        <w:tc>
          <w:tcPr>
            <w:tcW w:w="75" w:type="dxa"/>
            <w:tcBorders/>
            <w:shd w:fill="FFFFFF" w:val="clear"/>
            <w:vAlign w:val="center"/>
          </w:tcPr>
          <w:p>
            <w:pPr>
              <w:pStyle w:val="TableContents"/>
              <w:bidi w:val="0"/>
              <w:spacing w:before="0" w:after="283"/>
              <w:jc w:val="left"/>
              <w:rPr/>
            </w:pPr>
            <w:r>
              <w:rPr/>
              <w:t> </w:t>
            </w:r>
            <w:bookmarkStart w:id="1295" w:name="xdx_403_eus-gaap--AccruedInvestmentIncom"/>
            <w:bookmarkEnd w:id="1295"/>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Mortgage loans held for investment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1,032,964</w:t>
            </w:r>
          </w:p>
        </w:tc>
        <w:tc>
          <w:tcPr>
            <w:tcW w:w="75" w:type="dxa"/>
            <w:tcBorders/>
            <w:shd w:fill="CCEEFF" w:val="clear"/>
            <w:vAlign w:val="center"/>
          </w:tcPr>
          <w:p>
            <w:pPr>
              <w:pStyle w:val="TableContents"/>
              <w:bidi w:val="0"/>
              <w:spacing w:before="0" w:after="283"/>
              <w:jc w:val="left"/>
              <w:rPr/>
            </w:pPr>
            <w:r>
              <w:rPr/>
              <w:t> </w:t>
            </w:r>
            <w:bookmarkStart w:id="1296" w:name="xdx_40F_eus-gaap--AccruedInvestmentIncom"/>
            <w:bookmarkEnd w:id="1296"/>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held for investment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3,864,979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3,850,958</w:t>
            </w:r>
          </w:p>
        </w:tc>
        <w:tc>
          <w:tcPr>
            <w:tcW w:w="75" w:type="dxa"/>
            <w:tcBorders/>
            <w:shd w:fill="FFFFFF" w:val="clear"/>
            <w:vAlign w:val="center"/>
          </w:tcPr>
          <w:p>
            <w:pPr>
              <w:pStyle w:val="TableContents"/>
              <w:bidi w:val="0"/>
              <w:spacing w:before="0" w:after="283"/>
              <w:jc w:val="left"/>
              <w:rPr/>
            </w:pPr>
            <w:r>
              <w:rPr/>
              <w:t> </w:t>
            </w:r>
            <w:bookmarkStart w:id="1297" w:name="xdx_40A_eus-gaap--AccruedInvestmentIncom"/>
            <w:bookmarkEnd w:id="1297"/>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investments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30,916</w:t>
            </w:r>
          </w:p>
        </w:tc>
        <w:tc>
          <w:tcPr>
            <w:tcW w:w="75" w:type="dxa"/>
            <w:tcBorders/>
            <w:shd w:fill="CCEEFF" w:val="clear"/>
            <w:vAlign w:val="center"/>
          </w:tcPr>
          <w:p>
            <w:pPr>
              <w:pStyle w:val="TableContents"/>
              <w:bidi w:val="0"/>
              <w:spacing w:before="0" w:after="283"/>
              <w:jc w:val="left"/>
              <w:rPr/>
            </w:pPr>
            <w:r>
              <w:rPr/>
              <w:t> </w:t>
            </w:r>
            <w:bookmarkStart w:id="1298" w:name="xdx_406_eus-gaap--AccruedInvestmentIncom"/>
            <w:bookmarkEnd w:id="1298"/>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36,819</w:t>
            </w:r>
          </w:p>
        </w:tc>
        <w:tc>
          <w:tcPr>
            <w:tcW w:w="75" w:type="dxa"/>
            <w:tcBorders/>
            <w:shd w:fill="FFFFFF" w:val="clear"/>
            <w:vAlign w:val="center"/>
          </w:tcPr>
          <w:p>
            <w:pPr>
              <w:pStyle w:val="TableContents"/>
              <w:bidi w:val="0"/>
              <w:spacing w:before="0" w:after="283"/>
              <w:jc w:val="left"/>
              <w:rPr/>
            </w:pPr>
            <w:r>
              <w:rPr/>
              <w:t> </w:t>
            </w:r>
            <w:bookmarkStart w:id="1299" w:name="xdx_407_eus-gaap--AccruedInvestmentIncom"/>
            <w:bookmarkEnd w:id="1299"/>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investment income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9,393,407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9,054,645</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300" w:name="xdx_8A1_zX8psGRvv273"/>
      <w:bookmarkEnd w:id="130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01" w:name="s_001"/>
      <w:bookmarkStart w:id="1302" w:name="xdx_80F_ecustom--LoansHeldForSaleDisclos"/>
      <w:bookmarkEnd w:id="1301"/>
      <w:bookmarkEnd w:id="1302"/>
      <w:r>
        <w:rPr>
          <w:rFonts w:ascii="Times New Roman;Times;Serif" w:hAnsi="Times New Roman;Times;Serif"/>
          <w:b w:val="false"/>
          <w:i w:val="false"/>
          <w:caps w:val="false"/>
          <w:smallCaps w:val="false"/>
          <w:sz w:val="20"/>
        </w:rPr>
        <w:t xml:space="preserve">3) </w:t>
      </w:r>
      <w:bookmarkStart w:id="1303" w:name="xdx_82F_zhtJKg7EgUa4"/>
      <w:bookmarkEnd w:id="1303"/>
      <w:r>
        <w:rPr>
          <w:rFonts w:ascii="Times New Roman;Times;Serif" w:hAnsi="Times New Roman;Times;Serif"/>
          <w:b w:val="false"/>
          <w:i w:val="false"/>
          <w:caps w:val="false"/>
          <w:smallCaps w:val="false"/>
          <w:sz w:val="20"/>
          <w:u w:val="single"/>
        </w:rPr>
        <w:t>Loans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04" w:name="xdx_898_ecustom--AggregateFairValueLoans"/>
      <w:bookmarkEnd w:id="1304"/>
      <w:r>
        <w:rPr>
          <w:rFonts w:ascii="Times New Roman;Times;Serif" w:hAnsi="Times New Roman;Times;Serif"/>
          <w:b w:val="false"/>
          <w:i w:val="false"/>
          <w:caps w:val="false"/>
          <w:smallCaps w:val="false"/>
          <w:sz w:val="20"/>
        </w:rPr>
        <w:t>The following table presents the aggregate fair value and the aggregate unpaid principal balance of loans held for sale:</w:t>
      </w:r>
    </w:p>
    <w:p>
      <w:pPr>
        <w:pStyle w:val="TextBody"/>
        <w:pBdr/>
        <w:bidi w:val="0"/>
        <w:spacing w:before="0" w:after="0"/>
        <w:ind w:left="0" w:right="0" w:hanging="0"/>
        <w:jc w:val="left"/>
        <w:rPr>
          <w:caps w:val="false"/>
          <w:smallCaps w:val="false"/>
        </w:rPr>
      </w:pPr>
      <w:r>
        <w:rPr>
          <w:caps w:val="false"/>
          <w:smallCaps w:val="false"/>
        </w:rPr>
        <w:t> </w:t>
      </w:r>
      <w:bookmarkStart w:id="1305" w:name="xdx_8BC_zPT2kMIEgue9"/>
      <w:bookmarkEnd w:id="1305"/>
      <w:r>
        <w:rPr>
          <w:rFonts w:ascii="Times New Roman;Times;Serif" w:hAnsi="Times New Roman;Times;Serif"/>
          <w:b w:val="false"/>
          <w:i w:val="false"/>
          <w:caps w:val="false"/>
          <w:smallCaps w:val="false"/>
          <w:sz w:val="20"/>
        </w:rPr>
        <w:t>Schedule of Aggregate Fair Value Loans Held for Sale</w:t>
      </w:r>
    </w:p>
    <w:tbl>
      <w:tblPr>
        <w:tblW w:w="5914" w:type="dxa"/>
        <w:jc w:val="left"/>
        <w:tblInd w:w="0" w:type="dxa"/>
        <w:tblLayout w:type="fixed"/>
        <w:tblCellMar>
          <w:top w:w="0" w:type="dxa"/>
          <w:left w:w="0" w:type="dxa"/>
          <w:bottom w:w="0" w:type="dxa"/>
          <w:right w:w="0" w:type="dxa"/>
        </w:tblCellMar>
      </w:tblPr>
      <w:tblGrid>
        <w:gridCol w:w="2405"/>
        <w:gridCol w:w="60"/>
        <w:gridCol w:w="140"/>
        <w:gridCol w:w="1220"/>
        <w:gridCol w:w="60"/>
        <w:gridCol w:w="60"/>
        <w:gridCol w:w="195"/>
        <w:gridCol w:w="1699"/>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6" w:name="xdx_49F_20260630_zFUorWpu5tx"/>
            <w:bookmarkEnd w:id="1306"/>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7" w:name="xdx_49F_20251231_zZXZbvr0s1s3"/>
            <w:bookmarkEnd w:id="1307"/>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308" w:name="xdx_401_ecustom--AggregateFairValueLoans"/>
            <w:bookmarkEnd w:id="1308"/>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Aggregate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146,871,985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155,968,266</w:t>
            </w:r>
          </w:p>
        </w:tc>
        <w:tc>
          <w:tcPr>
            <w:tcW w:w="75" w:type="dxa"/>
            <w:tcBorders/>
            <w:shd w:fill="CCEEFF" w:val="clear"/>
            <w:vAlign w:val="center"/>
          </w:tcPr>
          <w:p>
            <w:pPr>
              <w:pStyle w:val="TableContents"/>
              <w:bidi w:val="0"/>
              <w:spacing w:before="0" w:after="283"/>
              <w:jc w:val="left"/>
              <w:rPr/>
            </w:pPr>
            <w:r>
              <w:rPr/>
              <w:t> </w:t>
            </w:r>
            <w:bookmarkStart w:id="1309" w:name="xdx_408_ecustom--AggregateUnpaidPrincipa"/>
            <w:bookmarkEnd w:id="1309"/>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Unpaid principal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144,581,000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154,484,198</w:t>
            </w:r>
          </w:p>
        </w:tc>
        <w:tc>
          <w:tcPr>
            <w:tcW w:w="75" w:type="dxa"/>
            <w:tcBorders/>
            <w:shd w:fill="FFFFFF" w:val="clear"/>
            <w:vAlign w:val="center"/>
          </w:tcPr>
          <w:p>
            <w:pPr>
              <w:pStyle w:val="TableContents"/>
              <w:bidi w:val="0"/>
              <w:spacing w:before="0" w:after="283"/>
              <w:jc w:val="left"/>
              <w:rPr/>
            </w:pPr>
            <w:r>
              <w:rPr/>
              <w:t> </w:t>
            </w:r>
            <w:bookmarkStart w:id="1310" w:name="xdx_402_ecustom--UnrealizedGainLoansHeld"/>
            <w:bookmarkEnd w:id="1310"/>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2,290,985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1,484,068</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311" w:name="xdx_8A3_zCR1rsccnaj5"/>
      <w:bookmarkEnd w:id="1311"/>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Mortgage Fee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fee income consists of origination fees, processing fees, interest income, and other income related to the origination and sale of mortgage loans held for sale.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12" w:name="xdx_89D_ecustom--ScheduleOfMortgageFeeIn"/>
      <w:bookmarkEnd w:id="1312"/>
      <w:r>
        <w:rPr>
          <w:rFonts w:ascii="Times New Roman;Times;Serif" w:hAnsi="Times New Roman;Times;Serif"/>
          <w:b w:val="false"/>
          <w:i w:val="false"/>
          <w:caps w:val="false"/>
          <w:smallCaps w:val="false"/>
          <w:sz w:val="20"/>
        </w:rPr>
        <w:t>Major categories of mortgage fee income for loans held for sale are summarized as follows:</w:t>
      </w:r>
    </w:p>
    <w:p>
      <w:pPr>
        <w:pStyle w:val="TextBody"/>
        <w:pBdr/>
        <w:bidi w:val="0"/>
        <w:spacing w:before="0" w:after="0"/>
        <w:ind w:left="0" w:right="0" w:hanging="0"/>
        <w:jc w:val="both"/>
        <w:rPr>
          <w:caps w:val="false"/>
          <w:smallCaps w:val="false"/>
        </w:rPr>
      </w:pPr>
      <w:r>
        <w:rPr>
          <w:caps w:val="false"/>
          <w:smallCaps w:val="false"/>
        </w:rPr>
        <w:t> </w:t>
      </w:r>
      <w:bookmarkStart w:id="1313" w:name="xdx_8B7_z3ZLZwuXlTzd"/>
      <w:bookmarkEnd w:id="1313"/>
      <w:r>
        <w:rPr>
          <w:rFonts w:ascii="Times New Roman;Times;Serif" w:hAnsi="Times New Roman;Times;Serif"/>
          <w:b w:val="false"/>
          <w:i w:val="false"/>
          <w:caps w:val="false"/>
          <w:smallCaps w:val="false"/>
          <w:sz w:val="20"/>
        </w:rPr>
        <w:t>Schedule of Mortgage Fee Income for Loans Held for Sale</w:t>
      </w:r>
    </w:p>
    <w:tbl>
      <w:tblPr>
        <w:tblW w:w="9846" w:type="dxa"/>
        <w:jc w:val="left"/>
        <w:tblInd w:w="0" w:type="dxa"/>
        <w:tblLayout w:type="fixed"/>
        <w:tblCellMar>
          <w:top w:w="0" w:type="dxa"/>
          <w:left w:w="0" w:type="dxa"/>
          <w:bottom w:w="0" w:type="dxa"/>
          <w:right w:w="0" w:type="dxa"/>
        </w:tblCellMar>
      </w:tblPr>
      <w:tblGrid>
        <w:gridCol w:w="3995"/>
        <w:gridCol w:w="60"/>
        <w:gridCol w:w="153"/>
        <w:gridCol w:w="1204"/>
        <w:gridCol w:w="104"/>
        <w:gridCol w:w="65"/>
        <w:gridCol w:w="153"/>
        <w:gridCol w:w="1204"/>
        <w:gridCol w:w="95"/>
        <w:gridCol w:w="60"/>
        <w:gridCol w:w="140"/>
        <w:gridCol w:w="1104"/>
        <w:gridCol w:w="95"/>
        <w:gridCol w:w="60"/>
        <w:gridCol w:w="140"/>
        <w:gridCol w:w="1104"/>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4" w:name="xdx_491_20260401__20260630_zKAGgycEqQw8"/>
            <w:bookmarkEnd w:id="1314"/>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1315" w:name="xdx_499_20250401__20250630_zi03Kcrgw95k"/>
            <w:bookmarkEnd w:id="1315"/>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6" w:name="xdx_494_20260101__20260630_zuwYPWM9n7Lb"/>
            <w:bookmarkEnd w:id="1316"/>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7" w:name="xdx_49E_20250101__20250630_zQettFs9Efzc"/>
            <w:bookmarkEnd w:id="1317"/>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Six Months Ended June 30,</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bookmarkStart w:id="1318" w:name="xdx_40E_ecustom--LoanFees_iN_di_msMFIzuD"/>
            <w:bookmarkEnd w:id="1318"/>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fees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6,387,240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6,709,062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12,121,753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11,963,152</w:t>
            </w:r>
          </w:p>
        </w:tc>
        <w:tc>
          <w:tcPr>
            <w:tcW w:w="110" w:type="dxa"/>
            <w:tcBorders/>
            <w:shd w:fill="CCEEFF" w:val="clear"/>
            <w:vAlign w:val="center"/>
          </w:tcPr>
          <w:p>
            <w:pPr>
              <w:pStyle w:val="TableContents"/>
              <w:bidi w:val="0"/>
              <w:spacing w:before="0" w:after="283"/>
              <w:jc w:val="left"/>
              <w:rPr/>
            </w:pPr>
            <w:r>
              <w:rPr/>
              <w:t> </w:t>
            </w:r>
            <w:bookmarkStart w:id="1319" w:name="xdx_40D_eus-gaap--InterestAndOtherIncome"/>
            <w:bookmarkEnd w:id="1319"/>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2,027,840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2,366,245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3,758,505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4,033,679</w:t>
            </w:r>
          </w:p>
        </w:tc>
        <w:tc>
          <w:tcPr>
            <w:tcW w:w="110" w:type="dxa"/>
            <w:tcBorders/>
            <w:shd w:fill="FFFFFF" w:val="clear"/>
            <w:vAlign w:val="center"/>
          </w:tcPr>
          <w:p>
            <w:pPr>
              <w:pStyle w:val="TableContents"/>
              <w:bidi w:val="0"/>
              <w:spacing w:before="0" w:after="283"/>
              <w:jc w:val="left"/>
              <w:rPr/>
            </w:pPr>
            <w:r>
              <w:rPr/>
              <w:t> </w:t>
            </w:r>
            <w:bookmarkStart w:id="1320" w:name="xdx_403_ecustom--SecondaryGains_iN_di_ms"/>
            <w:bookmarkEnd w:id="1320"/>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Secondary gains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16,895,087</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20,185,222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33,309,825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37,140,165</w:t>
            </w:r>
          </w:p>
        </w:tc>
        <w:tc>
          <w:tcPr>
            <w:tcW w:w="110" w:type="dxa"/>
            <w:tcBorders/>
            <w:shd w:fill="CCEEFF" w:val="clear"/>
            <w:vAlign w:val="center"/>
          </w:tcPr>
          <w:p>
            <w:pPr>
              <w:pStyle w:val="TableContents"/>
              <w:bidi w:val="0"/>
              <w:spacing w:before="0" w:after="283"/>
              <w:jc w:val="left"/>
              <w:rPr/>
            </w:pPr>
            <w:r>
              <w:rPr/>
              <w:t> </w:t>
            </w:r>
            <w:bookmarkStart w:id="1321" w:name="xdx_408_ecustom--ChangeInFairValueOfLoan"/>
            <w:bookmarkEnd w:id="1321"/>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loan commitments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(365,260</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606,944</w:t>
            </w:r>
          </w:p>
        </w:tc>
        <w:tc>
          <w:tcPr>
            <w:tcW w:w="110" w:type="dxa"/>
            <w:tcBorders/>
            <w:shd w:fill="FFFFFF" w:val="clear"/>
            <w:vAlign w:val="center"/>
          </w:tcPr>
          <w:p>
            <w:pPr>
              <w:pStyle w:val="TableContents"/>
              <w:bidi w:val="0"/>
              <w:spacing w:before="0" w:after="283"/>
              <w:jc w:val="left"/>
              <w:rPr/>
            </w:pPr>
            <w:r>
              <w:rPr/>
              <w:t> </w:t>
            </w:r>
            <w:bookmarkStart w:id="1322" w:name="xdx_407_ecustom--ChangeInFairValueOfLoan"/>
            <w:bookmarkEnd w:id="1322"/>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loans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1,045,923</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(558,065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949,342</w:t>
            </w:r>
          </w:p>
        </w:tc>
        <w:tc>
          <w:tcPr>
            <w:tcW w:w="110" w:type="dxa"/>
            <w:tcBorders/>
            <w:shd w:fill="CCEEFF" w:val="clear"/>
            <w:vAlign w:val="center"/>
          </w:tcPr>
          <w:p>
            <w:pPr>
              <w:pStyle w:val="TableContents"/>
              <w:bidi w:val="0"/>
              <w:spacing w:before="0" w:after="283"/>
              <w:jc w:val="left"/>
              <w:rPr/>
            </w:pPr>
            <w:r>
              <w:rPr/>
              <w:t> </w:t>
            </w:r>
            <w:bookmarkStart w:id="1323" w:name="xdx_400_ecustom--ProvisionForLoanLossRes"/>
            <w:bookmarkEnd w:id="1323"/>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for loan loss reserve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(193,297</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(215,903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(398,937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4" w:name="xdx_40F_ecustom--MortgageFeeIncome_iT_mt"/>
            <w:bookmarkEnd w:id="1324"/>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Mortgage fee income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25,797,533</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29,485,104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49,287,192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54,294,345</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325" w:name="xdx_8A4_zv93MAcOBfNb"/>
      <w:bookmarkEnd w:id="132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Loans Held for Sale</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Loan Loss Reserve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demands (“demand(s)”) from third party investors for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demand. In many instances, the Company can resolve the issues relating to the demand by the third-party investor without having to make any payments to the investor.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26" w:name="xdx_892_ecustom--ScheduleOfLoanLossReser"/>
      <w:bookmarkEnd w:id="1326"/>
      <w:r>
        <w:rPr>
          <w:rFonts w:ascii="Times New Roman;Times;Serif" w:hAnsi="Times New Roman;Times;Serif"/>
          <w:b w:val="false"/>
          <w:i w:val="false"/>
          <w:caps w:val="false"/>
          <w:smallCaps w:val="false"/>
          <w:sz w:val="20"/>
        </w:rPr>
        <w:t>The loan loss reserve, which is included in other liabilities and accrued expenses, is summarized as follows:</w:t>
      </w:r>
    </w:p>
    <w:p>
      <w:pPr>
        <w:pStyle w:val="TextBody"/>
        <w:pBdr/>
        <w:bidi w:val="0"/>
        <w:spacing w:before="0" w:after="0"/>
        <w:ind w:left="0" w:right="0" w:hanging="0"/>
        <w:jc w:val="left"/>
        <w:rPr>
          <w:caps w:val="false"/>
          <w:smallCaps w:val="false"/>
        </w:rPr>
      </w:pPr>
      <w:r>
        <w:rPr>
          <w:caps w:val="false"/>
          <w:smallCaps w:val="false"/>
        </w:rPr>
        <w:t> </w:t>
      </w:r>
      <w:bookmarkStart w:id="1327" w:name="xdx_8BA_z0YHfy8geTSj"/>
      <w:bookmarkEnd w:id="1327"/>
      <w:r>
        <w:rPr>
          <w:rFonts w:ascii="Times New Roman;Times;Serif" w:hAnsi="Times New Roman;Times;Serif"/>
          <w:b w:val="false"/>
          <w:i w:val="false"/>
          <w:caps w:val="false"/>
          <w:smallCaps w:val="false"/>
          <w:sz w:val="20"/>
        </w:rPr>
        <w:t>Summary of Loan Loss Reserve Included in Other Liabilities and Accrued Expenses</w:t>
      </w:r>
    </w:p>
    <w:tbl>
      <w:tblPr>
        <w:tblW w:w="7493" w:type="dxa"/>
        <w:jc w:val="left"/>
        <w:tblInd w:w="0" w:type="dxa"/>
        <w:tblLayout w:type="fixed"/>
        <w:tblCellMar>
          <w:top w:w="0" w:type="dxa"/>
          <w:left w:w="0" w:type="dxa"/>
          <w:bottom w:w="0" w:type="dxa"/>
          <w:right w:w="0" w:type="dxa"/>
        </w:tblCellMar>
      </w:tblPr>
      <w:tblGrid>
        <w:gridCol w:w="3920"/>
        <w:gridCol w:w="60"/>
        <w:gridCol w:w="186"/>
        <w:gridCol w:w="1168"/>
        <w:gridCol w:w="95"/>
        <w:gridCol w:w="60"/>
        <w:gridCol w:w="222"/>
        <w:gridCol w:w="1672"/>
        <w:gridCol w:w="110"/>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beginning of period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8" w:name="xdx_981_ecustom--BeginningLoanLossReserv"/>
            <w:bookmarkEnd w:id="1328"/>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9" w:name="xdx_98F_ecustom--BeginningLoanLossReserv"/>
            <w:bookmarkEnd w:id="1329"/>
          </w:p>
        </w:tc>
        <w:tc>
          <w:tcPr>
            <w:tcW w:w="1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696,626</w:t>
            </w:r>
          </w:p>
        </w:tc>
        <w:tc>
          <w:tcPr>
            <w:tcW w:w="11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on current loan originations (1)</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1330" w:name="xdx_98F_ecustom--LoanLossReserveProvisio"/>
            <w:bookmarkEnd w:id="1330"/>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1331" w:name="xdx_989_ecustom--LoanLossReserveProvisio"/>
            <w:bookmarkEnd w:id="1331"/>
          </w:p>
        </w:tc>
        <w:tc>
          <w:tcPr>
            <w:tcW w:w="1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805,518</w:t>
            </w:r>
          </w:p>
        </w:tc>
        <w:tc>
          <w:tcPr>
            <w:tcW w:w="11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provision (2)</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bookmarkStart w:id="1332" w:name="xdx_98B_ecustom--LoanLossReserveAddition"/>
            <w:bookmarkEnd w:id="1332"/>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1333" w:name="xdx_980_ecustom--LoanLossReserveAddition"/>
            <w:bookmarkEnd w:id="1333"/>
          </w:p>
        </w:tc>
        <w:tc>
          <w:tcPr>
            <w:tcW w:w="1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11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Charge-offs, net of recaptured amounts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4" w:name="xdx_981_ecustom--LoanLossReserveChargeOf"/>
            <w:bookmarkEnd w:id="1334"/>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(337,460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5" w:name="xdx_981_ecustom--LoanLossReserveChargeOf"/>
            <w:bookmarkEnd w:id="1335"/>
          </w:p>
        </w:tc>
        <w:tc>
          <w:tcPr>
            <w:tcW w:w="1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(1,157,960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end of period</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6" w:name="xdx_98B_ecustom--EndingLoanLossReserve_i"/>
            <w:bookmarkEnd w:id="1336"/>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7" w:name="xdx_981_ecustom--EndingLoanLossReserve_i"/>
            <w:bookmarkEnd w:id="1337"/>
          </w:p>
        </w:tc>
        <w:tc>
          <w:tcPr>
            <w:tcW w:w="16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384,184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283"/>
              <w:jc w:val="both"/>
              <w:rPr/>
            </w:pPr>
            <w:bookmarkStart w:id="1338" w:name="xdx_F07_ztW8DlZZjwX5"/>
            <w:bookmarkEnd w:id="1338"/>
            <w:r>
              <w:rPr/>
              <w:t>(1)</w:t>
            </w:r>
            <w:bookmarkStart w:id="1339" w:name="xdx_F19_z3mKREbdPYDi"/>
            <w:bookmarkEnd w:id="1339"/>
          </w:p>
        </w:tc>
        <w:tc>
          <w:tcPr>
            <w:tcW w:w="3125" w:type="dxa"/>
            <w:tcBorders/>
            <w:vAlign w:val="center"/>
          </w:tcPr>
          <w:p>
            <w:pPr>
              <w:pStyle w:val="TableContents"/>
              <w:bidi w:val="0"/>
              <w:spacing w:before="0" w:after="283"/>
              <w:jc w:val="both"/>
              <w:rPr/>
            </w:pPr>
            <w:r>
              <w:rPr/>
              <w:t>Included in mortgage fee income</w:t>
            </w:r>
          </w:p>
        </w:tc>
      </w:tr>
      <w:tr>
        <w:trPr/>
        <w:tc>
          <w:tcPr>
            <w:tcW w:w="290" w:type="dxa"/>
            <w:tcBorders/>
            <w:vAlign w:val="center"/>
          </w:tcPr>
          <w:p>
            <w:pPr>
              <w:pStyle w:val="TableContents"/>
              <w:bidi w:val="0"/>
              <w:spacing w:before="0" w:after="283"/>
              <w:jc w:val="both"/>
              <w:rPr>
                <w:rFonts w:ascii="Times New Roman;Times;Serif" w:hAnsi="Times New Roman;Times;Serif"/>
                <w:sz w:val="20"/>
              </w:rPr>
            </w:pPr>
            <w:bookmarkStart w:id="1340" w:name="xdx_F00_z3A3j3OJdnE8"/>
            <w:bookmarkEnd w:id="1340"/>
            <w:r>
              <w:rPr>
                <w:rFonts w:ascii="Times New Roman;Times;Serif" w:hAnsi="Times New Roman;Times;Serif"/>
                <w:sz w:val="20"/>
              </w:rPr>
              <w:t>(2)</w:t>
            </w:r>
          </w:p>
        </w:tc>
        <w:tc>
          <w:tcPr>
            <w:tcW w:w="3125" w:type="dxa"/>
            <w:tcBorders/>
            <w:vAlign w:val="center"/>
          </w:tcPr>
          <w:p>
            <w:pPr>
              <w:pStyle w:val="TableContents"/>
              <w:bidi w:val="0"/>
              <w:spacing w:before="0" w:after="283"/>
              <w:jc w:val="both"/>
              <w:rPr>
                <w:rFonts w:ascii="Times New Roman;Times;Serif" w:hAnsi="Times New Roman;Times;Serif"/>
                <w:sz w:val="20"/>
              </w:rPr>
            </w:pPr>
            <w:bookmarkStart w:id="1341" w:name="xdx_F1B_zHcfGdO9Zxij"/>
            <w:bookmarkEnd w:id="1341"/>
            <w:r>
              <w:rPr>
                <w:rFonts w:ascii="Times New Roman;Times;Serif" w:hAnsi="Times New Roman;Times;Serif"/>
                <w:sz w:val="20"/>
              </w:rPr>
              <w:t>Included in other expenses</w:t>
            </w:r>
          </w:p>
        </w:tc>
      </w:tr>
    </w:tbl>
    <w:p>
      <w:pPr>
        <w:pStyle w:val="TextBody"/>
        <w:pBdr/>
        <w:bidi w:val="0"/>
        <w:spacing w:before="0" w:after="0"/>
        <w:ind w:left="0" w:right="0" w:hanging="0"/>
        <w:jc w:val="both"/>
        <w:rPr>
          <w:caps w:val="false"/>
          <w:smallCaps w:val="false"/>
        </w:rPr>
      </w:pPr>
      <w:bookmarkStart w:id="1342" w:name="xdx_8AD_z08K30iwAOT5"/>
      <w:bookmarkEnd w:id="1342"/>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reserves for estimated losses on current production volumes. For the six-month period ended June 30, 2026, $</w:t>
      </w:r>
      <w:bookmarkStart w:id="1343" w:name="xdx_907_ecustom--LoanLossReserveProvisio"/>
      <w:bookmarkEnd w:id="1343"/>
      <w:r>
        <w:rPr>
          <w:rFonts w:ascii="Times New Roman;Times;Serif" w:hAnsi="Times New Roman;Times;Serif"/>
          <w:b w:val="false"/>
          <w:i w:val="false"/>
          <w:caps w:val="false"/>
          <w:smallCaps w:val="false"/>
          <w:sz w:val="20"/>
        </w:rPr>
        <w:t>364,293 in reserves were added at a rate of 3.5 basis points per loan, the equivalent of $</w:t>
      </w:r>
      <w:bookmarkStart w:id="1344" w:name="xdx_904_ecustom--LoanIncreasePerPoint_iI"/>
      <w:bookmarkEnd w:id="1344"/>
      <w:r>
        <w:rPr>
          <w:rFonts w:ascii="Times New Roman;Times;Serif" w:hAnsi="Times New Roman;Times;Serif"/>
          <w:b w:val="false"/>
          <w:i w:val="false"/>
          <w:caps w:val="false"/>
          <w:smallCaps w:val="false"/>
          <w:sz w:val="20"/>
        </w:rPr>
        <w:t>350 per $</w:t>
      </w:r>
      <w:bookmarkStart w:id="1345" w:name="xdx_906_ecustom--AmountOfLoanIncreasedPe"/>
      <w:bookmarkEnd w:id="1345"/>
      <w:r>
        <w:rPr>
          <w:rFonts w:ascii="Times New Roman;Times;Serif" w:hAnsi="Times New Roman;Times;Serif"/>
          <w:b w:val="false"/>
          <w:i w:val="false"/>
          <w:caps w:val="false"/>
          <w:smallCaps w:val="false"/>
          <w:sz w:val="20"/>
        </w:rPr>
        <w:t>1,000,000 in loans originated. For the six-month period ended June 30, 2025, $</w:t>
      </w:r>
      <w:bookmarkStart w:id="1346" w:name="xdx_902_ecustom--LoanLossReserveProvisio"/>
      <w:bookmarkEnd w:id="1346"/>
      <w:r>
        <w:rPr>
          <w:rFonts w:ascii="Times New Roman;Times;Serif" w:hAnsi="Times New Roman;Times;Serif"/>
          <w:b w:val="false"/>
          <w:i w:val="false"/>
          <w:caps w:val="false"/>
          <w:smallCaps w:val="false"/>
          <w:sz w:val="20"/>
        </w:rPr>
        <w:t>398,937 in reserves were added at a rate of 3.5 basis points per loan, the equivalent of $</w:t>
      </w:r>
      <w:bookmarkStart w:id="1347" w:name="xdx_904_ecustom--LoanIncreasePerPoint_iI"/>
      <w:bookmarkEnd w:id="1347"/>
      <w:r>
        <w:rPr>
          <w:rFonts w:ascii="Times New Roman;Times;Serif" w:hAnsi="Times New Roman;Times;Serif"/>
          <w:b w:val="false"/>
          <w:i w:val="false"/>
          <w:caps w:val="false"/>
          <w:smallCaps w:val="false"/>
          <w:sz w:val="20"/>
        </w:rPr>
        <w:t>350 per $</w:t>
      </w:r>
      <w:bookmarkStart w:id="1348" w:name="xdx_90D_ecustom--AmountOfLoanIncreasedPe"/>
      <w:bookmarkEnd w:id="1348"/>
      <w:r>
        <w:rPr>
          <w:rFonts w:ascii="Times New Roman;Times;Serif" w:hAnsi="Times New Roman;Times;Serif"/>
          <w:b w:val="false"/>
          <w:i w:val="false"/>
          <w:caps w:val="false"/>
          <w:smallCaps w:val="false"/>
          <w:sz w:val="20"/>
        </w:rPr>
        <w:t xml:space="preserve">1,000,000 in loans originated. The Company monitors market data and trends, and economic conditions (including forecasts) and uses its own experience to determine adequate loss reserves on current production. </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49" w:name="s_002"/>
      <w:bookmarkStart w:id="1350" w:name="xdx_80B_eus-gaap--LoansNotesTradeAndOthe"/>
      <w:bookmarkEnd w:id="1349"/>
      <w:bookmarkEnd w:id="1350"/>
      <w:r>
        <w:rPr>
          <w:rFonts w:ascii="Times New Roman;Times;Serif" w:hAnsi="Times New Roman;Times;Serif"/>
          <w:b w:val="false"/>
          <w:i w:val="false"/>
          <w:caps w:val="false"/>
          <w:smallCaps w:val="false"/>
          <w:sz w:val="20"/>
        </w:rPr>
        <w:t xml:space="preserve">4) </w:t>
      </w:r>
      <w:bookmarkStart w:id="1351" w:name="xdx_823_zeCWe5KpUoT5"/>
      <w:bookmarkEnd w:id="1351"/>
      <w:r>
        <w:rPr>
          <w:rFonts w:ascii="Times New Roman;Times;Serif" w:hAnsi="Times New Roman;Times;Serif"/>
          <w:b w:val="false"/>
          <w:i w:val="false"/>
          <w:caps w:val="false"/>
          <w:smallCaps w:val="false"/>
          <w:sz w:val="20"/>
          <w:u w:val="single"/>
        </w:rPr>
        <w:t>Receivables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52" w:name="xdx_899_ecustom--ScheduleOfReceivablesTe"/>
      <w:bookmarkEnd w:id="1352"/>
      <w:r>
        <w:rPr>
          <w:rFonts w:ascii="Times New Roman;Times;Serif" w:hAnsi="Times New Roman;Times;Serif"/>
          <w:b w:val="false"/>
          <w:i w:val="false"/>
          <w:caps w:val="false"/>
          <w:smallCaps w:val="false"/>
          <w:sz w:val="20"/>
        </w:rPr>
        <w:t>Receivables consist of the following:</w:t>
      </w:r>
    </w:p>
    <w:p>
      <w:pPr>
        <w:pStyle w:val="TextBody"/>
        <w:pBdr/>
        <w:bidi w:val="0"/>
        <w:spacing w:before="0" w:after="0"/>
        <w:ind w:left="0" w:right="0" w:hanging="0"/>
        <w:jc w:val="both"/>
        <w:rPr>
          <w:caps w:val="false"/>
          <w:smallCaps w:val="false"/>
        </w:rPr>
      </w:pPr>
      <w:r>
        <w:rPr>
          <w:caps w:val="false"/>
          <w:smallCaps w:val="false"/>
        </w:rPr>
        <w:t> </w:t>
      </w:r>
      <w:bookmarkStart w:id="1353" w:name="xdx_8BB_zVCVwQcJzN58"/>
      <w:bookmarkEnd w:id="1353"/>
      <w:r>
        <w:rPr>
          <w:rFonts w:ascii="Times New Roman;Times;Serif" w:hAnsi="Times New Roman;Times;Serif"/>
          <w:b w:val="false"/>
          <w:i w:val="false"/>
          <w:caps w:val="false"/>
          <w:smallCaps w:val="false"/>
          <w:sz w:val="20"/>
        </w:rPr>
        <w:t>Schedule of Receivable</w:t>
      </w:r>
    </w:p>
    <w:tbl>
      <w:tblPr>
        <w:tblW w:w="6428" w:type="dxa"/>
        <w:jc w:val="left"/>
        <w:tblInd w:w="0" w:type="dxa"/>
        <w:tblLayout w:type="fixed"/>
        <w:tblCellMar>
          <w:top w:w="0" w:type="dxa"/>
          <w:left w:w="0" w:type="dxa"/>
          <w:bottom w:w="0" w:type="dxa"/>
          <w:right w:w="0" w:type="dxa"/>
        </w:tblCellMar>
      </w:tblPr>
      <w:tblGrid>
        <w:gridCol w:w="2855"/>
        <w:gridCol w:w="60"/>
        <w:gridCol w:w="152"/>
        <w:gridCol w:w="1202"/>
        <w:gridCol w:w="95"/>
        <w:gridCol w:w="60"/>
        <w:gridCol w:w="213"/>
        <w:gridCol w:w="1681"/>
        <w:gridCol w:w="11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4" w:name="xdx_49C_20260630_zAfBZ39Z1uz6"/>
            <w:bookmarkEnd w:id="1354"/>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5" w:name="xdx_499_20251231_zSZPdvaHY5i2"/>
            <w:bookmarkEnd w:id="1355"/>
          </w:p>
        </w:tc>
        <w:tc>
          <w:tcPr>
            <w:tcW w:w="18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As of</w:t>
            </w:r>
          </w:p>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0" w:type="dxa"/>
            <w:tcBorders/>
            <w:vAlign w:val="center"/>
          </w:tcPr>
          <w:p>
            <w:pPr>
              <w:pStyle w:val="TableContents"/>
              <w:bidi w:val="0"/>
              <w:spacing w:before="0" w:after="283"/>
              <w:jc w:val="left"/>
              <w:rPr/>
            </w:pPr>
            <w:r>
              <w:rPr/>
              <w:t> </w:t>
            </w:r>
            <w:bookmarkStart w:id="1356" w:name="xdx_404_eus-gaap--ContractWithCustomerAs"/>
            <w:bookmarkEnd w:id="1356"/>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Contracts with customers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6,981,676</w:t>
            </w:r>
          </w:p>
        </w:tc>
        <w:tc>
          <w:tcPr>
            <w:tcW w:w="110" w:type="dxa"/>
            <w:tcBorders/>
            <w:shd w:fill="CCEEFF" w:val="clear"/>
            <w:vAlign w:val="center"/>
          </w:tcPr>
          <w:p>
            <w:pPr>
              <w:pStyle w:val="TableContents"/>
              <w:bidi w:val="0"/>
              <w:spacing w:before="0" w:after="283"/>
              <w:jc w:val="left"/>
              <w:rPr/>
            </w:pPr>
            <w:r>
              <w:rPr/>
              <w:t> </w:t>
            </w:r>
            <w:bookmarkStart w:id="1357" w:name="xdx_401_ecustom--ReceivablesFromSalesAge"/>
            <w:bookmarkEnd w:id="1357"/>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Receivables from sales agents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4,706,484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4,193,842</w:t>
            </w:r>
          </w:p>
        </w:tc>
        <w:tc>
          <w:tcPr>
            <w:tcW w:w="110" w:type="dxa"/>
            <w:tcBorders/>
            <w:shd w:fill="FFFFFF" w:val="clear"/>
            <w:vAlign w:val="center"/>
          </w:tcPr>
          <w:p>
            <w:pPr>
              <w:pStyle w:val="TableContents"/>
              <w:bidi w:val="0"/>
              <w:spacing w:before="0" w:after="283"/>
              <w:jc w:val="left"/>
              <w:rPr/>
            </w:pPr>
            <w:r>
              <w:rPr/>
              <w:t> </w:t>
            </w:r>
            <w:bookmarkStart w:id="1358" w:name="xdx_40C_ecustom--InsurancePremiumsDue_iI"/>
            <w:bookmarkEnd w:id="1358"/>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premiums due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1,275,664</w:t>
            </w:r>
          </w:p>
        </w:tc>
        <w:tc>
          <w:tcPr>
            <w:tcW w:w="110" w:type="dxa"/>
            <w:tcBorders/>
            <w:shd w:fill="CCEEFF" w:val="clear"/>
            <w:vAlign w:val="center"/>
          </w:tcPr>
          <w:p>
            <w:pPr>
              <w:pStyle w:val="TableContents"/>
              <w:bidi w:val="0"/>
              <w:spacing w:before="0" w:after="283"/>
              <w:jc w:val="left"/>
              <w:rPr/>
            </w:pPr>
            <w:r>
              <w:rPr/>
              <w:t> </w:t>
            </w:r>
            <w:bookmarkStart w:id="1359" w:name="xdx_407_eus-gaap--OtherReceivables_iI_ma"/>
            <w:bookmarkEnd w:id="1359"/>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4,858,150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4,588,564</w:t>
            </w:r>
          </w:p>
        </w:tc>
        <w:tc>
          <w:tcPr>
            <w:tcW w:w="110" w:type="dxa"/>
            <w:tcBorders/>
            <w:shd w:fill="FFFFFF" w:val="clear"/>
            <w:vAlign w:val="center"/>
          </w:tcPr>
          <w:p>
            <w:pPr>
              <w:pStyle w:val="TableContents"/>
              <w:bidi w:val="0"/>
              <w:spacing w:before="0" w:after="283"/>
              <w:jc w:val="left"/>
              <w:rPr/>
            </w:pPr>
            <w:r>
              <w:rPr/>
              <w:t> </w:t>
            </w:r>
            <w:bookmarkStart w:id="1360" w:name="xdx_405_eus-gaap--AccountsReceivableGros"/>
            <w:bookmarkEnd w:id="1360"/>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receivables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18,576,720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17,039,746</w:t>
            </w:r>
          </w:p>
        </w:tc>
        <w:tc>
          <w:tcPr>
            <w:tcW w:w="110" w:type="dxa"/>
            <w:tcBorders/>
            <w:shd w:fill="CCEEFF" w:val="clear"/>
            <w:vAlign w:val="center"/>
          </w:tcPr>
          <w:p>
            <w:pPr>
              <w:pStyle w:val="TableContents"/>
              <w:bidi w:val="0"/>
              <w:spacing w:before="0" w:after="283"/>
              <w:jc w:val="left"/>
              <w:rPr/>
            </w:pPr>
            <w:r>
              <w:rPr/>
              <w:t> </w:t>
            </w:r>
            <w:bookmarkStart w:id="1361" w:name="xdx_404_eus-gaap--AllowanceForDoubtfulAc"/>
            <w:bookmarkEnd w:id="1361"/>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credit losses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(1,546,298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(1,428,672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2" w:name="xdx_405_eus-gaap--AccountsReceivableNet_"/>
            <w:bookmarkEnd w:id="1362"/>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receivables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17,030,422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15,611,074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363" w:name="xdx_8A6_zY32se2Rp7Qj"/>
      <w:bookmarkEnd w:id="136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an allowance for credit losses for its receivables in accordance with GAAP.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64" w:name="xdx_892_eus-gaap--AccountsReceivableAllo"/>
      <w:bookmarkEnd w:id="1364"/>
      <w:r>
        <w:rPr>
          <w:rFonts w:ascii="Times New Roman;Times;Serif" w:hAnsi="Times New Roman;Times;Serif"/>
          <w:b w:val="false"/>
          <w:i w:val="false"/>
          <w:caps w:val="false"/>
          <w:smallCaps w:val="false"/>
          <w:sz w:val="20"/>
        </w:rPr>
        <w:t>The following table presents a roll forward of the allowance for credit losses as of the dates indicated:</w:t>
      </w:r>
    </w:p>
    <w:p>
      <w:pPr>
        <w:pStyle w:val="TextBody"/>
        <w:pBdr/>
        <w:bidi w:val="0"/>
        <w:spacing w:before="0" w:after="0"/>
        <w:ind w:left="0" w:right="0" w:hanging="0"/>
        <w:jc w:val="both"/>
        <w:rPr>
          <w:caps w:val="false"/>
          <w:smallCaps w:val="false"/>
        </w:rPr>
      </w:pPr>
      <w:r>
        <w:rPr>
          <w:caps w:val="false"/>
          <w:smallCaps w:val="false"/>
        </w:rPr>
        <w:t> </w:t>
      </w:r>
      <w:bookmarkStart w:id="1365" w:name="xdx_8B1_z9ZjthFrinAa"/>
      <w:bookmarkEnd w:id="1365"/>
      <w:r>
        <w:rPr>
          <w:rFonts w:ascii="Times New Roman;Times;Serif" w:hAnsi="Times New Roman;Times;Serif"/>
          <w:b w:val="false"/>
          <w:i w:val="false"/>
          <w:caps w:val="false"/>
          <w:smallCaps w:val="false"/>
          <w:sz w:val="20"/>
        </w:rPr>
        <w:t>Schedule of Allowance for Credit Losses</w:t>
      </w:r>
    </w:p>
    <w:tbl>
      <w:tblPr>
        <w:tblW w:w="5159" w:type="dxa"/>
        <w:jc w:val="left"/>
        <w:tblInd w:w="0" w:type="dxa"/>
        <w:tblLayout w:type="fixed"/>
        <w:tblCellMar>
          <w:top w:w="0" w:type="dxa"/>
          <w:left w:w="0" w:type="dxa"/>
          <w:bottom w:w="0" w:type="dxa"/>
          <w:right w:w="0" w:type="dxa"/>
        </w:tblCellMar>
      </w:tblPr>
      <w:tblGrid>
        <w:gridCol w:w="3275"/>
        <w:gridCol w:w="60"/>
        <w:gridCol w:w="222"/>
        <w:gridCol w:w="1507"/>
        <w:gridCol w:w="95"/>
      </w:tblGrid>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66" w:name="xdx_98F_eus-gaap--AllowanceForDoubtfulAc"/>
            <w:bookmarkEnd w:id="1366"/>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1,523,072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67" w:name="xdx_980_eus-gaap--AllowanceForDoubtfulAc"/>
            <w:bookmarkEnd w:id="1367"/>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68" w:name="xdx_988_ecustom--AllowanceForDoubtfulAcc"/>
            <w:bookmarkEnd w:id="1368"/>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69" w:name="xdx_980_eus-gaap--AllowanceForDoubtfulAc"/>
            <w:bookmarkEnd w:id="1369"/>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70" w:name="xdx_98B_eus-gaap--AllowanceForDoubtfulAc"/>
            <w:bookmarkEnd w:id="1370"/>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71" w:name="xdx_98F_eus-gaap--AllowanceForDoubtfulAc"/>
            <w:bookmarkEnd w:id="1371"/>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72" w:name="xdx_98F_ecustom--AllowanceForDoubtfulAcc"/>
            <w:bookmarkEnd w:id="1372"/>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73" w:name="xdx_985_eus-gaap--AllowanceForDoubtfulAc"/>
            <w:bookmarkEnd w:id="1373"/>
          </w:p>
        </w:tc>
        <w:tc>
          <w:tcPr>
            <w:tcW w:w="1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1,491,043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ind w:left="0" w:right="0" w:hanging="200"/>
              <w:jc w:val="both"/>
              <w:rPr>
                <w:rFonts w:ascii="Times New Roman;Times;Serif" w:hAnsi="Times New Roman;Times;Serif"/>
                <w:sz w:val="20"/>
              </w:rPr>
            </w:pPr>
            <w:bookmarkStart w:id="1374" w:name="xdx_F0D_zsMUBCeCyP36"/>
            <w:bookmarkEnd w:id="1374"/>
            <w:r>
              <w:rPr>
                <w:rFonts w:ascii="Times New Roman;Times;Serif" w:hAnsi="Times New Roman;Times;Serif"/>
                <w:sz w:val="20"/>
              </w:rPr>
              <w:t>(1)</w:t>
            </w:r>
          </w:p>
        </w:tc>
        <w:tc>
          <w:tcPr>
            <w:tcW w:w="6605" w:type="dxa"/>
            <w:tcBorders/>
            <w:vAlign w:val="center"/>
          </w:tcPr>
          <w:p>
            <w:pPr>
              <w:pStyle w:val="TableContents"/>
              <w:bidi w:val="0"/>
              <w:spacing w:before="0" w:after="283"/>
              <w:jc w:val="both"/>
              <w:rPr>
                <w:rFonts w:ascii="Times New Roman;Times;Serif" w:hAnsi="Times New Roman;Times;Serif"/>
                <w:sz w:val="20"/>
              </w:rPr>
            </w:pPr>
            <w:bookmarkStart w:id="1375" w:name="xdx_F10_zYnTEURnkl52"/>
            <w:bookmarkEnd w:id="1375"/>
            <w:r>
              <w:rPr>
                <w:rFonts w:ascii="Times New Roman;Times;Serif" w:hAnsi="Times New Roman;Times;Serif"/>
                <w:sz w:val="20"/>
              </w:rPr>
              <w:t>Included in other expenses on the condensed consolidated statements of earnings</w:t>
            </w:r>
          </w:p>
        </w:tc>
      </w:tr>
    </w:tbl>
    <w:p>
      <w:pPr>
        <w:pStyle w:val="TextBody"/>
        <w:pBdr/>
        <w:bidi w:val="0"/>
        <w:spacing w:before="0" w:after="0"/>
        <w:ind w:left="0" w:right="0" w:hanging="0"/>
        <w:jc w:val="left"/>
        <w:rPr>
          <w:caps w:val="false"/>
          <w:smallCaps w:val="false"/>
        </w:rPr>
      </w:pPr>
      <w:r>
        <w:rPr>
          <w:caps w:val="false"/>
          <w:smallCaps w:val="false"/>
        </w:rPr>
        <w:t> </w:t>
      </w:r>
    </w:p>
    <w:tbl>
      <w:tblPr>
        <w:tblW w:w="4994" w:type="dxa"/>
        <w:jc w:val="left"/>
        <w:tblInd w:w="0" w:type="dxa"/>
        <w:tblLayout w:type="fixed"/>
        <w:tblCellMar>
          <w:top w:w="0" w:type="dxa"/>
          <w:left w:w="0" w:type="dxa"/>
          <w:bottom w:w="0" w:type="dxa"/>
          <w:right w:w="0" w:type="dxa"/>
        </w:tblCellMar>
      </w:tblPr>
      <w:tblGrid>
        <w:gridCol w:w="3305"/>
        <w:gridCol w:w="60"/>
        <w:gridCol w:w="197"/>
        <w:gridCol w:w="1337"/>
        <w:gridCol w:w="95"/>
      </w:tblGrid>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76" w:name="xdx_983_eus-gaap--AllowanceForDoubtfulAc"/>
            <w:bookmarkEnd w:id="1376"/>
          </w:p>
        </w:tc>
        <w:tc>
          <w:tcPr>
            <w:tcW w:w="1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1,428,672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77" w:name="xdx_981_eus-gaap--AllowanceForDoubtfulAc"/>
            <w:bookmarkEnd w:id="1377"/>
          </w:p>
        </w:tc>
        <w:tc>
          <w:tcPr>
            <w:tcW w:w="1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78" w:name="xdx_984_ecustom--AllowanceForDoubtfulAcc"/>
            <w:bookmarkEnd w:id="1378"/>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79" w:name="xdx_98E_eus-gaap--AllowanceForDoubtfulAc"/>
            <w:bookmarkEnd w:id="1379"/>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80" w:name="xdx_98C_eus-gaap--AllowanceForDoubtfulAc"/>
            <w:bookmarkEnd w:id="1380"/>
          </w:p>
        </w:tc>
        <w:tc>
          <w:tcPr>
            <w:tcW w:w="1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1,678,531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81" w:name="xdx_988_eus-gaap--AllowanceForDoubtfulAc"/>
            <w:bookmarkEnd w:id="1381"/>
          </w:p>
        </w:tc>
        <w:tc>
          <w:tcPr>
            <w:tcW w:w="1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Charge-offs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82" w:name="xdx_985_ecustom--AllowanceForDoubtfulAcc"/>
            <w:bookmarkEnd w:id="1382"/>
          </w:p>
        </w:tc>
        <w:tc>
          <w:tcPr>
            <w:tcW w:w="13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83" w:name="xdx_98F_eus-gaap--AllowanceForDoubtfulAc"/>
            <w:bookmarkEnd w:id="1383"/>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1,491,043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ind w:left="0" w:right="0" w:hanging="200"/>
              <w:jc w:val="both"/>
              <w:rPr>
                <w:rFonts w:ascii="Times New Roman;Times;Serif" w:hAnsi="Times New Roman;Times;Serif"/>
                <w:sz w:val="20"/>
              </w:rPr>
            </w:pPr>
            <w:bookmarkStart w:id="1384" w:name="xdx_F05_zOaFTmQnHnTd"/>
            <w:bookmarkEnd w:id="1384"/>
            <w:r>
              <w:rPr>
                <w:rFonts w:ascii="Times New Roman;Times;Serif" w:hAnsi="Times New Roman;Times;Serif"/>
                <w:sz w:val="20"/>
              </w:rPr>
              <w:t>(1)</w:t>
            </w:r>
          </w:p>
        </w:tc>
        <w:tc>
          <w:tcPr>
            <w:tcW w:w="6605" w:type="dxa"/>
            <w:tcBorders/>
            <w:vAlign w:val="center"/>
          </w:tcPr>
          <w:p>
            <w:pPr>
              <w:pStyle w:val="TableContents"/>
              <w:bidi w:val="0"/>
              <w:spacing w:before="0" w:after="283"/>
              <w:jc w:val="both"/>
              <w:rPr>
                <w:rFonts w:ascii="Times New Roman;Times;Serif" w:hAnsi="Times New Roman;Times;Serif"/>
                <w:sz w:val="20"/>
              </w:rPr>
            </w:pPr>
            <w:bookmarkStart w:id="1385" w:name="xdx_F15_z87AExEckxV3"/>
            <w:bookmarkEnd w:id="1385"/>
            <w:r>
              <w:rPr>
                <w:rFonts w:ascii="Times New Roman;Times;Serif" w:hAnsi="Times New Roman;Times;Serif"/>
                <w:sz w:val="20"/>
              </w:rPr>
              <w:t>Included in other expenses on the condensed consolidated statements of earnings</w:t>
            </w:r>
          </w:p>
        </w:tc>
      </w:tr>
    </w:tbl>
    <w:p>
      <w:pPr>
        <w:pStyle w:val="TextBody"/>
        <w:pBdr/>
        <w:bidi w:val="0"/>
        <w:spacing w:before="0" w:after="0"/>
        <w:ind w:left="0" w:right="0" w:hanging="0"/>
        <w:jc w:val="both"/>
        <w:rPr>
          <w:caps w:val="false"/>
          <w:smallCaps w:val="false"/>
        </w:rPr>
      </w:pPr>
      <w:bookmarkStart w:id="1386" w:name="xdx_8AC_zam50jSnQMDf"/>
      <w:bookmarkEnd w:id="13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 with Customers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reports revenues from contracts with customers pursuant to ASC No.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Performance Obligations and Contract Balances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funeral home and cemetery segment sells a variety of goods and services to customers in both at-need and pre-need situations. Due to the timing of the fulfillment of the obligation, revenue is deferred until that obligation is fulfilled.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two types of future obligations are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Pre-need Merchandise and Service Revenue</w:t>
      </w:r>
      <w:r>
        <w:rPr>
          <w:rFonts w:ascii="Times New Roman;Times;Serif" w:hAnsi="Times New Roman;Times;Serif"/>
          <w:b w:val="false"/>
          <w:i w:val="false"/>
          <w:caps w:val="false"/>
          <w:smallCaps w:val="false"/>
          <w:sz w:val="20"/>
        </w:rPr>
        <w:t>: All pre-need merchandise and service revenue are deferred, and the funds are placed in trust until the need arises; the merchandise is received, or the service is performed. The trust is then relieved, and the revenue and commissions are recognized.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the contract and revenue remains deferred.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At-need Specialty Merchandise Revenue</w:t>
      </w:r>
      <w:r>
        <w:rPr>
          <w:rFonts w:ascii="Times New Roman;Times;Serif" w:hAnsi="Times New Roman;Times;Serif"/>
          <w:b w:val="false"/>
          <w:i w:val="false"/>
          <w:caps w:val="false"/>
          <w:smallCaps w:val="false"/>
          <w:sz w:val="20"/>
        </w:rPr>
        <w:t>: At-need specialty merchandise revenue consists of customizable merchandise ordered from manufacturers such as markers and bases. When specialty merchandise is ordered, it can take time to manufacture and deliver the product. Revenue is deferred until the at-need merchandise is received.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payment does not constitute fulfillment of the contract. Goods or services are deferred until such a time the service is performed, or merchandise is received.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387" w:name="xdx_895_ecustom--ScheduleOfOpeningAndClo"/>
      <w:bookmarkEnd w:id="1387"/>
      <w:r>
        <w:rPr>
          <w:rFonts w:ascii="Times New Roman;Times;Serif" w:hAnsi="Times New Roman;Times;Serif"/>
          <w:b w:val="false"/>
          <w:i w:val="false"/>
          <w:caps w:val="false"/>
          <w:smallCaps w:val="false"/>
          <w:sz w:val="20"/>
        </w:rPr>
        <w:t>The opening and closing balances of the Company’s receivables, contract assets and contract liabilities are as follows:</w:t>
      </w:r>
    </w:p>
    <w:p>
      <w:pPr>
        <w:pStyle w:val="TextBody"/>
        <w:pBdr/>
        <w:bidi w:val="0"/>
        <w:spacing w:before="0" w:after="0"/>
        <w:ind w:left="0" w:right="0" w:hanging="0"/>
        <w:jc w:val="both"/>
        <w:rPr>
          <w:caps w:val="false"/>
          <w:smallCaps w:val="false"/>
        </w:rPr>
      </w:pPr>
      <w:r>
        <w:rPr>
          <w:caps w:val="false"/>
          <w:smallCaps w:val="false"/>
        </w:rPr>
        <w:t> </w:t>
      </w:r>
      <w:bookmarkStart w:id="1388" w:name="xdx_8BD_zY44DTkHhg53"/>
      <w:bookmarkEnd w:id="1388"/>
      <w:r>
        <w:rPr>
          <w:rFonts w:ascii="Times New Roman;Times;Serif" w:hAnsi="Times New Roman;Times;Serif"/>
          <w:b w:val="false"/>
          <w:i w:val="false"/>
          <w:caps w:val="false"/>
          <w:smallCaps w:val="false"/>
          <w:sz w:val="20"/>
        </w:rPr>
        <w:t>Schedule of Opening and Closing Balances of Receivables, Contract Assets and Contract Liabilities</w:t>
      </w:r>
    </w:p>
    <w:tbl>
      <w:tblPr>
        <w:tblW w:w="7907" w:type="dxa"/>
        <w:jc w:val="left"/>
        <w:tblInd w:w="0" w:type="dxa"/>
        <w:tblLayout w:type="fixed"/>
        <w:tblCellMar>
          <w:top w:w="0" w:type="dxa"/>
          <w:left w:w="0" w:type="dxa"/>
          <w:bottom w:w="0" w:type="dxa"/>
          <w:right w:w="0" w:type="dxa"/>
        </w:tblCellMar>
      </w:tblPr>
      <w:tblGrid>
        <w:gridCol w:w="2945"/>
        <w:gridCol w:w="60"/>
        <w:gridCol w:w="186"/>
        <w:gridCol w:w="1303"/>
        <w:gridCol w:w="60"/>
        <w:gridCol w:w="60"/>
        <w:gridCol w:w="842"/>
        <w:gridCol w:w="572"/>
        <w:gridCol w:w="60"/>
        <w:gridCol w:w="60"/>
        <w:gridCol w:w="190"/>
        <w:gridCol w:w="1494"/>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Balances</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Receivables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Asset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Liability</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(December 31, 2025)</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89" w:name="xdx_982_eus-gaap--ContractWithCustomerAs"/>
            <w:bookmarkEnd w:id="1389"/>
          </w:p>
        </w:tc>
        <w:tc>
          <w:tcPr>
            <w:tcW w:w="13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2" w:type="dxa"/>
            <w:tcBorders/>
            <w:shd w:fill="CCEEFF" w:val="clear"/>
            <w:vAlign w:val="center"/>
          </w:tcPr>
          <w:p>
            <w:pPr>
              <w:pStyle w:val="TableContents"/>
              <w:bidi w:val="0"/>
              <w:spacing w:before="0" w:after="283"/>
              <w:jc w:val="right"/>
              <w:rPr>
                <w:rFonts w:ascii="Times New Roman;Times;Serif" w:hAnsi="Times New Roman;Times;Serif"/>
              </w:rPr>
            </w:pPr>
            <w:bookmarkStart w:id="1390" w:name="xdx_90B_eus-gaap--ContractWithCustomerAs"/>
            <w:bookmarkEnd w:id="1390"/>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1" w:name="xdx_989_eus-gaap--DeferredRevenue_iS_pp0"/>
            <w:bookmarkEnd w:id="1391"/>
          </w:p>
        </w:tc>
        <w:tc>
          <w:tcPr>
            <w:tcW w:w="14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22,991,603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(June 30, 2026)</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2" w:name="xdx_982_eus-gaap--ContractWithCustomerAs"/>
            <w:bookmarkEnd w:id="1392"/>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393" w:name="xdx_908_eus-gaap--ContractWithCustomerAs"/>
            <w:bookmarkEnd w:id="1393"/>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94" w:name="xdx_985_eus-gaap--DeferredRevenue_iE_pp0"/>
            <w:bookmarkEnd w:id="1394"/>
          </w:p>
        </w:tc>
        <w:tc>
          <w:tcPr>
            <w:tcW w:w="14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24,611,358</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Increase/(decrease)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95" w:name="xdx_984_eus-gaap--IncreaseDecreaseInAcco"/>
            <w:bookmarkEnd w:id="1395"/>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396" w:name="xdx_909_eus-gaap--IncreaseDecreaseInCont"/>
            <w:bookmarkEnd w:id="1396"/>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97" w:name="xdx_989_eus-gaap--IncreaseDecreaseInCont"/>
            <w:bookmarkEnd w:id="1397"/>
          </w:p>
        </w:tc>
        <w:tc>
          <w:tcPr>
            <w:tcW w:w="14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1,619,755</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942" w:type="dxa"/>
        <w:jc w:val="left"/>
        <w:tblInd w:w="0" w:type="dxa"/>
        <w:tblLayout w:type="fixed"/>
        <w:tblCellMar>
          <w:top w:w="0" w:type="dxa"/>
          <w:left w:w="0" w:type="dxa"/>
          <w:bottom w:w="0" w:type="dxa"/>
          <w:right w:w="0" w:type="dxa"/>
        </w:tblCellMar>
      </w:tblPr>
      <w:tblGrid>
        <w:gridCol w:w="2945"/>
        <w:gridCol w:w="60"/>
        <w:gridCol w:w="186"/>
        <w:gridCol w:w="1303"/>
        <w:gridCol w:w="95"/>
        <w:gridCol w:w="60"/>
        <w:gridCol w:w="842"/>
        <w:gridCol w:w="572"/>
        <w:gridCol w:w="60"/>
        <w:gridCol w:w="60"/>
        <w:gridCol w:w="190"/>
        <w:gridCol w:w="1494"/>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Balances</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Receivables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Asset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Contract Liability</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(December 31, 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8" w:name="xdx_984_eus-gaap--ContractWithCustomerAs"/>
            <w:bookmarkEnd w:id="1398"/>
          </w:p>
        </w:tc>
        <w:tc>
          <w:tcPr>
            <w:tcW w:w="13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7,095,589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2" w:type="dxa"/>
            <w:tcBorders/>
            <w:shd w:fill="CCEEFF" w:val="clear"/>
            <w:vAlign w:val="center"/>
          </w:tcPr>
          <w:p>
            <w:pPr>
              <w:pStyle w:val="TableContents"/>
              <w:bidi w:val="0"/>
              <w:spacing w:before="0" w:after="283"/>
              <w:jc w:val="right"/>
              <w:rPr>
                <w:rFonts w:ascii="Times New Roman;Times;Serif" w:hAnsi="Times New Roman;Times;Serif"/>
              </w:rPr>
            </w:pPr>
            <w:bookmarkStart w:id="1399" w:name="xdx_908_eus-gaap--ContractWithCustomerAs"/>
            <w:bookmarkEnd w:id="1399"/>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00" w:name="xdx_988_eus-gaap--DeferredRevenue_iS_pp0"/>
            <w:bookmarkEnd w:id="1400"/>
          </w:p>
        </w:tc>
        <w:tc>
          <w:tcPr>
            <w:tcW w:w="14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20,168,405</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(December 31, 2025)</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01" w:name="xdx_98A_eus-gaap--ContractWithCustomerAs"/>
            <w:bookmarkEnd w:id="1401"/>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6,981,676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402" w:name="xdx_905_eus-gaap--ContractWithCustomerAs"/>
            <w:bookmarkEnd w:id="1402"/>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03" w:name="xdx_98C_eus-gaap--DeferredRevenue_iE_pp0"/>
            <w:bookmarkEnd w:id="1403"/>
          </w:p>
        </w:tc>
        <w:tc>
          <w:tcPr>
            <w:tcW w:w="14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22,991,603</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Increase/(decrease)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4" w:name="xdx_987_eus-gaap--IncreaseDecreaseInAcco"/>
            <w:bookmarkEnd w:id="1404"/>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05" w:name="xdx_90E_eus-gaap--IncreaseDecreaseInCont"/>
            <w:bookmarkEnd w:id="1405"/>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6" w:name="xdx_982_eus-gaap--IncreaseDecreaseInCont"/>
            <w:bookmarkEnd w:id="1406"/>
          </w:p>
        </w:tc>
        <w:tc>
          <w:tcPr>
            <w:tcW w:w="14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2,823,198</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355" w:type="dxa"/>
        <w:jc w:val="left"/>
        <w:tblInd w:w="0" w:type="dxa"/>
        <w:tblLayout w:type="fixed"/>
        <w:tblCellMar>
          <w:top w:w="0" w:type="dxa"/>
          <w:left w:w="0" w:type="dxa"/>
          <w:bottom w:w="0" w:type="dxa"/>
          <w:right w:w="0" w:type="dxa"/>
        </w:tblCellMar>
      </w:tblPr>
      <w:tblGrid>
        <w:gridCol w:w="245"/>
        <w:gridCol w:w="6110"/>
      </w:tblGrid>
      <w:tr>
        <w:trPr/>
        <w:tc>
          <w:tcPr>
            <w:tcW w:w="245" w:type="dxa"/>
            <w:tcBorders/>
            <w:vAlign w:val="center"/>
          </w:tcPr>
          <w:p>
            <w:pPr>
              <w:pStyle w:val="TableContents"/>
              <w:bidi w:val="0"/>
              <w:spacing w:before="0" w:after="283"/>
              <w:ind w:left="0" w:right="0" w:hanging="200"/>
              <w:jc w:val="both"/>
              <w:rPr>
                <w:rFonts w:ascii="Times New Roman;Times;Serif" w:hAnsi="Times New Roman;Times;Serif"/>
                <w:sz w:val="20"/>
              </w:rPr>
            </w:pPr>
            <w:bookmarkStart w:id="1407" w:name="xdx_F0E_zmIRx4yGu9we"/>
            <w:bookmarkEnd w:id="1407"/>
            <w:r>
              <w:rPr>
                <w:rFonts w:ascii="Times New Roman;Times;Serif" w:hAnsi="Times New Roman;Times;Serif"/>
                <w:sz w:val="20"/>
              </w:rPr>
              <w:t>(1)</w:t>
            </w:r>
          </w:p>
        </w:tc>
        <w:tc>
          <w:tcPr>
            <w:tcW w:w="6110" w:type="dxa"/>
            <w:tcBorders/>
            <w:vAlign w:val="center"/>
          </w:tcPr>
          <w:p>
            <w:pPr>
              <w:pStyle w:val="TableContents"/>
              <w:bidi w:val="0"/>
              <w:spacing w:before="0" w:after="283"/>
              <w:jc w:val="both"/>
              <w:rPr>
                <w:rFonts w:ascii="Times New Roman;Times;Serif" w:hAnsi="Times New Roman;Times;Serif"/>
                <w:sz w:val="20"/>
              </w:rPr>
            </w:pPr>
            <w:bookmarkStart w:id="1408" w:name="xdx_F1A_zGMbmTfBA5Qf"/>
            <w:bookmarkEnd w:id="1408"/>
            <w:r>
              <w:rPr>
                <w:rFonts w:ascii="Times New Roman;Times;Serif" w:hAnsi="Times New Roman;Times;Serif"/>
                <w:sz w:val="20"/>
              </w:rPr>
              <w:t>Included in Receivables, net on the condensed consolidated balance sheets</w:t>
            </w:r>
          </w:p>
        </w:tc>
      </w:tr>
    </w:tbl>
    <w:p>
      <w:pPr>
        <w:pStyle w:val="TextBody"/>
        <w:pBdr/>
        <w:bidi w:val="0"/>
        <w:spacing w:before="0" w:after="0"/>
        <w:ind w:left="0" w:right="0" w:hanging="0"/>
        <w:jc w:val="both"/>
        <w:rPr>
          <w:caps w:val="false"/>
          <w:smallCaps w:val="false"/>
        </w:rPr>
      </w:pPr>
      <w:bookmarkStart w:id="1409" w:name="xdx_8AA_zJcnl4eZ7Xy9"/>
      <w:bookmarkEnd w:id="140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and included in the opening contract liability balance for the three-month periods ended June 30, 2026, and 2025 was $</w:t>
      </w:r>
      <w:bookmarkStart w:id="1410" w:name="xdx_90C_eus-gaap--ContractWithCustomerLi"/>
      <w:bookmarkEnd w:id="1410"/>
      <w:r>
        <w:rPr>
          <w:rFonts w:ascii="Times New Roman;Times;Serif" w:hAnsi="Times New Roman;Times;Serif"/>
          <w:b w:val="false"/>
          <w:i w:val="false"/>
          <w:caps w:val="false"/>
          <w:smallCaps w:val="false"/>
          <w:sz w:val="20"/>
        </w:rPr>
        <w:t>1,327,299 and $</w:t>
      </w:r>
      <w:bookmarkStart w:id="1411" w:name="xdx_900_eus-gaap--ContractWithCustomerLi"/>
      <w:bookmarkEnd w:id="1411"/>
      <w:r>
        <w:rPr>
          <w:rFonts w:ascii="Times New Roman;Times;Serif" w:hAnsi="Times New Roman;Times;Serif"/>
          <w:b w:val="false"/>
          <w:i w:val="false"/>
          <w:caps w:val="false"/>
          <w:smallCaps w:val="false"/>
          <w:sz w:val="20"/>
        </w:rPr>
        <w:t>1,164,177, respectively, and for the six-month periods ended June 30, 2026 and 2025 was $</w:t>
      </w:r>
      <w:bookmarkStart w:id="1412" w:name="xdx_90B_eus-gaap--ContractWithCustomerLi"/>
      <w:bookmarkEnd w:id="1412"/>
      <w:r>
        <w:rPr>
          <w:rFonts w:ascii="Times New Roman;Times;Serif" w:hAnsi="Times New Roman;Times;Serif"/>
          <w:b w:val="false"/>
          <w:i w:val="false"/>
          <w:caps w:val="false"/>
          <w:smallCaps w:val="false"/>
          <w:sz w:val="20"/>
        </w:rPr>
        <w:t>3,051,290 and $</w:t>
      </w:r>
      <w:bookmarkStart w:id="1413" w:name="xdx_907_eus-gaap--ContractWithCustomerLi"/>
      <w:bookmarkEnd w:id="1413"/>
      <w:r>
        <w:rPr>
          <w:rFonts w:ascii="Times New Roman;Times;Serif" w:hAnsi="Times New Roman;Times;Serif"/>
          <w:b w:val="false"/>
          <w:i w:val="false"/>
          <w:caps w:val="false"/>
          <w:smallCaps w:val="false"/>
          <w:sz w:val="20"/>
        </w:rPr>
        <w:t>2,323,389, respectively.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xml:space="preserve"> (Continued)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opening and closing balances of the Company’s contract assets and contract liabilities primarily results from the timing difference between the Company’s performance and the customer’s payment.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414" w:name="xdx_895_eus-gaap--DisaggregationOfRevenu"/>
      <w:bookmarkEnd w:id="1414"/>
      <w:r>
        <w:rPr>
          <w:rFonts w:ascii="Times New Roman;Times;Serif" w:hAnsi="Times New Roman;Times;Serif"/>
          <w:b w:val="false"/>
          <w:i w:val="false"/>
          <w:caps w:val="false"/>
          <w:smallCaps w:val="false"/>
          <w:sz w:val="20"/>
        </w:rPr>
        <w:t>The following table disaggregates revenue for the Company’s funeral home and cemetery contracts:</w:t>
      </w:r>
    </w:p>
    <w:p>
      <w:pPr>
        <w:pStyle w:val="TextBody"/>
        <w:pBdr/>
        <w:bidi w:val="0"/>
        <w:spacing w:before="0" w:after="0"/>
        <w:ind w:left="0" w:right="0" w:hanging="0"/>
        <w:jc w:val="both"/>
        <w:rPr>
          <w:caps w:val="false"/>
          <w:smallCaps w:val="false"/>
        </w:rPr>
      </w:pPr>
      <w:r>
        <w:rPr>
          <w:caps w:val="false"/>
          <w:smallCaps w:val="false"/>
        </w:rPr>
        <w:t>  </w:t>
      </w:r>
      <w:bookmarkStart w:id="1415" w:name="xdx_8B7_zRaVghUtICkl"/>
      <w:bookmarkEnd w:id="1415"/>
      <w:r>
        <w:rPr>
          <w:rFonts w:ascii="Times New Roman;Times;Serif" w:hAnsi="Times New Roman;Times;Serif"/>
          <w:b w:val="false"/>
          <w:i w:val="false"/>
          <w:caps w:val="false"/>
          <w:smallCaps w:val="false"/>
          <w:sz w:val="20"/>
        </w:rPr>
        <w:t>Schedule of Revenues of the Cemetery and Mortuary Contracts</w:t>
      </w:r>
    </w:p>
    <w:tbl>
      <w:tblPr>
        <w:tblW w:w="8745" w:type="dxa"/>
        <w:jc w:val="left"/>
        <w:tblInd w:w="0" w:type="dxa"/>
        <w:tblLayout w:type="fixed"/>
        <w:tblCellMar>
          <w:top w:w="0" w:type="dxa"/>
          <w:left w:w="0" w:type="dxa"/>
          <w:bottom w:w="0" w:type="dxa"/>
          <w:right w:w="0" w:type="dxa"/>
        </w:tblCellMar>
      </w:tblPr>
      <w:tblGrid>
        <w:gridCol w:w="3530"/>
        <w:gridCol w:w="60"/>
        <w:gridCol w:w="140"/>
        <w:gridCol w:w="980"/>
        <w:gridCol w:w="60"/>
        <w:gridCol w:w="60"/>
        <w:gridCol w:w="140"/>
        <w:gridCol w:w="980"/>
        <w:gridCol w:w="60"/>
        <w:gridCol w:w="60"/>
        <w:gridCol w:w="140"/>
        <w:gridCol w:w="1100"/>
        <w:gridCol w:w="60"/>
        <w:gridCol w:w="60"/>
        <w:gridCol w:w="140"/>
        <w:gridCol w:w="1100"/>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6" w:name="xdx_49F_20260401__20260630_z96V28WNNM8l"/>
            <w:bookmarkEnd w:id="141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7" w:name="xdx_49C_20250401__20250630_zNbKj0WsCq9a"/>
            <w:bookmarkEnd w:id="1417"/>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8" w:name="xdx_490_20260101__20260630_zsP5Om5YlY9k"/>
            <w:bookmarkEnd w:id="141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9" w:name="xdx_49E_20250101__20250630_zhHxo09aeAc5"/>
            <w:bookmarkEnd w:id="141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Three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Six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Major goods/service lines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420" w:name="xdx_403_ecustom--NetMortuaryAndCemeteryS"/>
            <w:bookmarkEnd w:id="1420"/>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At-need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5,321,687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5,083,789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11,167,549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10,800,066</w:t>
            </w:r>
          </w:p>
        </w:tc>
        <w:tc>
          <w:tcPr>
            <w:tcW w:w="75" w:type="dxa"/>
            <w:tcBorders/>
            <w:shd w:fill="FFFFFF" w:val="clear"/>
            <w:vAlign w:val="center"/>
          </w:tcPr>
          <w:p>
            <w:pPr>
              <w:pStyle w:val="TableContents"/>
              <w:bidi w:val="0"/>
              <w:spacing w:before="0" w:after="283"/>
              <w:jc w:val="left"/>
              <w:rPr/>
            </w:pPr>
            <w:r>
              <w:rPr/>
              <w:t> </w:t>
            </w:r>
            <w:bookmarkStart w:id="1421" w:name="xdx_401_ecustom--NetMortuaryAndCemeteryS"/>
            <w:bookmarkEnd w:id="1421"/>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Pre-need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2,277,901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4,165,862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3,757,872</w:t>
            </w:r>
          </w:p>
        </w:tc>
        <w:tc>
          <w:tcPr>
            <w:tcW w:w="75" w:type="dxa"/>
            <w:tcBorders/>
            <w:shd w:fill="CCEEFF" w:val="clear"/>
            <w:vAlign w:val="center"/>
          </w:tcPr>
          <w:p>
            <w:pPr>
              <w:pStyle w:val="TableContents"/>
              <w:bidi w:val="0"/>
              <w:spacing w:before="0" w:after="283"/>
              <w:jc w:val="left"/>
              <w:rPr/>
            </w:pPr>
            <w:r>
              <w:rPr/>
              <w:t> </w:t>
            </w:r>
            <w:bookmarkStart w:id="1422" w:name="xdx_40C_ecustom--NetMortuaryAndCemeteryS"/>
            <w:bookmarkEnd w:id="1422"/>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mortuary and cemetery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7,599,588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7,257,717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14,557,938</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Timing of Revenue Recognition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423" w:name="xdx_403_ecustom--NetMortuaryAndCemeteryS"/>
            <w:bookmarkEnd w:id="1423"/>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Goods transferred at a point in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5,043,304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4,843,082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9,902,648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8,997,629</w:t>
            </w:r>
          </w:p>
        </w:tc>
        <w:tc>
          <w:tcPr>
            <w:tcW w:w="75" w:type="dxa"/>
            <w:tcBorders/>
            <w:shd w:fill="CCEEFF" w:val="clear"/>
            <w:vAlign w:val="center"/>
          </w:tcPr>
          <w:p>
            <w:pPr>
              <w:pStyle w:val="TableContents"/>
              <w:bidi w:val="0"/>
              <w:spacing w:before="0" w:after="283"/>
              <w:jc w:val="left"/>
              <w:rPr/>
            </w:pPr>
            <w:r>
              <w:rPr/>
              <w:t> </w:t>
            </w:r>
            <w:bookmarkStart w:id="1424" w:name="xdx_40C_ecustom--NetMortuaryAndCemeteryS"/>
            <w:bookmarkEnd w:id="1424"/>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 transferred at a point in time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5,430,763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5,560,309</w:t>
            </w:r>
          </w:p>
        </w:tc>
        <w:tc>
          <w:tcPr>
            <w:tcW w:w="75" w:type="dxa"/>
            <w:tcBorders/>
            <w:shd w:fill="FFFFFF" w:val="clear"/>
            <w:vAlign w:val="center"/>
          </w:tcPr>
          <w:p>
            <w:pPr>
              <w:pStyle w:val="TableContents"/>
              <w:bidi w:val="0"/>
              <w:spacing w:before="0" w:after="283"/>
              <w:jc w:val="left"/>
              <w:rPr/>
            </w:pPr>
            <w:r>
              <w:rPr/>
              <w:t> </w:t>
            </w:r>
            <w:bookmarkStart w:id="1425" w:name="xdx_409_ecustom--NetMortuaryAndCemeteryS"/>
            <w:bookmarkEnd w:id="1425"/>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mortuary and cemetery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7,599,588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14,557,938</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1426" w:name="xdx_8A8_ztzkyOAaC3tf"/>
      <w:bookmarkEnd w:id="142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427" w:name="s_003"/>
      <w:bookmarkStart w:id="1428" w:name="xdx_801_eus-gaap--RestrictedAssetsDisclo"/>
      <w:bookmarkEnd w:id="1427"/>
      <w:bookmarkEnd w:id="1428"/>
      <w:r>
        <w:rPr>
          <w:rFonts w:ascii="Times New Roman;Times;Serif" w:hAnsi="Times New Roman;Times;Serif"/>
          <w:b w:val="false"/>
          <w:i w:val="false"/>
          <w:caps w:val="false"/>
          <w:smallCaps w:val="false"/>
          <w:sz w:val="20"/>
        </w:rPr>
        <w:t xml:space="preserve">5) </w:t>
      </w:r>
      <w:bookmarkStart w:id="1429" w:name="xdx_827_zenkQOc51Wjh"/>
      <w:bookmarkEnd w:id="1429"/>
      <w:r>
        <w:rPr>
          <w:rFonts w:ascii="Times New Roman;Times;Serif" w:hAnsi="Times New Roman;Times;Serif"/>
          <w:b w:val="false"/>
          <w:i w:val="false"/>
          <w:caps w:val="false"/>
          <w:smallCaps w:val="false"/>
          <w:sz w:val="20"/>
          <w:u w:val="single"/>
        </w:rPr>
        <w:t>Restricted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also established certain restricted assets to provide for future merchandise and service obligations incurred in connection with its pre-need sales for its funeral home and cemetery segment.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1430" w:name="xdx_89C_ecustom--ScheduleOfRestrictedAss"/>
      <w:bookmarkEnd w:id="1430"/>
      <w:r>
        <w:rPr>
          <w:rFonts w:ascii="Times New Roman;Times;Serif" w:hAnsi="Times New Roman;Times;Serif"/>
          <w:b w:val="false"/>
          <w:i w:val="false"/>
          <w:caps w:val="false"/>
          <w:smallCaps w:val="false"/>
          <w:sz w:val="20"/>
        </w:rPr>
        <w:t>Restricted assets as of June 30, 2026, are summarized as follows:</w:t>
      </w:r>
    </w:p>
    <w:p>
      <w:pPr>
        <w:pStyle w:val="TextBody"/>
        <w:pBdr/>
        <w:bidi w:val="0"/>
        <w:spacing w:before="0" w:after="0"/>
        <w:ind w:left="0" w:right="0" w:hanging="0"/>
        <w:jc w:val="both"/>
        <w:rPr>
          <w:caps w:val="false"/>
          <w:smallCaps w:val="false"/>
        </w:rPr>
      </w:pPr>
      <w:r>
        <w:rPr>
          <w:caps w:val="false"/>
          <w:smallCaps w:val="false"/>
        </w:rPr>
        <w:t> </w:t>
      </w:r>
      <w:bookmarkStart w:id="1431" w:name="xdx_8BB_zJMF52PSAeTk"/>
      <w:bookmarkEnd w:id="1431"/>
      <w:r>
        <w:rPr>
          <w:rFonts w:ascii="Times New Roman;Times;Serif" w:hAnsi="Times New Roman;Times;Serif"/>
          <w:b w:val="false"/>
          <w:i w:val="false"/>
          <w:caps w:val="false"/>
          <w:smallCaps w:val="false"/>
          <w:sz w:val="20"/>
        </w:rPr>
        <w:t>Schedule of Restricted Assets in Cemetery and Mortuary Endowment Care and Pre need Merchandise Funds</w:t>
      </w:r>
    </w:p>
    <w:tbl>
      <w:tblPr>
        <w:tblW w:w="10205" w:type="dxa"/>
        <w:jc w:val="left"/>
        <w:tblInd w:w="0" w:type="dxa"/>
        <w:tblLayout w:type="fixed"/>
        <w:tblCellMar>
          <w:top w:w="0" w:type="dxa"/>
          <w:left w:w="0" w:type="dxa"/>
          <w:bottom w:w="0" w:type="dxa"/>
          <w:right w:w="0" w:type="dxa"/>
        </w:tblCellMar>
      </w:tblPr>
      <w:tblGrid>
        <w:gridCol w:w="4880"/>
        <w:gridCol w:w="60"/>
        <w:gridCol w:w="140"/>
        <w:gridCol w:w="1100"/>
        <w:gridCol w:w="95"/>
        <w:gridCol w:w="60"/>
        <w:gridCol w:w="140"/>
        <w:gridCol w:w="980"/>
        <w:gridCol w:w="60"/>
        <w:gridCol w:w="60"/>
        <w:gridCol w:w="145"/>
        <w:gridCol w:w="910"/>
        <w:gridCol w:w="95"/>
        <w:gridCol w:w="60"/>
        <w:gridCol w:w="151"/>
        <w:gridCol w:w="1192"/>
        <w:gridCol w:w="77"/>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Amortized</w:t>
            </w:r>
          </w:p>
          <w:p>
            <w:pPr>
              <w:pStyle w:val="TableContents"/>
              <w:bidi w:val="0"/>
              <w:spacing w:before="0" w:after="283"/>
              <w:jc w:val="center"/>
              <w:rPr>
                <w:rFonts w:ascii="Times New Roman;Times;Serif" w:hAnsi="Times New Roman;Times;Serif"/>
              </w:rPr>
            </w:pPr>
            <w:r>
              <w:rPr>
                <w:rFonts w:ascii="Times New Roman;Times;Serif" w:hAnsi="Times New Roman;Times;Serif"/>
              </w:rPr>
              <w:t>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Gross</w:t>
            </w:r>
          </w:p>
          <w:p>
            <w:pPr>
              <w:pStyle w:val="TableContents"/>
              <w:bidi w:val="0"/>
              <w:jc w:val="center"/>
              <w:rPr>
                <w:rFonts w:ascii="Times New Roman;Times;Serif" w:hAnsi="Times New Roman;Times;Serif"/>
              </w:rPr>
            </w:pPr>
            <w:r>
              <w:rPr>
                <w:rFonts w:ascii="Times New Roman;Times;Serif" w:hAnsi="Times New Roman;Times;Serif"/>
              </w:rPr>
              <w:t>Unrealized</w:t>
            </w:r>
          </w:p>
          <w:p>
            <w:pPr>
              <w:pStyle w:val="TableContents"/>
              <w:bidi w:val="0"/>
              <w:spacing w:before="0" w:after="283"/>
              <w:jc w:val="center"/>
              <w:rPr>
                <w:rFonts w:ascii="Times New Roman;Times;Serif" w:hAnsi="Times New Roman;Times;Serif"/>
              </w:rPr>
            </w:pPr>
            <w:r>
              <w:rPr>
                <w:rFonts w:ascii="Times New Roman;Times;Serif" w:hAnsi="Times New Roman;Times;Serif"/>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Estimated Fair</w:t>
            </w:r>
          </w:p>
          <w:p>
            <w:pPr>
              <w:pStyle w:val="TableContents"/>
              <w:bidi w:val="0"/>
              <w:spacing w:before="0" w:after="283"/>
              <w:jc w:val="center"/>
              <w:rPr>
                <w:rFonts w:ascii="Times New Roman;Times;Serif" w:hAnsi="Times New Roman;Times;Serif"/>
              </w:rPr>
            </w:pPr>
            <w:r>
              <w:rPr>
                <w:rFonts w:ascii="Times New Roman;Times;Serif" w:hAnsi="Times New Roman;Times;Serif"/>
              </w:rPr>
              <w:t>Value</w:t>
            </w:r>
          </w:p>
        </w:tc>
        <w:tc>
          <w:tcPr>
            <w:tcW w:w="77"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2" w:name="xdx_986_eus-gaap--AvailableForSaleDebtSe"/>
            <w:bookmarkEnd w:id="143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3" w:name="xdx_983_eus-gaap--AvailableForSaleDebtSe"/>
            <w:bookmarkEnd w:id="143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4" w:name="xdx_983_eus-gaap--AvailableForSaleDebtSe"/>
            <w:bookmarkEnd w:id="1434"/>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5" w:name="xdx_985_eus-gaap--AvailableForSaleSecuri"/>
            <w:bookmarkEnd w:id="1435"/>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227,058</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securities including public utilities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6" w:name="xdx_980_eus-gaap--AvailableForSaleDebtSe"/>
            <w:bookmarkEnd w:id="143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7" w:name="xdx_98C_eus-gaap--AvailableForSaleDebtSe"/>
            <w:bookmarkEnd w:id="143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8" w:name="xdx_98B_eus-gaap--AvailableForSaleDebtSe"/>
            <w:bookmarkEnd w:id="1438"/>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9" w:name="xdx_98C_eus-gaap--AvailableForSaleSecuri"/>
            <w:bookmarkEnd w:id="1439"/>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50,950</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0" w:name="xdx_98A_eus-gaap--AvailableForSaleDebtSe"/>
            <w:bookmarkEnd w:id="144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1" w:name="xdx_981_eus-gaap--AvailableForSaleDebtSe"/>
            <w:bookmarkEnd w:id="144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2" w:name="xdx_985_eus-gaap--AvailableForSaleDebtSe"/>
            <w:bookmarkEnd w:id="1442"/>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3" w:name="xdx_987_eus-gaap--AvailableForSaleSecuri"/>
            <w:bookmarkEnd w:id="1443"/>
          </w:p>
        </w:tc>
        <w:tc>
          <w:tcPr>
            <w:tcW w:w="11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278,008</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Industrial, miscellaneous and all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4" w:name="xdx_98E_eus-gaap--EquitySecuritiesFvNiCo"/>
            <w:bookmarkEnd w:id="144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15,013,259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5" w:name="xdx_98F_eus-gaap--EquitySecuritiesFvNiUn"/>
            <w:bookmarkEnd w:id="144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3,847,895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6" w:name="xdx_982_eus-gaap--EquitySecuritiesFvNiUn"/>
            <w:bookmarkEnd w:id="1446"/>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(410,089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7" w:name="xdx_985_eus-gaap--EquitySecuritiesFvNi_i"/>
            <w:bookmarkEnd w:id="1447"/>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18,451,065</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8" w:name="xdx_982_eus-gaap--EquitySecuritiesFvNiCo"/>
            <w:bookmarkEnd w:id="144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15,013,259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9" w:name="xdx_989_eus-gaap--EquitySecuritiesFvNiUn"/>
            <w:bookmarkEnd w:id="144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3,847,895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0" w:name="xdx_98F_eus-gaap--EquitySecuritiesFvNiUn"/>
            <w:bookmarkEnd w:id="1450"/>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(410,089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1" w:name="xdx_981_eus-gaap--EquitySecuritiesFvNi_i"/>
            <w:bookmarkEnd w:id="1451"/>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18,451,065</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Mortgage loans held for investment at amortized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Residential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2" w:name="xdx_982_eus-gaap--NotesReceivableGross_i"/>
            <w:bookmarkEnd w:id="145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53" w:name="xdx_988_ecustom--AggregateFairValueAllow"/>
            <w:bookmarkEnd w:id="145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mortgage 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4" w:name="xdx_984_eus-gaap--MortgageLoansOnRealEst"/>
            <w:bookmarkEnd w:id="145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5" w:name="xdx_985_ecustom--OtherInvestmentsAmortiz"/>
            <w:bookmarkEnd w:id="145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1,674,516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6" w:name="xdx_98B_eus-gaap--CashCashEquivalentsRes"/>
            <w:bookmarkEnd w:id="145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12,065,713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7" w:name="xdx_98C_eus-gaap--AccruedInvestmentIncom"/>
            <w:bookmarkEnd w:id="145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restricted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8" w:name="xdx_98D_eus-gaap--RestrictedInvestments_"/>
            <w:bookmarkEnd w:id="145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8200" w:type="dxa"/>
        <w:jc w:val="left"/>
        <w:tblInd w:w="0" w:type="dxa"/>
        <w:tblLayout w:type="fixed"/>
        <w:tblCellMar>
          <w:top w:w="0" w:type="dxa"/>
          <w:left w:w="0" w:type="dxa"/>
          <w:bottom w:w="0" w:type="dxa"/>
          <w:right w:w="0" w:type="dxa"/>
        </w:tblCellMar>
      </w:tblPr>
      <w:tblGrid>
        <w:gridCol w:w="245"/>
        <w:gridCol w:w="7955"/>
      </w:tblGrid>
      <w:tr>
        <w:trPr/>
        <w:tc>
          <w:tcPr>
            <w:tcW w:w="245" w:type="dxa"/>
            <w:tcBorders/>
            <w:vAlign w:val="center"/>
          </w:tcPr>
          <w:p>
            <w:pPr>
              <w:pStyle w:val="TableContents"/>
              <w:bidi w:val="0"/>
              <w:spacing w:before="0" w:after="283"/>
              <w:ind w:left="0" w:right="0" w:hanging="200"/>
              <w:jc w:val="both"/>
              <w:rPr>
                <w:rFonts w:ascii="Times New Roman;Times;Serif" w:hAnsi="Times New Roman;Times;Serif"/>
                <w:sz w:val="20"/>
              </w:rPr>
            </w:pPr>
            <w:bookmarkStart w:id="1459" w:name="xdx_F04_zBkPfzh2c2E2"/>
            <w:bookmarkEnd w:id="1459"/>
            <w:r>
              <w:rPr>
                <w:rFonts w:ascii="Times New Roman;Times;Serif" w:hAnsi="Times New Roman;Times;Serif"/>
                <w:sz w:val="20"/>
              </w:rPr>
              <w:t>(1)</w:t>
            </w:r>
          </w:p>
        </w:tc>
        <w:tc>
          <w:tcPr>
            <w:tcW w:w="7955" w:type="dxa"/>
            <w:tcBorders/>
            <w:vAlign w:val="center"/>
          </w:tcPr>
          <w:p>
            <w:pPr>
              <w:pStyle w:val="TableContents"/>
              <w:bidi w:val="0"/>
              <w:spacing w:before="0" w:after="283"/>
              <w:jc w:val="both"/>
              <w:rPr>
                <w:rFonts w:ascii="Times New Roman;Times;Serif" w:hAnsi="Times New Roman;Times;Serif"/>
                <w:sz w:val="20"/>
              </w:rPr>
            </w:pPr>
            <w:bookmarkStart w:id="1460" w:name="xdx_F18_z6fVqZAWlefk"/>
            <w:bookmarkEnd w:id="1460"/>
            <w:r>
              <w:rPr>
                <w:rFonts w:ascii="Times New Roman;Times;Serif" w:hAnsi="Times New Roman;Times;Serif"/>
                <w:sz w:val="20"/>
              </w:rPr>
              <w:t>Including cash and cash equivalents of $</w:t>
            </w:r>
            <w:bookmarkStart w:id="1461" w:name="xdx_901_eus-gaap--CashCashEquivalentsRes"/>
            <w:bookmarkEnd w:id="1461"/>
            <w:r>
              <w:rPr>
                <w:rFonts w:ascii="Times New Roman;Times;Serif" w:hAnsi="Times New Roman;Times;Serif"/>
                <w:sz w:val="20"/>
              </w:rPr>
              <w:t>10,215,805 for the life insurance and mortgage segments.</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Restricted Assets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assets as of December 31, 2025,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7"/>
        <w:gridCol w:w="60"/>
        <w:gridCol w:w="140"/>
        <w:gridCol w:w="1100"/>
        <w:gridCol w:w="95"/>
        <w:gridCol w:w="60"/>
        <w:gridCol w:w="140"/>
        <w:gridCol w:w="980"/>
        <w:gridCol w:w="60"/>
        <w:gridCol w:w="60"/>
        <w:gridCol w:w="145"/>
        <w:gridCol w:w="910"/>
        <w:gridCol w:w="95"/>
        <w:gridCol w:w="60"/>
        <w:gridCol w:w="150"/>
        <w:gridCol w:w="1186"/>
        <w:gridCol w:w="77"/>
      </w:tblGrid>
      <w:tr>
        <w:trPr/>
        <w:tc>
          <w:tcPr>
            <w:tcW w:w="4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jc w:val="center"/>
              <w:rPr/>
            </w:pPr>
            <w:r>
              <w:rPr/>
              <w:t>Amortized</w:t>
            </w:r>
          </w:p>
          <w:p>
            <w:pPr>
              <w:pStyle w:val="TableContents"/>
              <w:bidi w:val="0"/>
              <w:spacing w:before="0" w:after="283"/>
              <w:jc w:val="center"/>
              <w:rPr/>
            </w:pPr>
            <w:r>
              <w:rPr/>
              <w:t>Cost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6" w:type="dxa"/>
            <w:gridSpan w:val="2"/>
            <w:tcBorders>
              <w:bottom w:val="single" w:sz="8" w:space="0" w:color="000000"/>
            </w:tcBorders>
            <w:tcMar>
              <w:bottom w:w="28" w:type="dxa"/>
            </w:tcMar>
            <w:vAlign w:val="center"/>
          </w:tcPr>
          <w:p>
            <w:pPr>
              <w:pStyle w:val="TableContents"/>
              <w:bidi w:val="0"/>
              <w:jc w:val="center"/>
              <w:rPr/>
            </w:pPr>
            <w:r>
              <w:rPr/>
              <w:t>Estimated Fair</w:t>
            </w:r>
          </w:p>
          <w:p>
            <w:pPr>
              <w:pStyle w:val="TableContents"/>
              <w:bidi w:val="0"/>
              <w:spacing w:before="0" w:after="283"/>
              <w:jc w:val="center"/>
              <w:rPr/>
            </w:pPr>
            <w:r>
              <w:rPr/>
              <w:t>Value</w:t>
            </w:r>
          </w:p>
        </w:tc>
        <w:tc>
          <w:tcPr>
            <w:tcW w:w="77" w:type="dxa"/>
            <w:tcBorders/>
            <w:vAlign w:val="center"/>
          </w:tcPr>
          <w:p>
            <w:pPr>
              <w:pStyle w:val="TableContents"/>
              <w:bidi w:val="0"/>
              <w:spacing w:before="0" w:after="283"/>
              <w:jc w:val="center"/>
              <w:rPr/>
            </w:pPr>
            <w:r>
              <w:rPr/>
              <w:t> </w:t>
            </w:r>
          </w:p>
        </w:tc>
      </w:tr>
      <w:tr>
        <w:trPr/>
        <w:tc>
          <w:tcPr>
            <w:tcW w:w="4887" w:type="dxa"/>
            <w:tcBorders/>
            <w:shd w:fill="CCEEFF" w:val="clear"/>
            <w:vAlign w:val="center"/>
          </w:tcPr>
          <w:p>
            <w:pPr>
              <w:pStyle w:val="TableContents"/>
              <w:bidi w:val="0"/>
              <w:spacing w:before="0" w:after="283"/>
              <w:jc w:val="left"/>
              <w:rPr>
                <w:u w:val="single"/>
              </w:rPr>
            </w:pPr>
            <w:r>
              <w:rPr>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U.S. Treasury securities and obligations of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462" w:name="xdx_988_eus-gaap--AvailableForSaleDebtSe"/>
            <w:bookmarkEnd w:id="1462"/>
          </w:p>
        </w:tc>
        <w:tc>
          <w:tcPr>
            <w:tcW w:w="1100" w:type="dxa"/>
            <w:tcBorders/>
            <w:shd w:fill="CCEEFF" w:val="clear"/>
            <w:vAlign w:val="center"/>
          </w:tcPr>
          <w:p>
            <w:pPr>
              <w:pStyle w:val="TableContents"/>
              <w:bidi w:val="0"/>
              <w:spacing w:before="0" w:after="283"/>
              <w:jc w:val="right"/>
              <w:rPr/>
            </w:pPr>
            <w:r>
              <w:rPr/>
              <w:t>895,817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463" w:name="xdx_98E_eus-gaap--AvailableForSaleDebtSe"/>
            <w:bookmarkEnd w:id="1463"/>
          </w:p>
        </w:tc>
        <w:tc>
          <w:tcPr>
            <w:tcW w:w="980" w:type="dxa"/>
            <w:tcBorders/>
            <w:shd w:fill="CCEEFF" w:val="clear"/>
            <w:vAlign w:val="center"/>
          </w:tcPr>
          <w:p>
            <w:pPr>
              <w:pStyle w:val="TableContents"/>
              <w:bidi w:val="0"/>
              <w:spacing w:before="0" w:after="283"/>
              <w:jc w:val="right"/>
              <w:rPr/>
            </w:pPr>
            <w:r>
              <w:rPr/>
              <w:t>1,735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bookmarkStart w:id="1464" w:name="xdx_98A_eus-gaap--AvailableForSaleDebtSe"/>
            <w:bookmarkEnd w:id="1464"/>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bookmarkStart w:id="1465" w:name="xdx_98A_eus-gaap--AvailableForSaleSecuri"/>
            <w:bookmarkEnd w:id="1465"/>
          </w:p>
        </w:tc>
        <w:tc>
          <w:tcPr>
            <w:tcW w:w="1186" w:type="dxa"/>
            <w:tcBorders/>
            <w:shd w:fill="CCEEFF" w:val="clear"/>
            <w:vAlign w:val="center"/>
          </w:tcPr>
          <w:p>
            <w:pPr>
              <w:pStyle w:val="TableContents"/>
              <w:bidi w:val="0"/>
              <w:spacing w:before="0" w:after="283"/>
              <w:jc w:val="right"/>
              <w:rPr/>
            </w:pPr>
            <w:r>
              <w:rPr/>
              <w:t>897,552</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66" w:name="xdx_987_eus-gaap--AvailableForSaleDebtSe"/>
            <w:bookmarkEnd w:id="1466"/>
          </w:p>
        </w:tc>
        <w:tc>
          <w:tcPr>
            <w:tcW w:w="1100" w:type="dxa"/>
            <w:tcBorders/>
            <w:shd w:fill="FFFFFF" w:val="clear"/>
            <w:vAlign w:val="center"/>
          </w:tcPr>
          <w:p>
            <w:pPr>
              <w:pStyle w:val="TableContents"/>
              <w:bidi w:val="0"/>
              <w:spacing w:before="0" w:after="283"/>
              <w:jc w:val="right"/>
              <w:rPr/>
            </w:pPr>
            <w:r>
              <w:rPr/>
              <w:t>228,512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67" w:name="xdx_98E_eus-gaap--AvailableForSaleDebtSe"/>
            <w:bookmarkEnd w:id="1467"/>
          </w:p>
        </w:tc>
        <w:tc>
          <w:tcPr>
            <w:tcW w:w="980" w:type="dxa"/>
            <w:tcBorders/>
            <w:shd w:fill="FFFFFF" w:val="cle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468" w:name="xdx_981_eus-gaap--AvailableForSaleDebtSe"/>
            <w:bookmarkEnd w:id="1468"/>
          </w:p>
        </w:tc>
        <w:tc>
          <w:tcPr>
            <w:tcW w:w="91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1469" w:name="xdx_98F_eus-gaap--AvailableForSaleSecuri"/>
            <w:bookmarkEnd w:id="1469"/>
          </w:p>
        </w:tc>
        <w:tc>
          <w:tcPr>
            <w:tcW w:w="1186" w:type="dxa"/>
            <w:tcBorders/>
            <w:shd w:fill="FFFFFF" w:val="clear"/>
            <w:vAlign w:val="center"/>
          </w:tcPr>
          <w:p>
            <w:pPr>
              <w:pStyle w:val="TableContents"/>
              <w:bidi w:val="0"/>
              <w:spacing w:before="0" w:after="283"/>
              <w:jc w:val="right"/>
              <w:rPr/>
            </w:pPr>
            <w:r>
              <w:rPr/>
              <w:t>228,628</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Corporate securities including public utilities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0" w:name="xdx_983_eus-gaap--AvailableForSaleDebtSe"/>
            <w:bookmarkEnd w:id="147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52,030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1" w:name="xdx_983_eus-gaap--AvailableForSaleDebtSe"/>
            <w:bookmarkEnd w:id="147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2" w:name="xdx_987_eus-gaap--AvailableForSaleDebtSe"/>
            <w:bookmarkEnd w:id="1472"/>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3" w:name="xdx_98F_eus-gaap--AvailableForSaleSecuri"/>
            <w:bookmarkEnd w:id="1473"/>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pPr>
            <w:r>
              <w:rPr/>
              <w:t>51,071</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Total fixed maturity securities available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74" w:name="xdx_98F_eus-gaap--AvailableForSaleDebtSe"/>
            <w:bookmarkEnd w:id="147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1,176,359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75" w:name="xdx_987_eus-gaap--AvailableForSaleDebtSe"/>
            <w:bookmarkEnd w:id="147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76" w:name="xdx_987_eus-gaap--AvailableForSaleDebtSe"/>
            <w:bookmarkEnd w:id="1476"/>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(967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77" w:name="xdx_985_eus-gaap--AvailableForSaleSecuri"/>
            <w:bookmarkEnd w:id="1477"/>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1,177,251</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Industrial, miscellaneous and 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478" w:name="xdx_98C_eus-gaap--EquitySecuritiesFvNiCo"/>
            <w:bookmarkEnd w:id="147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12,582,890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479" w:name="xdx_98B_eus-gaap--EquitySecuritiesFvNiUn"/>
            <w:bookmarkEnd w:id="147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2,690,346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480" w:name="xdx_98F_eus-gaap--EquitySecuritiesFvNiUn"/>
            <w:bookmarkEnd w:id="1480"/>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(344,319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481" w:name="xdx_98E_eus-gaap--EquitySecuritiesFvNi_i"/>
            <w:bookmarkEnd w:id="1481"/>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14,928,917</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Total 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82" w:name="xdx_98C_eus-gaap--EquitySecuritiesFvNiCo"/>
            <w:bookmarkEnd w:id="148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12,582,890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83" w:name="xdx_984_eus-gaap--EquitySecuritiesFvNiUn"/>
            <w:bookmarkEnd w:id="148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2,690,346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84" w:name="xdx_986_eus-gaap--EquitySecuritiesFvNiUn"/>
            <w:bookmarkEnd w:id="1484"/>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(344,319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85" w:name="xdx_988_eus-gaap--EquitySecuritiesFvNi_i"/>
            <w:bookmarkEnd w:id="1485"/>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14,928,917</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Mortgage loans held for investment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Residential 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486" w:name="xdx_988_eus-gaap--NotesReceivableGross_i"/>
            <w:bookmarkEnd w:id="1486"/>
          </w:p>
        </w:tc>
        <w:tc>
          <w:tcPr>
            <w:tcW w:w="1100" w:type="dxa"/>
            <w:tcBorders/>
            <w:shd w:fill="FFFFFF" w:val="clear"/>
            <w:vAlign w:val="center"/>
          </w:tcPr>
          <w:p>
            <w:pPr>
              <w:pStyle w:val="TableContents"/>
              <w:bidi w:val="0"/>
              <w:spacing w:before="0" w:after="283"/>
              <w:jc w:val="right"/>
              <w:rPr/>
            </w:pPr>
            <w:r>
              <w:rPr/>
              <w:t>812,427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87" w:name="xdx_989_ecustom--AggregateFairValueAllow"/>
            <w:bookmarkEnd w:id="148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Total mortgage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88" w:name="xdx_98D_eus-gaap--MortgageLoansOnRealEst"/>
            <w:bookmarkEnd w:id="148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810,802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Other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89" w:name="xdx_98D_ecustom--OtherInvestmentsAmortiz"/>
            <w:bookmarkEnd w:id="148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1,957,888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Cash and cash equivalents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90" w:name="xdx_989_eus-gaap--CashCashEquivalentsRes"/>
            <w:bookmarkEnd w:id="149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9,919,800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Accrued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91" w:name="xdx_981_eus-gaap--AccruedInvestmentIncom"/>
            <w:bookmarkEnd w:id="149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887" w:type="dxa"/>
            <w:tcBorders/>
            <w:shd w:fill="FFFFFF" w:val="clear"/>
            <w:vAlign w:val="center"/>
          </w:tcPr>
          <w:p>
            <w:pPr>
              <w:pStyle w:val="TableContents"/>
              <w:bidi w:val="0"/>
              <w:spacing w:before="0" w:after="283"/>
              <w:jc w:val="left"/>
              <w:rPr/>
            </w:pPr>
            <w:r>
              <w:rPr/>
              <w:t>Total restricted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92" w:name="xdx_98E_eus-gaap--RestrictedInvestments_"/>
            <w:bookmarkEnd w:id="149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28,805,946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9430" w:type="dxa"/>
        <w:jc w:val="left"/>
        <w:tblInd w:w="0" w:type="dxa"/>
        <w:tblLayout w:type="fixed"/>
        <w:tblCellMar>
          <w:top w:w="0" w:type="dxa"/>
          <w:left w:w="0" w:type="dxa"/>
          <w:bottom w:w="0" w:type="dxa"/>
          <w:right w:w="0" w:type="dxa"/>
        </w:tblCellMar>
      </w:tblPr>
      <w:tblGrid>
        <w:gridCol w:w="290"/>
        <w:gridCol w:w="9140"/>
      </w:tblGrid>
      <w:tr>
        <w:trPr/>
        <w:tc>
          <w:tcPr>
            <w:tcW w:w="290" w:type="dxa"/>
            <w:tcBorders/>
            <w:vAlign w:val="center"/>
          </w:tcPr>
          <w:p>
            <w:pPr>
              <w:pStyle w:val="TableContents"/>
              <w:bidi w:val="0"/>
              <w:spacing w:before="0" w:after="283"/>
              <w:ind w:left="0" w:right="0" w:hanging="200"/>
              <w:jc w:val="left"/>
              <w:rPr/>
            </w:pPr>
            <w:bookmarkStart w:id="1493" w:name="xdx_F01_zjU88LRrNBD8"/>
            <w:bookmarkEnd w:id="1493"/>
            <w:r>
              <w:rPr/>
              <w:t>(1)</w:t>
            </w:r>
            <w:bookmarkStart w:id="1494" w:name="xdx_F10_zUNhUY0n8Vy7"/>
            <w:bookmarkEnd w:id="1494"/>
          </w:p>
        </w:tc>
        <w:tc>
          <w:tcPr>
            <w:tcW w:w="9140" w:type="dxa"/>
            <w:tcBorders/>
            <w:vAlign w:val="center"/>
          </w:tcPr>
          <w:p>
            <w:pPr>
              <w:pStyle w:val="TableContents"/>
              <w:bidi w:val="0"/>
              <w:spacing w:before="0" w:after="283"/>
              <w:jc w:val="both"/>
              <w:rPr/>
            </w:pPr>
            <w:r>
              <w:rPr/>
              <w:t>Including cash and cash equivalents of $</w:t>
            </w:r>
            <w:bookmarkStart w:id="1495" w:name="xdx_90C_eus-gaap--CashCashEquivalentsRes"/>
            <w:bookmarkEnd w:id="1495"/>
            <w:r>
              <w:rPr/>
              <w:t>8,383,847 for the life insurance and mortgage segments.</w:t>
            </w:r>
          </w:p>
        </w:tc>
      </w:tr>
    </w:tbl>
    <w:p>
      <w:pPr>
        <w:pStyle w:val="TextBody"/>
        <w:bidi w:val="0"/>
        <w:spacing w:before="0" w:after="0"/>
        <w:ind w:left="0" w:right="0" w:hanging="0"/>
        <w:jc w:val="both"/>
        <w:rPr>
          <w:caps w:val="false"/>
          <w:smallCaps w:val="false"/>
        </w:rPr>
      </w:pPr>
      <w:bookmarkStart w:id="1496" w:name="xdx_8A2_zUfdCXpjwmti"/>
      <w:bookmarkEnd w:id="14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Restricted Assets</w:t>
      </w:r>
      <w:r>
        <w:rPr>
          <w:rFonts w:ascii="Times New Roman;Times;Serif" w:hAnsi="Times New Roman;Times;Serif"/>
          <w:b w:val="false"/>
          <w:i w:val="false"/>
          <w:caps w:val="false"/>
          <w:smallCaps w:val="false"/>
          <w:sz w:val="20"/>
        </w:rPr>
        <w:t xml:space="preserve">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Fixed Maturity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97" w:name="xdx_895_ecustom--ScheduleOfFairValueOfFi"/>
      <w:bookmarkEnd w:id="1497"/>
      <w:r>
        <w:rPr>
          <w:rFonts w:ascii="Times New Roman;Times;Serif" w:hAnsi="Times New Roman;Times;Serif"/>
          <w:b w:val="false"/>
          <w:i w:val="false"/>
          <w:caps w:val="false"/>
          <w:smallCaps w:val="false"/>
          <w:sz w:val="20"/>
        </w:rPr>
        <w:t>The table below summarizes unrealized losses on fixed maturity securities available for sale that were carried at estimated fair value as of June 30, 2026, and December 31, 2025. The tables set forth unrealized losses by duration with the fair value of the related fixed maturity securities.</w:t>
      </w:r>
    </w:p>
    <w:p>
      <w:pPr>
        <w:pStyle w:val="TextBody"/>
        <w:bidi w:val="0"/>
        <w:spacing w:before="0" w:after="0"/>
        <w:ind w:left="0" w:right="0" w:hanging="0"/>
        <w:jc w:val="both"/>
        <w:rPr>
          <w:caps w:val="false"/>
          <w:smallCaps w:val="false"/>
        </w:rPr>
      </w:pPr>
      <w:r>
        <w:rPr>
          <w:caps w:val="false"/>
          <w:smallCaps w:val="false"/>
        </w:rPr>
        <w:t> </w:t>
      </w:r>
      <w:bookmarkStart w:id="1498" w:name="xdx_8B7_zvxUaqBCi4s8"/>
      <w:bookmarkEnd w:id="1498"/>
      <w:r>
        <w:rPr>
          <w:rFonts w:ascii="Times New Roman;Times;Serif" w:hAnsi="Times New Roman;Times;Serif"/>
          <w:b w:val="false"/>
          <w:i w:val="false"/>
          <w:caps w:val="false"/>
          <w:smallCaps w:val="false"/>
          <w:sz w:val="20"/>
        </w:rPr>
        <w:t>Schedule of Fair Value of Fixed Maturity Securities</w:t>
      </w:r>
    </w:p>
    <w:tbl>
      <w:tblPr>
        <w:tblW w:w="10205" w:type="dxa"/>
        <w:jc w:val="left"/>
        <w:tblInd w:w="0" w:type="dxa"/>
        <w:tblLayout w:type="fixed"/>
        <w:tblCellMar>
          <w:top w:w="0" w:type="dxa"/>
          <w:left w:w="0" w:type="dxa"/>
          <w:bottom w:w="0" w:type="dxa"/>
          <w:right w:w="0" w:type="dxa"/>
        </w:tblCellMar>
      </w:tblPr>
      <w:tblGrid>
        <w:gridCol w:w="3418"/>
        <w:gridCol w:w="60"/>
        <w:gridCol w:w="628"/>
        <w:gridCol w:w="427"/>
        <w:gridCol w:w="60"/>
        <w:gridCol w:w="60"/>
        <w:gridCol w:w="529"/>
        <w:gridCol w:w="360"/>
        <w:gridCol w:w="60"/>
        <w:gridCol w:w="60"/>
        <w:gridCol w:w="211"/>
        <w:gridCol w:w="844"/>
        <w:gridCol w:w="60"/>
        <w:gridCol w:w="60"/>
        <w:gridCol w:w="148"/>
        <w:gridCol w:w="849"/>
        <w:gridCol w:w="60"/>
        <w:gridCol w:w="60"/>
        <w:gridCol w:w="211"/>
        <w:gridCol w:w="844"/>
        <w:gridCol w:w="60"/>
        <w:gridCol w:w="60"/>
        <w:gridCol w:w="148"/>
        <w:gridCol w:w="849"/>
        <w:gridCol w:w="79"/>
      </w:tblGrid>
      <w:tr>
        <w:trPr/>
        <w:tc>
          <w:tcPr>
            <w:tcW w:w="3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Unrealized</w:t>
            </w:r>
          </w:p>
          <w:p>
            <w:pPr>
              <w:pStyle w:val="TableContents"/>
              <w:bidi w:val="0"/>
              <w:jc w:val="center"/>
              <w:rPr/>
            </w:pPr>
            <w:r>
              <w:rPr/>
              <w:t>Losses for</w:t>
            </w:r>
          </w:p>
          <w:p>
            <w:pPr>
              <w:pStyle w:val="TableContents"/>
              <w:bidi w:val="0"/>
              <w:jc w:val="center"/>
              <w:rPr/>
            </w:pPr>
            <w:r>
              <w:rPr/>
              <w:t>Less than</w:t>
            </w:r>
          </w:p>
          <w:p>
            <w:pPr>
              <w:pStyle w:val="TableContents"/>
              <w:bidi w:val="0"/>
              <w:jc w:val="center"/>
              <w:rPr/>
            </w:pPr>
            <w:r>
              <w:rPr/>
              <w:t>Twelve</w:t>
            </w:r>
          </w:p>
          <w:p>
            <w:pPr>
              <w:pStyle w:val="TableContents"/>
              <w:bidi w:val="0"/>
              <w:spacing w:before="0" w:after="283"/>
              <w:jc w:val="center"/>
              <w:rPr/>
            </w:pPr>
            <w:r>
              <w:rPr/>
              <w:t>Months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Unrealized</w:t>
            </w:r>
          </w:p>
          <w:p>
            <w:pPr>
              <w:pStyle w:val="TableContents"/>
              <w:bidi w:val="0"/>
              <w:jc w:val="center"/>
              <w:rPr/>
            </w:pPr>
            <w:r>
              <w:rPr/>
              <w:t>Losses for</w:t>
            </w:r>
          </w:p>
          <w:p>
            <w:pPr>
              <w:pStyle w:val="TableContents"/>
              <w:bidi w:val="0"/>
              <w:jc w:val="center"/>
              <w:rPr/>
            </w:pPr>
            <w:r>
              <w:rPr/>
              <w:t>More than</w:t>
            </w:r>
          </w:p>
          <w:p>
            <w:pPr>
              <w:pStyle w:val="TableContents"/>
              <w:bidi w:val="0"/>
              <w:jc w:val="center"/>
              <w:rPr/>
            </w:pPr>
            <w:r>
              <w:rPr/>
              <w:t>Twelve</w:t>
            </w:r>
          </w:p>
          <w:p>
            <w:pPr>
              <w:pStyle w:val="TableContents"/>
              <w:bidi w:val="0"/>
              <w:spacing w:before="0" w:after="283"/>
              <w:jc w:val="center"/>
              <w:rPr/>
            </w:pPr>
            <w:r>
              <w:rPr/>
              <w:t>Months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jc w:val="center"/>
              <w:rPr/>
            </w:pPr>
            <w:r>
              <w:rPr/>
              <w:t>Unrealized</w:t>
            </w:r>
          </w:p>
          <w:p>
            <w:pPr>
              <w:pStyle w:val="TableContents"/>
              <w:bidi w:val="0"/>
              <w:spacing w:before="0" w:after="283"/>
              <w:jc w:val="center"/>
              <w:rPr/>
            </w:pPr>
            <w:r>
              <w:rPr/>
              <w:t>Loss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79" w:type="dxa"/>
            <w:tcBorders/>
            <w:vAlign w:val="center"/>
          </w:tcPr>
          <w:p>
            <w:pPr>
              <w:pStyle w:val="TableContents"/>
              <w:bidi w:val="0"/>
              <w:spacing w:before="0" w:after="283"/>
              <w:jc w:val="center"/>
              <w:rPr/>
            </w:pPr>
            <w:r>
              <w:rPr/>
              <w:t> </w:t>
            </w:r>
          </w:p>
        </w:tc>
      </w:tr>
      <w:tr>
        <w:trPr/>
        <w:tc>
          <w:tcPr>
            <w:tcW w:w="3418" w:type="dxa"/>
            <w:tcBorders/>
            <w:shd w:fill="CCEEFF" w:val="clear"/>
            <w:vAlign w:val="center"/>
          </w:tcPr>
          <w:p>
            <w:pPr>
              <w:pStyle w:val="TableContents"/>
              <w:bidi w:val="0"/>
              <w:spacing w:before="0" w:after="283"/>
              <w:jc w:val="left"/>
              <w:rPr>
                <w:u w:val="single"/>
              </w:rPr>
            </w:pPr>
            <w:r>
              <w:rPr>
                <w:u w:val="single"/>
              </w:rPr>
              <w:t>At June 30, 2026</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w:t>
            </w:r>
            <w:bookmarkStart w:id="1499" w:name="xdx_988_eus-gaap--DebtSecuritiesAvailabl"/>
            <w:bookmarkEnd w:id="1499"/>
          </w:p>
        </w:tc>
        <w:tc>
          <w:tcPr>
            <w:tcW w:w="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w:t>
            </w:r>
            <w:bookmarkStart w:id="1500" w:name="xdx_98D_eus-gaap--DebtSecuritiesAvailabl"/>
            <w:bookmarkEnd w:id="1500"/>
          </w:p>
        </w:tc>
        <w:tc>
          <w:tcPr>
            <w:tcW w:w="3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bookmarkStart w:id="1501" w:name="xdx_987_eus-gaap--DebtSecuritiesAvailabl"/>
            <w:bookmarkEnd w:id="1501"/>
          </w:p>
        </w:tc>
        <w:tc>
          <w:tcPr>
            <w:tcW w:w="844" w:type="dxa"/>
            <w:tcBorders/>
            <w:shd w:fill="FFFFFF" w:val="clear"/>
            <w:vAlign w:val="center"/>
          </w:tcPr>
          <w:p>
            <w:pPr>
              <w:pStyle w:val="TableContents"/>
              <w:bidi w:val="0"/>
              <w:spacing w:before="0" w:after="283"/>
              <w:jc w:val="right"/>
              <w:rPr/>
            </w:pPr>
            <w:r>
              <w:rPr/>
              <w:t>1,630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1502" w:name="xdx_98B_eus-gaap--DebtSecuritiesAvailabl"/>
            <w:bookmarkEnd w:id="1502"/>
          </w:p>
        </w:tc>
        <w:tc>
          <w:tcPr>
            <w:tcW w:w="849" w:type="dxa"/>
            <w:tcBorders/>
            <w:shd w:fill="FFFFFF" w:val="clear"/>
            <w:vAlign w:val="center"/>
          </w:tcPr>
          <w:p>
            <w:pPr>
              <w:pStyle w:val="TableContents"/>
              <w:bidi w:val="0"/>
              <w:spacing w:before="0" w:after="283"/>
              <w:jc w:val="right"/>
              <w:rPr/>
            </w:pPr>
            <w:r>
              <w:rPr/>
              <w:t>101,954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bookmarkStart w:id="1503" w:name="xdx_98C_eus-gaap--DebtSecuritiesAvailabl"/>
            <w:bookmarkEnd w:id="1503"/>
          </w:p>
        </w:tc>
        <w:tc>
          <w:tcPr>
            <w:tcW w:w="844" w:type="dxa"/>
            <w:tcBorders/>
            <w:shd w:fill="FFFFFF" w:val="clear"/>
            <w:vAlign w:val="center"/>
          </w:tcPr>
          <w:p>
            <w:pPr>
              <w:pStyle w:val="TableContents"/>
              <w:bidi w:val="0"/>
              <w:spacing w:before="0" w:after="283"/>
              <w:jc w:val="right"/>
              <w:rPr/>
            </w:pPr>
            <w:r>
              <w:rPr/>
              <w:t>1,630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1504" w:name="xdx_98E_eus-gaap--DebtSecuritiesAvailabl"/>
            <w:bookmarkEnd w:id="1504"/>
          </w:p>
        </w:tc>
        <w:tc>
          <w:tcPr>
            <w:tcW w:w="849" w:type="dxa"/>
            <w:tcBorders/>
            <w:shd w:fill="FFFFFF" w:val="clear"/>
            <w:vAlign w:val="center"/>
          </w:tcPr>
          <w:p>
            <w:pPr>
              <w:pStyle w:val="TableContents"/>
              <w:bidi w:val="0"/>
              <w:spacing w:before="0" w:after="283"/>
              <w:jc w:val="right"/>
              <w:rPr/>
            </w:pPr>
            <w:r>
              <w:rPr/>
              <w:t>101,954</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Corporate securities including public utilities</w:t>
            </w:r>
          </w:p>
        </w:tc>
        <w:tc>
          <w:tcPr>
            <w:tcW w:w="60" w:type="dxa"/>
            <w:tcBorders/>
            <w:shd w:fill="CCEEFF" w:val="clear"/>
            <w:vAlign w:val="center"/>
          </w:tcPr>
          <w:p>
            <w:pPr>
              <w:pStyle w:val="TableContents"/>
              <w:bidi w:val="0"/>
              <w:spacing w:before="0" w:after="283"/>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05" w:name="xdx_986_eus-gaap--DebtSecuritiesAvailabl"/>
            <w:bookmarkEnd w:id="1505"/>
          </w:p>
        </w:tc>
        <w:tc>
          <w:tcPr>
            <w:tcW w:w="4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06" w:name="xdx_987_eus-gaap--DebtSecuritiesAvailabl"/>
            <w:bookmarkEnd w:id="1506"/>
          </w:p>
        </w:tc>
        <w:tc>
          <w:tcPr>
            <w:tcW w:w="3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07" w:name="xdx_985_eus-gaap--DebtSecuritiesAvailabl"/>
            <w:bookmarkEnd w:id="1507"/>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08" w:name="xdx_988_eus-gaap--DebtSecuritiesAvailabl"/>
            <w:bookmarkEnd w:id="1508"/>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r>
              <w:rPr/>
              <w:t>50,951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09" w:name="xdx_98F_eus-gaap--DebtSecuritiesAvailabl"/>
            <w:bookmarkEnd w:id="1509"/>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10" w:name="xdx_98E_eus-gaap--DebtSecuritiesAvailabl"/>
            <w:bookmarkEnd w:id="1510"/>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r>
              <w:rPr/>
              <w:t>50,951</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Total unrealized losses</w:t>
            </w:r>
          </w:p>
        </w:tc>
        <w:tc>
          <w:tcPr>
            <w:tcW w:w="60" w:type="dxa"/>
            <w:tcBorders/>
            <w:shd w:fill="FFFFFF" w:val="cle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1" w:name="xdx_98A_eus-gaap--DebtSecuritiesAvailabl"/>
            <w:bookmarkEnd w:id="1511"/>
          </w:p>
        </w:tc>
        <w:tc>
          <w:tcPr>
            <w:tcW w:w="4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2" w:name="xdx_983_eus-gaap--DebtSecuritiesAvailabl"/>
            <w:bookmarkEnd w:id="1512"/>
          </w:p>
        </w:tc>
        <w:tc>
          <w:tcPr>
            <w:tcW w:w="3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3" w:name="xdx_981_eus-gaap--DebtSecuritiesAvailabl"/>
            <w:bookmarkEnd w:id="1513"/>
          </w:p>
        </w:tc>
        <w:tc>
          <w:tcPr>
            <w:tcW w:w="844" w:type="dxa"/>
            <w:tcBorders>
              <w:bottom w:val="double" w:sz="6" w:space="0" w:color="000000"/>
            </w:tcBorders>
            <w:shd w:fill="FFFFFF" w:val="clear"/>
            <w:tcMar>
              <w:bottom w:w="28" w:type="dxa"/>
            </w:tcMar>
            <w:vAlign w:val="center"/>
          </w:tcPr>
          <w:p>
            <w:pPr>
              <w:pStyle w:val="TableContents"/>
              <w:bidi w:val="0"/>
              <w:spacing w:before="0" w:after="283"/>
              <w:jc w:val="right"/>
              <w:rPr/>
            </w:pPr>
            <w:r>
              <w:rPr/>
              <w:t>1,887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4" w:name="xdx_987_eus-gaap--DebtSecuritiesAvailabl"/>
            <w:bookmarkEnd w:id="1514"/>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pPr>
            <w:r>
              <w:rPr/>
              <w:t>152,905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5" w:name="xdx_987_eus-gaap--DebtSecuritiesAvailabl"/>
            <w:bookmarkEnd w:id="1515"/>
          </w:p>
        </w:tc>
        <w:tc>
          <w:tcPr>
            <w:tcW w:w="844" w:type="dxa"/>
            <w:tcBorders>
              <w:bottom w:val="double" w:sz="6" w:space="0" w:color="000000"/>
            </w:tcBorders>
            <w:shd w:fill="FFFFFF" w:val="clear"/>
            <w:tcMar>
              <w:bottom w:w="28" w:type="dxa"/>
            </w:tcMar>
            <w:vAlign w:val="center"/>
          </w:tcPr>
          <w:p>
            <w:pPr>
              <w:pStyle w:val="TableContents"/>
              <w:bidi w:val="0"/>
              <w:spacing w:before="0" w:after="283"/>
              <w:jc w:val="right"/>
              <w:rPr/>
            </w:pPr>
            <w:r>
              <w:rPr/>
              <w:t>1,887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16" w:name="xdx_982_eus-gaap--DebtSecuritiesAvailabl"/>
            <w:bookmarkEnd w:id="1516"/>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pPr>
            <w:r>
              <w:rPr/>
              <w:t>152,905</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u w:val="single"/>
              </w:rPr>
            </w:pPr>
            <w:r>
              <w:rPr>
                <w:u w:val="single"/>
              </w:rPr>
              <w:t>At December 31, 2025</w:t>
            </w:r>
          </w:p>
        </w:tc>
        <w:tc>
          <w:tcPr>
            <w:tcW w:w="60"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w:t>
            </w:r>
            <w:bookmarkStart w:id="1517" w:name="xdx_981_eus-gaap--DebtSecuritiesAvailabl"/>
            <w:bookmarkEnd w:id="1517"/>
          </w:p>
        </w:tc>
        <w:tc>
          <w:tcPr>
            <w:tcW w:w="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w:t>
            </w:r>
            <w:bookmarkStart w:id="1518" w:name="xdx_98E_eus-gaap--DebtSecuritiesAvailabl"/>
            <w:bookmarkEnd w:id="1518"/>
          </w:p>
        </w:tc>
        <w:tc>
          <w:tcPr>
            <w:tcW w:w="3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bookmarkStart w:id="1519" w:name="xdx_98C_eus-gaap--DebtSecuritiesAvailabl"/>
            <w:bookmarkEnd w:id="1519"/>
          </w:p>
        </w:tc>
        <w:tc>
          <w:tcPr>
            <w:tcW w:w="844"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bookmarkStart w:id="1520" w:name="xdx_981_eus-gaap--DebtSecuritiesAvailabl"/>
            <w:bookmarkEnd w:id="1520"/>
          </w:p>
        </w:tc>
        <w:tc>
          <w:tcPr>
            <w:tcW w:w="849" w:type="dxa"/>
            <w:tcBorders/>
            <w:shd w:fill="CCEEFF" w:val="clear"/>
            <w:vAlign w:val="center"/>
          </w:tcPr>
          <w:p>
            <w:pPr>
              <w:pStyle w:val="TableContents"/>
              <w:bidi w:val="0"/>
              <w:spacing w:before="0" w:after="283"/>
              <w:jc w:val="right"/>
              <w:rPr/>
            </w:pPr>
            <w:r>
              <w:rPr/>
              <w:t>103,504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bookmarkStart w:id="1521" w:name="xdx_984_eus-gaap--DebtSecuritiesAvailabl"/>
            <w:bookmarkEnd w:id="1521"/>
          </w:p>
        </w:tc>
        <w:tc>
          <w:tcPr>
            <w:tcW w:w="844"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bookmarkStart w:id="1522" w:name="xdx_981_eus-gaap--DebtSecuritiesAvailabl"/>
            <w:bookmarkEnd w:id="1522"/>
          </w:p>
        </w:tc>
        <w:tc>
          <w:tcPr>
            <w:tcW w:w="849" w:type="dxa"/>
            <w:tcBorders/>
            <w:shd w:fill="CCEEFF" w:val="clear"/>
            <w:vAlign w:val="center"/>
          </w:tcPr>
          <w:p>
            <w:pPr>
              <w:pStyle w:val="TableContents"/>
              <w:bidi w:val="0"/>
              <w:spacing w:before="0" w:after="283"/>
              <w:jc w:val="right"/>
              <w:rPr/>
            </w:pPr>
            <w:r>
              <w:rPr/>
              <w:t>103,504</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Corporate securities including public utilities</w:t>
            </w:r>
          </w:p>
        </w:tc>
        <w:tc>
          <w:tcPr>
            <w:tcW w:w="60" w:type="dxa"/>
            <w:tcBorders/>
            <w:shd w:fill="FFFFFF" w:val="cle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3" w:name="xdx_986_eus-gaap--DebtSecuritiesAvailabl"/>
            <w:bookmarkEnd w:id="1523"/>
          </w:p>
        </w:tc>
        <w:tc>
          <w:tcPr>
            <w:tcW w:w="4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4" w:name="xdx_989_eus-gaap--DebtSecuritiesAvailabl"/>
            <w:bookmarkEnd w:id="1524"/>
          </w:p>
        </w:tc>
        <w:tc>
          <w:tcPr>
            <w:tcW w:w="3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5" w:name="xdx_985_eus-gaap--DebtSecuritiesAvailabl"/>
            <w:bookmarkEnd w:id="1525"/>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6" w:name="xdx_988_eus-gaap--DebtSecuritiesAvailabl"/>
            <w:bookmarkEnd w:id="1526"/>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51,071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7" w:name="xdx_980_eus-gaap--DebtSecuritiesAvailabl"/>
            <w:bookmarkEnd w:id="1527"/>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28" w:name="xdx_988_eus-gaap--DebtSecuritiesAvailabl"/>
            <w:bookmarkEnd w:id="1528"/>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51,071</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Total unrealized losses</w:t>
            </w:r>
          </w:p>
        </w:tc>
        <w:tc>
          <w:tcPr>
            <w:tcW w:w="60" w:type="dxa"/>
            <w:tcBorders/>
            <w:shd w:fill="CCEEFF" w:val="clear"/>
            <w:vAlign w:val="center"/>
          </w:tcPr>
          <w:p>
            <w:pPr>
              <w:pStyle w:val="TableContents"/>
              <w:bidi w:val="0"/>
              <w:spacing w:before="0" w:after="283"/>
              <w:jc w:val="left"/>
              <w:rPr/>
            </w:pPr>
            <w:r>
              <w:rPr/>
              <w:t> </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29" w:name="xdx_98C_eus-gaap--DebtSecuritiesAvailabl"/>
            <w:bookmarkEnd w:id="1529"/>
          </w:p>
        </w:tc>
        <w:tc>
          <w:tcPr>
            <w:tcW w:w="4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30" w:name="xdx_980_eus-gaap--DebtSecuritiesAvailabl"/>
            <w:bookmarkEnd w:id="1530"/>
          </w:p>
        </w:tc>
        <w:tc>
          <w:tcPr>
            <w:tcW w:w="3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31" w:name="xdx_989_eus-gaap--DebtSecuritiesAvailabl"/>
            <w:bookmarkEnd w:id="1531"/>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32" w:name="xdx_988_eus-gaap--DebtSecuritiesAvailabl"/>
            <w:bookmarkEnd w:id="1532"/>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154,575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33" w:name="xdx_986_eus-gaap--DebtSecuritiesAvailabl"/>
            <w:bookmarkEnd w:id="1533"/>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34" w:name="xdx_980_eus-gaap--DebtSecuritiesAvailabl"/>
            <w:bookmarkEnd w:id="1534"/>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154,575</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35" w:name="xdx_8A2_zLgm4cBjI8Yg"/>
      <w:bookmarkEnd w:id="15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Relevant holdings were comprised of three securities with fair values aggregating </w:t>
      </w:r>
      <w:bookmarkStart w:id="1536" w:name="xdx_901_ecustom--AverageMarketValueOverA"/>
      <w:bookmarkEnd w:id="1536"/>
      <w:r>
        <w:rPr>
          <w:rFonts w:ascii="Times New Roman;Times;Serif" w:hAnsi="Times New Roman;Times;Serif"/>
          <w:b w:val="false"/>
          <w:i w:val="false"/>
          <w:caps w:val="false"/>
          <w:smallCaps w:val="false"/>
          <w:sz w:val="20"/>
        </w:rPr>
        <w:t xml:space="preserve">98.8% of the aggregate amortized cost as of June 30, 2026. Relevant holdings were comprised of two securities with fair values aggregating </w:t>
      </w:r>
      <w:bookmarkStart w:id="1537" w:name="xdx_90C_ecustom--AverageMarketValueOverA"/>
      <w:bookmarkEnd w:id="1537"/>
      <w:r>
        <w:rPr>
          <w:rFonts w:ascii="Times New Roman;Times;Serif" w:hAnsi="Times New Roman;Times;Serif"/>
          <w:b w:val="false"/>
          <w:i w:val="false"/>
          <w:caps w:val="false"/>
          <w:smallCaps w:val="false"/>
          <w:sz w:val="20"/>
        </w:rPr>
        <w:t xml:space="preserve">99.4% of the aggregate amortized cost as of December 31, 2025. </w:t>
      </w:r>
      <w:bookmarkStart w:id="1538" w:name="xdx_90E_eus-gaap--UnrealizedGainLossOnIn"/>
      <w:bookmarkStart w:id="1539" w:name="xdx_90C_eus-gaap--UnrealizedGainLossOnIn"/>
      <w:bookmarkEnd w:id="1538"/>
      <w:bookmarkEnd w:id="1539"/>
      <w:r>
        <w:rPr>
          <w:rFonts w:ascii="Times New Roman;Times;Serif" w:hAnsi="Times New Roman;Times;Serif"/>
          <w:b w:val="false"/>
          <w:i w:val="false"/>
          <w:caps w:val="false"/>
          <w:smallCaps w:val="false"/>
          <w:sz w:val="20"/>
        </w:rPr>
        <w:t>No credit losses have been recognized for the three and six month periods ended June 30, 2026, and 2025, since the unrealized losses are primarily the result of increases in interest rates. See Note 2 for additional information regarding the Company’s evaluation of the allowance for credit losses for fixed maturity securities available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40" w:name="xdx_895_eus-gaap--InvestmentsClassifiedB"/>
      <w:bookmarkEnd w:id="1540"/>
      <w:r>
        <w:rPr>
          <w:rFonts w:ascii="Times New Roman;Times;Serif" w:hAnsi="Times New Roman;Times;Serif"/>
          <w:b w:val="false"/>
          <w:i w:val="false"/>
          <w:caps w:val="false"/>
          <w:smallCaps w:val="false"/>
          <w:sz w:val="20"/>
        </w:rPr>
        <w:t>The table below presents the amortized cost and estimated fair value of fixed maturity securities available for sale as of June 30, 2026, by contractual maturity. Actual or expected maturities may differ from contractual maturities because certain securities afford the issuer the right to call or prepay their obligations.</w:t>
      </w:r>
    </w:p>
    <w:p>
      <w:pPr>
        <w:pStyle w:val="TextBody"/>
        <w:bidi w:val="0"/>
        <w:spacing w:before="0" w:after="0"/>
        <w:ind w:left="0" w:right="0" w:hanging="0"/>
        <w:jc w:val="both"/>
        <w:rPr>
          <w:caps w:val="false"/>
          <w:smallCaps w:val="false"/>
        </w:rPr>
      </w:pPr>
      <w:r>
        <w:rPr>
          <w:caps w:val="false"/>
          <w:smallCaps w:val="false"/>
        </w:rPr>
        <w:t> </w:t>
      </w:r>
      <w:bookmarkStart w:id="1541" w:name="xdx_8B2_zWBlSA2vPpN2"/>
      <w:bookmarkEnd w:id="1541"/>
      <w:r>
        <w:rPr>
          <w:rFonts w:ascii="Times New Roman;Times;Serif" w:hAnsi="Times New Roman;Times;Serif"/>
          <w:b w:val="false"/>
          <w:i w:val="false"/>
          <w:caps w:val="false"/>
          <w:smallCaps w:val="false"/>
          <w:sz w:val="20"/>
        </w:rPr>
        <w:t>Schedule of Investments Classified by Contractual Maturity Date</w:t>
      </w:r>
    </w:p>
    <w:tbl>
      <w:tblPr>
        <w:tblW w:w="5204" w:type="dxa"/>
        <w:jc w:val="left"/>
        <w:tblInd w:w="0" w:type="dxa"/>
        <w:tblLayout w:type="fixed"/>
        <w:tblCellMar>
          <w:top w:w="0" w:type="dxa"/>
          <w:left w:w="0" w:type="dxa"/>
          <w:bottom w:w="0" w:type="dxa"/>
          <w:right w:w="0" w:type="dxa"/>
        </w:tblCellMar>
      </w:tblPr>
      <w:tblGrid>
        <w:gridCol w:w="2540"/>
        <w:gridCol w:w="60"/>
        <w:gridCol w:w="152"/>
        <w:gridCol w:w="873"/>
        <w:gridCol w:w="60"/>
        <w:gridCol w:w="60"/>
        <w:gridCol w:w="205"/>
        <w:gridCol w:w="1179"/>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Estimated Fair</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pPr>
            <w:r>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Due in 1 year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bookmarkStart w:id="1542" w:name="xdx_98F_eus-gaap--AvailableForSaleDebtSe"/>
            <w:bookmarkEnd w:id="1542"/>
          </w:p>
        </w:tc>
        <w:tc>
          <w:tcPr>
            <w:tcW w:w="873"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bookmarkStart w:id="1543" w:name="xdx_987_eus-gaap--AvailableForSaleSecuri"/>
            <w:bookmarkEnd w:id="1543"/>
          </w:p>
        </w:tc>
        <w:tc>
          <w:tcPr>
            <w:tcW w:w="1179" w:type="dxa"/>
            <w:tcBorders/>
            <w:shd w:fill="CCEEFF" w:val="clear"/>
            <w:vAlign w:val="center"/>
          </w:tcPr>
          <w:p>
            <w:pPr>
              <w:pStyle w:val="TableContents"/>
              <w:bidi w:val="0"/>
              <w:spacing w:before="0" w:after="283"/>
              <w:jc w:val="right"/>
              <w:rPr/>
            </w:pPr>
            <w:r>
              <w:rPr/>
              <w:t>125,104</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Due in 2-5 years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1544" w:name="xdx_98F_eus-gaap--AvailableForSaleDebtSe"/>
            <w:bookmarkEnd w:id="1544"/>
          </w:p>
        </w:tc>
        <w:tc>
          <w:tcPr>
            <w:tcW w:w="8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545" w:name="xdx_982_eus-gaap--AvailableForSaleSecuri"/>
            <w:bookmarkEnd w:id="1545"/>
          </w:p>
        </w:tc>
        <w:tc>
          <w:tcPr>
            <w:tcW w:w="117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Due in 5-10 years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1546" w:name="xdx_98B_eus-gaap--AvailableForSaleDebtSe"/>
            <w:bookmarkEnd w:id="1546"/>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547" w:name="xdx_989_eus-gaap--AvailableForSaleSecuri"/>
            <w:bookmarkEnd w:id="1547"/>
          </w:p>
        </w:tc>
        <w:tc>
          <w:tcPr>
            <w:tcW w:w="11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Due in more than 10 years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48" w:name="xdx_986_eus-gaap--AvailableForSaleDebtSe"/>
            <w:bookmarkEnd w:id="1548"/>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154,791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49" w:name="xdx_982_eus-gaap--AvailableForSaleSecuri"/>
            <w:bookmarkEnd w:id="1549"/>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152,904</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0" w:name="xdx_981_eus-gaap--AvailableForSaleDebtSe"/>
            <w:bookmarkEnd w:id="1550"/>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t>279,791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1" w:name="xdx_985_eus-gaap--AvailableForSaleSecuri"/>
            <w:bookmarkEnd w:id="1551"/>
          </w:p>
        </w:tc>
        <w:tc>
          <w:tcPr>
            <w:tcW w:w="1179" w:type="dxa"/>
            <w:tcBorders>
              <w:bottom w:val="double" w:sz="6" w:space="0" w:color="000000"/>
            </w:tcBorders>
            <w:shd w:fill="CCEEFF" w:val="clear"/>
            <w:tcMar>
              <w:bottom w:w="28" w:type="dxa"/>
            </w:tcMar>
            <w:vAlign w:val="center"/>
          </w:tcPr>
          <w:p>
            <w:pPr>
              <w:pStyle w:val="TableContents"/>
              <w:bidi w:val="0"/>
              <w:spacing w:before="0" w:after="283"/>
              <w:jc w:val="right"/>
              <w:rPr/>
            </w:pPr>
            <w:r>
              <w:rPr/>
              <w:t>278,008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52" w:name="xdx_8AE_zPX0T0UELnMf"/>
      <w:bookmarkEnd w:id="15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2 and 17 for additional information regarding restricted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53" w:name="xdx_80A_ecustom--CemeteryPerpetualCareTr"/>
      <w:bookmarkEnd w:id="1553"/>
      <w:r>
        <w:rPr>
          <w:rFonts w:ascii="Times New Roman;Times;Serif" w:hAnsi="Times New Roman;Times;Serif"/>
          <w:b w:val="false"/>
          <w:i w:val="false"/>
          <w:caps w:val="false"/>
          <w:smallCaps w:val="false"/>
          <w:sz w:val="20"/>
        </w:rPr>
        <w:t xml:space="preserve">6) </w:t>
      </w:r>
      <w:bookmarkStart w:id="1554" w:name="xdx_823_z4pmkxZKQp3a"/>
      <w:bookmarkStart w:id="1555" w:name="sp_001"/>
      <w:bookmarkEnd w:id="1554"/>
      <w:bookmarkEnd w:id="1555"/>
      <w:r>
        <w:rPr>
          <w:rFonts w:ascii="Times New Roman;Times;Serif" w:hAnsi="Times New Roman;Times;Serif"/>
          <w:b w:val="false"/>
          <w:i w:val="false"/>
          <w:caps w:val="false"/>
          <w:smallCaps w:val="false"/>
          <w:sz w:val="20"/>
          <w:u w:val="single"/>
        </w:rPr>
        <w:t>Cemetery Perpetual Care Trust Investments and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56" w:name="xdx_89A_eus-gaap--ScheduleOfAvailableFor"/>
      <w:bookmarkEnd w:id="1556"/>
      <w:r>
        <w:rPr>
          <w:rFonts w:ascii="Times New Roman;Times;Serif" w:hAnsi="Times New Roman;Times;Serif"/>
          <w:b w:val="false"/>
          <w:i w:val="false"/>
          <w:caps w:val="false"/>
          <w:smallCaps w:val="false"/>
          <w:sz w:val="20"/>
        </w:rPr>
        <w:t>The components of cemetery perpetual care investments and obligation as of June 30, 2026, are as follows:</w:t>
      </w:r>
    </w:p>
    <w:p>
      <w:pPr>
        <w:pStyle w:val="TextBody"/>
        <w:bidi w:val="0"/>
        <w:spacing w:before="0" w:after="0"/>
        <w:ind w:left="0" w:right="0" w:hanging="0"/>
        <w:jc w:val="both"/>
        <w:rPr>
          <w:caps w:val="false"/>
          <w:smallCaps w:val="false"/>
        </w:rPr>
      </w:pPr>
      <w:r>
        <w:rPr>
          <w:caps w:val="false"/>
          <w:smallCaps w:val="false"/>
        </w:rPr>
        <w:t> </w:t>
      </w:r>
      <w:bookmarkStart w:id="1557" w:name="xdx_8B7_zXOAClIJViY8"/>
      <w:bookmarkEnd w:id="1557"/>
      <w:r>
        <w:rPr>
          <w:rFonts w:ascii="Times New Roman;Times;Serif" w:hAnsi="Times New Roman;Times;Serif"/>
          <w:b w:val="false"/>
          <w:i w:val="false"/>
          <w:caps w:val="false"/>
          <w:smallCaps w:val="false"/>
          <w:sz w:val="20"/>
        </w:rPr>
        <w:t>Schedule of Investments and Obligation</w:t>
      </w:r>
    </w:p>
    <w:tbl>
      <w:tblPr>
        <w:tblW w:w="10205" w:type="dxa"/>
        <w:jc w:val="left"/>
        <w:tblInd w:w="0" w:type="dxa"/>
        <w:tblLayout w:type="fixed"/>
        <w:tblCellMar>
          <w:top w:w="0" w:type="dxa"/>
          <w:left w:w="0" w:type="dxa"/>
          <w:bottom w:w="0" w:type="dxa"/>
          <w:right w:w="0" w:type="dxa"/>
        </w:tblCellMar>
      </w:tblPr>
      <w:tblGrid>
        <w:gridCol w:w="4912"/>
        <w:gridCol w:w="60"/>
        <w:gridCol w:w="140"/>
        <w:gridCol w:w="1100"/>
        <w:gridCol w:w="95"/>
        <w:gridCol w:w="60"/>
        <w:gridCol w:w="140"/>
        <w:gridCol w:w="980"/>
        <w:gridCol w:w="60"/>
        <w:gridCol w:w="60"/>
        <w:gridCol w:w="145"/>
        <w:gridCol w:w="910"/>
        <w:gridCol w:w="95"/>
        <w:gridCol w:w="60"/>
        <w:gridCol w:w="164"/>
        <w:gridCol w:w="1148"/>
        <w:gridCol w:w="76"/>
      </w:tblGrid>
      <w:tr>
        <w:trPr/>
        <w:tc>
          <w:tcPr>
            <w:tcW w:w="4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jc w:val="center"/>
              <w:rPr/>
            </w:pPr>
            <w:r>
              <w:rPr/>
              <w:t>Amortized</w:t>
            </w:r>
          </w:p>
          <w:p>
            <w:pPr>
              <w:pStyle w:val="TableContents"/>
              <w:bidi w:val="0"/>
              <w:spacing w:before="0" w:after="283"/>
              <w:jc w:val="center"/>
              <w:rPr/>
            </w:pPr>
            <w:r>
              <w:rPr/>
              <w:t>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jc w:val="center"/>
              <w:rPr/>
            </w:pPr>
            <w:r>
              <w:rPr/>
              <w:t>Estimated Fair</w:t>
            </w:r>
          </w:p>
          <w:p>
            <w:pPr>
              <w:pStyle w:val="TableContents"/>
              <w:bidi w:val="0"/>
              <w:spacing w:before="0" w:after="283"/>
              <w:jc w:val="center"/>
              <w:rPr/>
            </w:pPr>
            <w:r>
              <w:rPr/>
              <w:t>Value</w:t>
            </w:r>
          </w:p>
        </w:tc>
        <w:tc>
          <w:tcPr>
            <w:tcW w:w="76" w:type="dxa"/>
            <w:tcBorders/>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both"/>
              <w:rPr/>
            </w:pPr>
            <w:r>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58" w:name="xdx_98A_eus-gaap--AvailableForSaleDebtSe"/>
            <w:bookmarkEnd w:id="155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59" w:name="xdx_985_eus-gaap--AvailableForSaleDebtSe"/>
            <w:bookmarkEnd w:id="155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60" w:name="xdx_989_eus-gaap--AvailableForSaleDebtSe"/>
            <w:bookmarkEnd w:id="1560"/>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(1,468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61" w:name="xdx_98D_eus-gaap--AvailableForSaleSecuri"/>
            <w:bookmarkEnd w:id="1561"/>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117,203</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Total fixed maturity securities available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62" w:name="xdx_980_eus-gaap--AvailableForSaleDebtSe"/>
            <w:bookmarkEnd w:id="156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118,671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63" w:name="xdx_98F_eus-gaap--AvailableForSaleDebtSe"/>
            <w:bookmarkEnd w:id="156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64" w:name="xdx_989_eus-gaap--AvailableForSaleDebtSe"/>
            <w:bookmarkEnd w:id="1564"/>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(1,468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65" w:name="xdx_98A_eus-gaap--AvailableForSaleSecuri"/>
            <w:bookmarkEnd w:id="1565"/>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117,203</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Industrial, miscellaneous and 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566" w:name="xdx_98B_eus-gaap--EquitySecuritiesFvNiCo"/>
            <w:bookmarkEnd w:id="156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5,220,548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567" w:name="xdx_982_eus-gaap--EquitySecuritiesFvNiUn"/>
            <w:bookmarkEnd w:id="156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1,940,328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568" w:name="xdx_98E_eus-gaap--EquitySecuritiesFvNiUn"/>
            <w:bookmarkEnd w:id="1568"/>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(136,641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569" w:name="xdx_984_eus-gaap--EquitySecuritiesFvNi_i"/>
            <w:bookmarkEnd w:id="1569"/>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7,024,235</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Total 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70" w:name="xdx_98F_eus-gaap--EquitySecuritiesFvNiCo"/>
            <w:bookmarkEnd w:id="157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5,220,548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71" w:name="xdx_98F_eus-gaap--EquitySecuritiesFvNiUn"/>
            <w:bookmarkEnd w:id="157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1,940,328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72" w:name="xdx_989_eus-gaap--EquitySecuritiesFvNiUn"/>
            <w:bookmarkEnd w:id="1572"/>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(136,641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73" w:name="xdx_988_eus-gaap--EquitySecuritiesFvNi_i"/>
            <w:bookmarkEnd w:id="1573"/>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pPr>
            <w:r>
              <w:rPr/>
              <w:t>7,024,235</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both"/>
              <w:rPr/>
            </w:pPr>
            <w:r>
              <w:rPr/>
              <w:t>Mortgage loans held for investment at amortized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Residential 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574" w:name="xdx_988_eus-gaap--NotesReceivableGross_i"/>
            <w:bookmarkEnd w:id="1574"/>
          </w:p>
        </w:tc>
        <w:tc>
          <w:tcPr>
            <w:tcW w:w="1100" w:type="dxa"/>
            <w:tcBorders/>
            <w:shd w:fill="FFFFFF" w:val="clear"/>
            <w:vAlign w:val="center"/>
          </w:tcPr>
          <w:p>
            <w:pPr>
              <w:pStyle w:val="TableContents"/>
              <w:bidi w:val="0"/>
              <w:spacing w:before="0" w:after="283"/>
              <w:jc w:val="right"/>
              <w:rPr/>
            </w:pPr>
            <w:r>
              <w:rPr/>
              <w:t>1,008,730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both"/>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75" w:name="xdx_983_ecustom--AggregateEstimatedFairV"/>
            <w:bookmarkEnd w:id="157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Total mortgage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76" w:name="xdx_98F_eus-gaap--MortgageLoansOnRealEst"/>
            <w:bookmarkEnd w:id="157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1,006,713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Other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77" w:name="xdx_980_eus-gaap--OtherInvestments_iI_c2"/>
            <w:bookmarkEnd w:id="157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1,333,656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78" w:name="xdx_982_eus-gaap--CashCashEquivalentsRes"/>
            <w:bookmarkEnd w:id="157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981,088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Accrued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79" w:name="xdx_989_eus-gaap--AccruedInvestmentIncom"/>
            <w:bookmarkEnd w:id="157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Total cemetery perpetual care trust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80" w:name="xdx_980_ecustom--CemeteryPerpetualCareTr"/>
            <w:bookmarkEnd w:id="158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10,470,650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Cemetery perpetual care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81" w:name="xdx_98C_ecustom--CemeteryPerpetualCareOb"/>
            <w:bookmarkEnd w:id="158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(6,086,723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12" w:type="dxa"/>
            <w:tcBorders/>
            <w:shd w:fill="FFFFFF" w:val="clear"/>
            <w:vAlign w:val="center"/>
          </w:tcPr>
          <w:p>
            <w:pPr>
              <w:pStyle w:val="TableContents"/>
              <w:bidi w:val="0"/>
              <w:spacing w:before="0" w:after="283"/>
              <w:jc w:val="both"/>
              <w:rPr/>
            </w:pPr>
            <w:r>
              <w:rPr/>
              <w:t>Trust investments in excess of trust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82" w:name="xdx_984_ecustom--TrustInvestmentsinExces"/>
            <w:bookmarkEnd w:id="158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4,383,927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Cemetery Perpetual Care Trust Investments and Obligation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cemetery perpetual care investments and obligation as of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8"/>
        <w:gridCol w:w="60"/>
        <w:gridCol w:w="140"/>
        <w:gridCol w:w="1055"/>
        <w:gridCol w:w="95"/>
        <w:gridCol w:w="60"/>
        <w:gridCol w:w="140"/>
        <w:gridCol w:w="980"/>
        <w:gridCol w:w="60"/>
        <w:gridCol w:w="60"/>
        <w:gridCol w:w="145"/>
        <w:gridCol w:w="910"/>
        <w:gridCol w:w="95"/>
        <w:gridCol w:w="60"/>
        <w:gridCol w:w="162"/>
        <w:gridCol w:w="1139"/>
        <w:gridCol w:w="76"/>
      </w:tblGrid>
      <w:tr>
        <w:trPr/>
        <w:tc>
          <w:tcPr>
            <w:tcW w:w="4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jc w:val="center"/>
              <w:rPr/>
            </w:pPr>
            <w:r>
              <w:rPr/>
              <w:t>Amortized</w:t>
            </w:r>
          </w:p>
          <w:p>
            <w:pPr>
              <w:pStyle w:val="TableContents"/>
              <w:bidi w:val="0"/>
              <w:spacing w:before="0" w:after="283"/>
              <w:jc w:val="center"/>
              <w:rPr/>
            </w:pPr>
            <w:r>
              <w:rPr/>
              <w:t>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Gross</w:t>
            </w:r>
          </w:p>
          <w:p>
            <w:pPr>
              <w:pStyle w:val="TableContents"/>
              <w:bidi w:val="0"/>
              <w:jc w:val="center"/>
              <w:rPr/>
            </w:pPr>
            <w:r>
              <w:rPr/>
              <w:t>Unrealized</w:t>
            </w:r>
          </w:p>
          <w:p>
            <w:pPr>
              <w:pStyle w:val="TableContents"/>
              <w:bidi w:val="0"/>
              <w:spacing w:before="0" w:after="283"/>
              <w:jc w:val="center"/>
              <w:rPr/>
            </w:pPr>
            <w:r>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center"/>
          </w:tcPr>
          <w:p>
            <w:pPr>
              <w:pStyle w:val="TableContents"/>
              <w:bidi w:val="0"/>
              <w:jc w:val="center"/>
              <w:rPr/>
            </w:pPr>
            <w:r>
              <w:rPr/>
              <w:t>Estimated Fair</w:t>
            </w:r>
          </w:p>
          <w:p>
            <w:pPr>
              <w:pStyle w:val="TableContents"/>
              <w:bidi w:val="0"/>
              <w:spacing w:before="0" w:after="283"/>
              <w:jc w:val="center"/>
              <w:rPr/>
            </w:pPr>
            <w:r>
              <w:rPr/>
              <w:t>Value</w:t>
            </w:r>
          </w:p>
        </w:tc>
        <w:tc>
          <w:tcPr>
            <w:tcW w:w="76" w:type="dxa"/>
            <w:tcBorders/>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u w:val="single"/>
              </w:rPr>
            </w:pPr>
            <w:r>
              <w:rPr>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Fixed maturity securities, available for sale,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U.S. Treasury securities and obligations of U.S. Government agencies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83" w:name="xdx_986_eus-gaap--AvailableForSaleDebtSe"/>
            <w:bookmarkEnd w:id="1583"/>
          </w:p>
        </w:tc>
        <w:tc>
          <w:tcPr>
            <w:tcW w:w="1055" w:type="dxa"/>
            <w:tcBorders/>
            <w:shd w:fill="CCEEFF" w:val="clear"/>
            <w:vAlign w:val="center"/>
          </w:tcPr>
          <w:p>
            <w:pPr>
              <w:pStyle w:val="TableContents"/>
              <w:bidi w:val="0"/>
              <w:spacing w:before="0" w:after="283"/>
              <w:jc w:val="right"/>
              <w:rPr/>
            </w:pPr>
            <w:r>
              <w:rPr/>
              <w:t>152,738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84" w:name="xdx_983_eus-gaap--AvailableForSaleDebtSe"/>
            <w:bookmarkEnd w:id="1584"/>
          </w:p>
        </w:tc>
        <w:tc>
          <w:tcPr>
            <w:tcW w:w="980" w:type="dxa"/>
            <w:tcBorders/>
            <w:shd w:fill="CCEEFF" w:val="clear"/>
            <w:vAlign w:val="center"/>
          </w:tcPr>
          <w:p>
            <w:pPr>
              <w:pStyle w:val="TableContents"/>
              <w:bidi w:val="0"/>
              <w:spacing w:before="0" w:after="283"/>
              <w:jc w:val="right"/>
              <w:rPr/>
            </w:pPr>
            <w:r>
              <w:rPr/>
              <w:t>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bookmarkStart w:id="1585" w:name="xdx_981_eus-gaap--AvailableForSaleDebtSe"/>
            <w:bookmarkEnd w:id="1585"/>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bookmarkStart w:id="1586" w:name="xdx_98A_eus-gaap--AvailableForSaleSecuri"/>
            <w:bookmarkEnd w:id="1586"/>
          </w:p>
        </w:tc>
        <w:tc>
          <w:tcPr>
            <w:tcW w:w="1139" w:type="dxa"/>
            <w:tcBorders/>
            <w:shd w:fill="CCEEFF" w:val="clear"/>
            <w:vAlign w:val="center"/>
          </w:tcPr>
          <w:p>
            <w:pPr>
              <w:pStyle w:val="TableContents"/>
              <w:bidi w:val="0"/>
              <w:spacing w:before="0" w:after="283"/>
              <w:jc w:val="right"/>
              <w:rPr/>
            </w:pPr>
            <w:r>
              <w:rPr/>
              <w:t>153,580</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87" w:name="xdx_989_eus-gaap--AvailableForSaleDebtSe"/>
            <w:bookmarkEnd w:id="1587"/>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121,423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88" w:name="xdx_98E_eus-gaap--AvailableForSaleDebtSe"/>
            <w:bookmarkEnd w:id="158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89" w:name="xdx_983_eus-gaap--AvailableForSaleDebtSe"/>
            <w:bookmarkEnd w:id="1589"/>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90" w:name="xdx_986_eus-gaap--AvailableForSaleSecuri"/>
            <w:bookmarkEnd w:id="1590"/>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118,432</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Total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91" w:name="xdx_988_eus-gaap--AvailableForSaleDebtSe"/>
            <w:bookmarkEnd w:id="159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274,161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92" w:name="xdx_98B_eus-gaap--AvailableForSaleDebtSe"/>
            <w:bookmarkEnd w:id="159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93" w:name="xdx_980_eus-gaap--AvailableForSaleDebtSe"/>
            <w:bookmarkEnd w:id="1593"/>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94" w:name="xdx_985_eus-gaap--AvailableForSaleSecuri"/>
            <w:bookmarkEnd w:id="1594"/>
          </w:p>
        </w:tc>
        <w:tc>
          <w:tcPr>
            <w:tcW w:w="1139" w:type="dxa"/>
            <w:tcBorders>
              <w:bottom w:val="double" w:sz="6" w:space="0" w:color="000000"/>
            </w:tcBorders>
            <w:shd w:fill="CCEEFF" w:val="clear"/>
            <w:tcMar>
              <w:bottom w:w="28" w:type="dxa"/>
            </w:tcMar>
            <w:vAlign w:val="center"/>
          </w:tcPr>
          <w:p>
            <w:pPr>
              <w:pStyle w:val="TableContents"/>
              <w:bidi w:val="0"/>
              <w:spacing w:before="0" w:after="283"/>
              <w:jc w:val="right"/>
              <w:rPr/>
            </w:pPr>
            <w:r>
              <w:rPr/>
              <w:t>272,012</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Equity securities at estimated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Industrial, miscellaneous and all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95" w:name="xdx_98B_eus-gaap--EquitySecuritiesFvNiCo"/>
            <w:bookmarkEnd w:id="159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4,835,663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96" w:name="xdx_982_eus-gaap--EquitySecuritiesFvNiUn"/>
            <w:bookmarkEnd w:id="159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1,637,554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97" w:name="xdx_98E_eus-gaap--EquitySecuritiesFvNiUn"/>
            <w:bookmarkEnd w:id="1597"/>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(169,485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598" w:name="xdx_98B_eus-gaap--EquitySecuritiesFvNi_i"/>
            <w:bookmarkEnd w:id="1598"/>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pPr>
            <w:r>
              <w:rPr/>
              <w:t>6,303,732</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Total equity securities at estimated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99" w:name="xdx_981_eus-gaap--EquitySecuritiesFvNiCo"/>
            <w:bookmarkEnd w:id="1599"/>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4,835,663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600" w:name="xdx_986_eus-gaap--EquitySecuritiesFvNiUn"/>
            <w:bookmarkEnd w:id="160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1,637,554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601" w:name="xdx_980_eus-gaap--EquitySecuritiesFvNiUn"/>
            <w:bookmarkEnd w:id="1601"/>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(169,485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602" w:name="xdx_987_eus-gaap--EquitySecuritiesFvNi_i"/>
            <w:bookmarkEnd w:id="1602"/>
          </w:p>
        </w:tc>
        <w:tc>
          <w:tcPr>
            <w:tcW w:w="1139" w:type="dxa"/>
            <w:tcBorders>
              <w:bottom w:val="double" w:sz="6" w:space="0" w:color="000000"/>
            </w:tcBorders>
            <w:shd w:fill="FFFFFF" w:val="clear"/>
            <w:tcMar>
              <w:bottom w:w="28" w:type="dxa"/>
            </w:tcMar>
            <w:vAlign w:val="center"/>
          </w:tcPr>
          <w:p>
            <w:pPr>
              <w:pStyle w:val="TableContents"/>
              <w:bidi w:val="0"/>
              <w:spacing w:before="0" w:after="283"/>
              <w:jc w:val="right"/>
              <w:rPr/>
            </w:pPr>
            <w:r>
              <w:rPr/>
              <w:t>6,303,732</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Mortgage loans held for investment at amortized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Residential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603" w:name="xdx_988_eus-gaap--NotesReceivableGross_i"/>
            <w:bookmarkEnd w:id="1603"/>
          </w:p>
        </w:tc>
        <w:tc>
          <w:tcPr>
            <w:tcW w:w="1055" w:type="dxa"/>
            <w:tcBorders/>
            <w:shd w:fill="CCEEFF" w:val="clear"/>
            <w:vAlign w:val="center"/>
          </w:tcPr>
          <w:p>
            <w:pPr>
              <w:pStyle w:val="TableContents"/>
              <w:bidi w:val="0"/>
              <w:spacing w:before="0" w:after="283"/>
              <w:jc w:val="right"/>
              <w:rPr/>
            </w:pPr>
            <w:r>
              <w:rPr/>
              <w:t>66,342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04" w:name="xdx_983_ecustom--AggregateEstimatedFairV"/>
            <w:bookmarkEnd w:id="1604"/>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Total mortgage 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05" w:name="xdx_98E_eus-gaap--MortgageLoansOnRealEst"/>
            <w:bookmarkEnd w:id="160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06" w:name="xdx_98B_eus-gaap--CashCashEquivalentsRes"/>
            <w:bookmarkEnd w:id="160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1,935,480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07" w:name="xdx_98A_eus-gaap--OtherInvestments_iI_c2"/>
            <w:bookmarkEnd w:id="160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1,290,271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08" w:name="xdx_983_eus-gaap--AccruedInvestmentIncom"/>
            <w:bookmarkEnd w:id="160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Total cemetery perpetual care trust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09" w:name="xdx_985_ecustom--CemeteryPerpetualCareTr"/>
            <w:bookmarkEnd w:id="160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9,871,947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Cemetery perpetual care obligation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10" w:name="xdx_981_ecustom--CemeteryPerpetualCareOb"/>
            <w:bookmarkEnd w:id="161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(5,918,776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Trust investments in excess of trust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11" w:name="xdx_980_ecustom--TrustInvestmentsinExces"/>
            <w:bookmarkEnd w:id="161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3,953,171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12" w:name="xdx_8AC_zCHQCZBGsSzd"/>
      <w:bookmarkEnd w:id="16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Cemetery Perpetual Care Trust Investments and Obligation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Fixed Maturity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13" w:name="xdx_893_ecustom--ScheduleOfFairValueOfFi"/>
      <w:bookmarkEnd w:id="1613"/>
      <w:r>
        <w:rPr>
          <w:rFonts w:ascii="Times New Roman;Times;Serif" w:hAnsi="Times New Roman;Times;Serif"/>
          <w:b w:val="false"/>
          <w:i w:val="false"/>
          <w:caps w:val="false"/>
          <w:smallCaps w:val="false"/>
          <w:sz w:val="20"/>
        </w:rPr>
        <w:t>The table below summarizes unrealized losses on fixed maturity securities available for sale that were carried at estimated fair value as of June 30, 2026, and December 31, 2025. The tables set forth unrealized losses by duration with the fair value of the related fixed maturity securities:</w:t>
      </w:r>
    </w:p>
    <w:p>
      <w:pPr>
        <w:pStyle w:val="TextBody"/>
        <w:bidi w:val="0"/>
        <w:spacing w:before="0" w:after="0"/>
        <w:ind w:left="0" w:right="0" w:hanging="0"/>
        <w:jc w:val="both"/>
        <w:rPr>
          <w:caps w:val="false"/>
          <w:smallCaps w:val="false"/>
        </w:rPr>
      </w:pPr>
      <w:r>
        <w:rPr>
          <w:caps w:val="false"/>
          <w:smallCaps w:val="false"/>
        </w:rPr>
        <w:t> </w:t>
      </w:r>
      <w:bookmarkStart w:id="1614" w:name="xdx_8BA_zlydTeth5Jsb"/>
      <w:bookmarkEnd w:id="1614"/>
      <w:r>
        <w:rPr>
          <w:rFonts w:ascii="Times New Roman;Times;Serif" w:hAnsi="Times New Roman;Times;Serif"/>
          <w:b w:val="false"/>
          <w:i w:val="false"/>
          <w:caps w:val="false"/>
          <w:smallCaps w:val="false"/>
          <w:sz w:val="20"/>
        </w:rPr>
        <w:t>Schedule of Fair Value of Fixed Maturity Securities</w:t>
      </w:r>
    </w:p>
    <w:tbl>
      <w:tblPr>
        <w:tblW w:w="10205" w:type="dxa"/>
        <w:jc w:val="left"/>
        <w:tblInd w:w="0" w:type="dxa"/>
        <w:tblLayout w:type="fixed"/>
        <w:tblCellMar>
          <w:top w:w="0" w:type="dxa"/>
          <w:left w:w="0" w:type="dxa"/>
          <w:bottom w:w="0" w:type="dxa"/>
          <w:right w:w="0" w:type="dxa"/>
        </w:tblCellMar>
      </w:tblPr>
      <w:tblGrid>
        <w:gridCol w:w="3418"/>
        <w:gridCol w:w="60"/>
        <w:gridCol w:w="628"/>
        <w:gridCol w:w="427"/>
        <w:gridCol w:w="60"/>
        <w:gridCol w:w="60"/>
        <w:gridCol w:w="529"/>
        <w:gridCol w:w="360"/>
        <w:gridCol w:w="60"/>
        <w:gridCol w:w="60"/>
        <w:gridCol w:w="211"/>
        <w:gridCol w:w="844"/>
        <w:gridCol w:w="60"/>
        <w:gridCol w:w="60"/>
        <w:gridCol w:w="148"/>
        <w:gridCol w:w="849"/>
        <w:gridCol w:w="60"/>
        <w:gridCol w:w="60"/>
        <w:gridCol w:w="211"/>
        <w:gridCol w:w="844"/>
        <w:gridCol w:w="60"/>
        <w:gridCol w:w="60"/>
        <w:gridCol w:w="148"/>
        <w:gridCol w:w="849"/>
        <w:gridCol w:w="79"/>
      </w:tblGrid>
      <w:tr>
        <w:trPr/>
        <w:tc>
          <w:tcPr>
            <w:tcW w:w="34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Unrealized</w:t>
            </w:r>
          </w:p>
          <w:p>
            <w:pPr>
              <w:pStyle w:val="TableContents"/>
              <w:bidi w:val="0"/>
              <w:jc w:val="center"/>
              <w:rPr/>
            </w:pPr>
            <w:r>
              <w:rPr/>
              <w:t>Losses for</w:t>
            </w:r>
          </w:p>
          <w:p>
            <w:pPr>
              <w:pStyle w:val="TableContents"/>
              <w:bidi w:val="0"/>
              <w:jc w:val="center"/>
              <w:rPr/>
            </w:pPr>
            <w:r>
              <w:rPr/>
              <w:t>Less than</w:t>
            </w:r>
          </w:p>
          <w:p>
            <w:pPr>
              <w:pStyle w:val="TableContents"/>
              <w:bidi w:val="0"/>
              <w:jc w:val="center"/>
              <w:rPr/>
            </w:pPr>
            <w:r>
              <w:rPr/>
              <w:t>Twelve</w:t>
            </w:r>
          </w:p>
          <w:p>
            <w:pPr>
              <w:pStyle w:val="TableContents"/>
              <w:bidi w:val="0"/>
              <w:spacing w:before="0" w:after="283"/>
              <w:jc w:val="center"/>
              <w:rPr/>
            </w:pPr>
            <w:r>
              <w:rPr/>
              <w:t>Months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Unrealized</w:t>
            </w:r>
          </w:p>
          <w:p>
            <w:pPr>
              <w:pStyle w:val="TableContents"/>
              <w:bidi w:val="0"/>
              <w:jc w:val="center"/>
              <w:rPr/>
            </w:pPr>
            <w:r>
              <w:rPr/>
              <w:t>Losses for</w:t>
            </w:r>
          </w:p>
          <w:p>
            <w:pPr>
              <w:pStyle w:val="TableContents"/>
              <w:bidi w:val="0"/>
              <w:jc w:val="center"/>
              <w:rPr/>
            </w:pPr>
            <w:r>
              <w:rPr/>
              <w:t>More than</w:t>
            </w:r>
          </w:p>
          <w:p>
            <w:pPr>
              <w:pStyle w:val="TableContents"/>
              <w:bidi w:val="0"/>
              <w:jc w:val="center"/>
              <w:rPr/>
            </w:pPr>
            <w:r>
              <w:rPr/>
              <w:t>Twelve</w:t>
            </w:r>
          </w:p>
          <w:p>
            <w:pPr>
              <w:pStyle w:val="TableContents"/>
              <w:bidi w:val="0"/>
              <w:spacing w:before="0" w:after="283"/>
              <w:jc w:val="center"/>
              <w:rPr/>
            </w:pPr>
            <w:r>
              <w:rPr/>
              <w:t>Months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jc w:val="center"/>
              <w:rPr/>
            </w:pPr>
            <w:r>
              <w:rPr/>
              <w:t>Unrealized</w:t>
            </w:r>
          </w:p>
          <w:p>
            <w:pPr>
              <w:pStyle w:val="TableContents"/>
              <w:bidi w:val="0"/>
              <w:spacing w:before="0" w:after="283"/>
              <w:jc w:val="center"/>
              <w:rPr/>
            </w:pPr>
            <w:r>
              <w:rPr/>
              <w:t>Loss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79" w:type="dxa"/>
            <w:tcBorders/>
            <w:vAlign w:val="center"/>
          </w:tcPr>
          <w:p>
            <w:pPr>
              <w:pStyle w:val="TableContents"/>
              <w:bidi w:val="0"/>
              <w:spacing w:before="0" w:after="283"/>
              <w:jc w:val="center"/>
              <w:rPr/>
            </w:pPr>
            <w:r>
              <w:rPr/>
              <w:t> </w:t>
            </w:r>
          </w:p>
        </w:tc>
      </w:tr>
      <w:tr>
        <w:trPr/>
        <w:tc>
          <w:tcPr>
            <w:tcW w:w="3418" w:type="dxa"/>
            <w:tcBorders/>
            <w:shd w:fill="CCEEFF" w:val="clear"/>
            <w:vAlign w:val="center"/>
          </w:tcPr>
          <w:p>
            <w:pPr>
              <w:pStyle w:val="TableContents"/>
              <w:bidi w:val="0"/>
              <w:spacing w:before="0" w:after="283"/>
              <w:jc w:val="left"/>
              <w:rPr>
                <w:u w:val="single"/>
              </w:rPr>
            </w:pPr>
            <w:r>
              <w:rPr>
                <w:u w:val="single"/>
              </w:rPr>
              <w:t>June 30, 2026</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15" w:name="xdx_986_eus-gaap--DebtSecuritiesAvailabl"/>
            <w:bookmarkEnd w:id="1615"/>
          </w:p>
        </w:tc>
        <w:tc>
          <w:tcPr>
            <w:tcW w:w="4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16" w:name="xdx_983_eus-gaap--DebtSecuritiesAvailabl"/>
            <w:bookmarkEnd w:id="1616"/>
          </w:p>
        </w:tc>
        <w:tc>
          <w:tcPr>
            <w:tcW w:w="3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17" w:name="xdx_98F_eus-gaap--DebtSecuritiesAvailabl"/>
            <w:bookmarkEnd w:id="1617"/>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1,468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18" w:name="xdx_98F_eus-gaap--DebtSecuritiesAvailabl"/>
            <w:bookmarkEnd w:id="1618"/>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117,203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19" w:name="xdx_988_eus-gaap--DebtSecuritiesAvailabl"/>
            <w:bookmarkEnd w:id="1619"/>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1,468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20" w:name="xdx_983_eus-gaap--DebtSecuritiesAvailabl"/>
            <w:bookmarkEnd w:id="1620"/>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117,203</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Totals</w:t>
            </w:r>
          </w:p>
        </w:tc>
        <w:tc>
          <w:tcPr>
            <w:tcW w:w="60" w:type="dxa"/>
            <w:tcBorders/>
            <w:shd w:fill="CCEEFF" w:val="clear"/>
            <w:vAlign w:val="center"/>
          </w:tcPr>
          <w:p>
            <w:pPr>
              <w:pStyle w:val="TableContents"/>
              <w:bidi w:val="0"/>
              <w:spacing w:before="0" w:after="283"/>
              <w:jc w:val="left"/>
              <w:rPr/>
            </w:pPr>
            <w:r>
              <w:rPr/>
              <w:t> </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1" w:name="xdx_983_eus-gaap--DebtSecuritiesAvailabl"/>
            <w:bookmarkEnd w:id="1621"/>
          </w:p>
        </w:tc>
        <w:tc>
          <w:tcPr>
            <w:tcW w:w="4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2" w:name="xdx_982_eus-gaap--DebtSecuritiesAvailabl"/>
            <w:bookmarkEnd w:id="1622"/>
          </w:p>
        </w:tc>
        <w:tc>
          <w:tcPr>
            <w:tcW w:w="3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3" w:name="xdx_987_eus-gaap--DebtSecuritiesAvailabl"/>
            <w:bookmarkEnd w:id="1623"/>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4" w:name="xdx_989_eus-gaap--DebtSecuritiesAvailabl"/>
            <w:bookmarkEnd w:id="1624"/>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117,203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5" w:name="xdx_987_eus-gaap--DebtSecuritiesAvailabl"/>
            <w:bookmarkEnd w:id="1625"/>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26" w:name="xdx_98C_eus-gaap--DebtSecuritiesAvailabl"/>
            <w:bookmarkEnd w:id="1626"/>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117,203</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u w:val="single"/>
              </w:rPr>
            </w:pPr>
            <w:r>
              <w:rPr>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418" w:type="dxa"/>
            <w:tcBorders/>
            <w:shd w:fill="FFFFFF" w:val="clear"/>
            <w:vAlign w:val="center"/>
          </w:tcPr>
          <w:p>
            <w:pPr>
              <w:pStyle w:val="TableContents"/>
              <w:bidi w:val="0"/>
              <w:spacing w:before="0" w:after="283"/>
              <w:jc w:val="left"/>
              <w:rPr/>
            </w:pPr>
            <w:r>
              <w:rPr/>
              <w:t>Obligations of states and political subdivisions</w:t>
            </w:r>
          </w:p>
        </w:tc>
        <w:tc>
          <w:tcPr>
            <w:tcW w:w="60" w:type="dxa"/>
            <w:tcBorders/>
            <w:shd w:fill="FFFFFF" w:val="cle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27" w:name="xdx_982_eus-gaap--DebtSecuritiesAvailabl"/>
            <w:bookmarkEnd w:id="1627"/>
          </w:p>
        </w:tc>
        <w:tc>
          <w:tcPr>
            <w:tcW w:w="4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28" w:name="xdx_98A_eus-gaap--DebtSecuritiesAvailabl"/>
            <w:bookmarkEnd w:id="1628"/>
          </w:p>
        </w:tc>
        <w:tc>
          <w:tcPr>
            <w:tcW w:w="3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29" w:name="xdx_982_eus-gaap--DebtSecuritiesAvailabl"/>
            <w:bookmarkEnd w:id="1629"/>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2,991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30" w:name="xdx_98B_eus-gaap--DebtSecuritiesAvailabl"/>
            <w:bookmarkEnd w:id="1630"/>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118,432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31" w:name="xdx_987_eus-gaap--DebtSecuritiesAvailabl"/>
            <w:bookmarkEnd w:id="1631"/>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pPr>
            <w:r>
              <w:rPr/>
              <w:t>2,991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632" w:name="xdx_984_eus-gaap--DebtSecuritiesAvailabl"/>
            <w:bookmarkEnd w:id="1632"/>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118,432</w:t>
            </w:r>
          </w:p>
        </w:tc>
        <w:tc>
          <w:tcPr>
            <w:tcW w:w="79" w:type="dxa"/>
            <w:tcBorders/>
            <w:shd w:fill="FFFFFF" w:val="clear"/>
            <w:vAlign w:val="center"/>
          </w:tcPr>
          <w:p>
            <w:pPr>
              <w:pStyle w:val="TableContents"/>
              <w:bidi w:val="0"/>
              <w:spacing w:before="0" w:after="283"/>
              <w:jc w:val="left"/>
              <w:rPr/>
            </w:pPr>
            <w:r>
              <w:rPr/>
              <w:t> </w:t>
            </w:r>
          </w:p>
        </w:tc>
      </w:tr>
      <w:tr>
        <w:trPr/>
        <w:tc>
          <w:tcPr>
            <w:tcW w:w="3418" w:type="dxa"/>
            <w:tcBorders/>
            <w:shd w:fill="CCEEFF" w:val="clear"/>
            <w:vAlign w:val="center"/>
          </w:tcPr>
          <w:p>
            <w:pPr>
              <w:pStyle w:val="TableContents"/>
              <w:bidi w:val="0"/>
              <w:spacing w:before="0" w:after="283"/>
              <w:jc w:val="left"/>
              <w:rPr/>
            </w:pPr>
            <w:r>
              <w:rPr/>
              <w:t>Totals</w:t>
            </w:r>
          </w:p>
        </w:tc>
        <w:tc>
          <w:tcPr>
            <w:tcW w:w="60" w:type="dxa"/>
            <w:tcBorders/>
            <w:shd w:fill="CCEEFF" w:val="clear"/>
            <w:vAlign w:val="center"/>
          </w:tcPr>
          <w:p>
            <w:pPr>
              <w:pStyle w:val="TableContents"/>
              <w:bidi w:val="0"/>
              <w:spacing w:before="0" w:after="283"/>
              <w:jc w:val="left"/>
              <w:rPr/>
            </w:pPr>
            <w:r>
              <w:rPr/>
              <w:t> </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3" w:name="xdx_98D_eus-gaap--DebtSecuritiesAvailabl"/>
            <w:bookmarkEnd w:id="1633"/>
          </w:p>
        </w:tc>
        <w:tc>
          <w:tcPr>
            <w:tcW w:w="4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4" w:name="xdx_987_eus-gaap--DebtSecuritiesAvailabl"/>
            <w:bookmarkEnd w:id="1634"/>
          </w:p>
        </w:tc>
        <w:tc>
          <w:tcPr>
            <w:tcW w:w="3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5" w:name="xdx_98B_eus-gaap--DebtSecuritiesAvailabl"/>
            <w:bookmarkEnd w:id="1635"/>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6" w:name="xdx_984_eus-gaap--DebtSecuritiesAvailabl"/>
            <w:bookmarkEnd w:id="1636"/>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118,432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7" w:name="xdx_980_eus-gaap--DebtSecuritiesAvailabl"/>
            <w:bookmarkEnd w:id="1637"/>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38" w:name="xdx_985_eus-gaap--DebtSecuritiesAvailabl"/>
            <w:bookmarkEnd w:id="1638"/>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pPr>
            <w:r>
              <w:rPr/>
              <w:t>118,432</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39" w:name="xdx_8A1_zkMivhRxEDm"/>
      <w:bookmarkEnd w:id="16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Relevant holdings were comprised of two securities with fair values aggregating </w:t>
      </w:r>
      <w:bookmarkStart w:id="1640" w:name="xdx_90D_ecustom--AverageMarketValueOverA"/>
      <w:bookmarkEnd w:id="1640"/>
      <w:r>
        <w:rPr>
          <w:rFonts w:ascii="Times New Roman;Times;Serif" w:hAnsi="Times New Roman;Times;Serif"/>
          <w:b w:val="false"/>
          <w:i w:val="false"/>
          <w:caps w:val="false"/>
          <w:smallCaps w:val="false"/>
          <w:sz w:val="20"/>
        </w:rPr>
        <w:t xml:space="preserve">98.8% of the aggregate amortized cost as of June 30, 2026. Relevant holdings were comprised of two securities with fair values aggregating </w:t>
      </w:r>
      <w:bookmarkStart w:id="1641" w:name="xdx_903_ecustom--AverageMarketValueOverA"/>
      <w:bookmarkEnd w:id="1641"/>
      <w:r>
        <w:rPr>
          <w:rFonts w:ascii="Times New Roman;Times;Serif" w:hAnsi="Times New Roman;Times;Serif"/>
          <w:b w:val="false"/>
          <w:i w:val="false"/>
          <w:caps w:val="false"/>
          <w:smallCaps w:val="false"/>
          <w:sz w:val="20"/>
        </w:rPr>
        <w:t>97.5% of aggregate amortized cost as of December 31, 2025. No credit losses have been recognized for the three and six month periods ended June 30, 2026, and 2025, since the unrealized losses are primarily the result of increases in interest rates. See Note 2 for additional information regarding the Company’s evaluation of the allowance for credit losses for fixed maturity securities available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42" w:name="xdx_894_eus-gaap--InvestmentsClassifiedB"/>
      <w:bookmarkEnd w:id="1642"/>
      <w:r>
        <w:rPr>
          <w:rFonts w:ascii="Times New Roman;Times;Serif" w:hAnsi="Times New Roman;Times;Serif"/>
          <w:b w:val="false"/>
          <w:i w:val="false"/>
          <w:caps w:val="false"/>
          <w:smallCaps w:val="false"/>
          <w:sz w:val="20"/>
        </w:rPr>
        <w:t>The table below presents the amortized cost and estimated fair value of fixed maturity securities available for sale as of June 30, 2026, by contractual maturity. Actual or expected maturities may differ from contractual maturities because certain securities afford the issuer the right to call or prepay their obligations.</w:t>
      </w:r>
    </w:p>
    <w:p>
      <w:pPr>
        <w:pStyle w:val="TextBody"/>
        <w:bidi w:val="0"/>
        <w:spacing w:before="0" w:after="0"/>
        <w:ind w:left="0" w:right="0" w:hanging="0"/>
        <w:jc w:val="both"/>
        <w:rPr>
          <w:caps w:val="false"/>
          <w:smallCaps w:val="false"/>
        </w:rPr>
      </w:pPr>
      <w:r>
        <w:rPr>
          <w:caps w:val="false"/>
          <w:smallCaps w:val="false"/>
        </w:rPr>
        <w:t> </w:t>
      </w:r>
      <w:bookmarkStart w:id="1643" w:name="xdx_8B4_zfy4YzwYFYb9"/>
      <w:bookmarkEnd w:id="1643"/>
      <w:r>
        <w:rPr>
          <w:rFonts w:ascii="Times New Roman;Times;Serif" w:hAnsi="Times New Roman;Times;Serif"/>
          <w:b w:val="false"/>
          <w:i w:val="false"/>
          <w:caps w:val="false"/>
          <w:smallCaps w:val="false"/>
          <w:sz w:val="20"/>
        </w:rPr>
        <w:t>Schedule of Investments Classified by Contractual Maturity Date</w:t>
      </w:r>
    </w:p>
    <w:tbl>
      <w:tblPr>
        <w:tblW w:w="5204" w:type="dxa"/>
        <w:jc w:val="left"/>
        <w:tblInd w:w="0" w:type="dxa"/>
        <w:tblLayout w:type="fixed"/>
        <w:tblCellMar>
          <w:top w:w="0" w:type="dxa"/>
          <w:left w:w="0" w:type="dxa"/>
          <w:bottom w:w="0" w:type="dxa"/>
          <w:right w:w="0" w:type="dxa"/>
        </w:tblCellMar>
      </w:tblPr>
      <w:tblGrid>
        <w:gridCol w:w="2540"/>
        <w:gridCol w:w="60"/>
        <w:gridCol w:w="152"/>
        <w:gridCol w:w="873"/>
        <w:gridCol w:w="60"/>
        <w:gridCol w:w="60"/>
        <w:gridCol w:w="205"/>
        <w:gridCol w:w="1179"/>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Estimated Fair</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pPr>
            <w:r>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Due in 1 year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bookmarkStart w:id="1644" w:name="xdx_986_eus-gaap--AvailableForSaleDebtSe"/>
            <w:bookmarkEnd w:id="1644"/>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bookmarkStart w:id="1645" w:name="xdx_985_eus-gaap--AvailableForSaleSecuri"/>
            <w:bookmarkEnd w:id="1645"/>
          </w:p>
        </w:tc>
        <w:tc>
          <w:tcPr>
            <w:tcW w:w="11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Due in 2-5 years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1646" w:name="xdx_98D_eus-gaap--AvailableForSaleDebtSe"/>
            <w:bookmarkEnd w:id="1646"/>
          </w:p>
        </w:tc>
        <w:tc>
          <w:tcPr>
            <w:tcW w:w="873" w:type="dxa"/>
            <w:tcBorders/>
            <w:shd w:fill="FFFFFF" w:val="clear"/>
            <w:vAlign w:val="center"/>
          </w:tcPr>
          <w:p>
            <w:pPr>
              <w:pStyle w:val="TableContents"/>
              <w:bidi w:val="0"/>
              <w:spacing w:before="0" w:after="283"/>
              <w:jc w:val="right"/>
              <w:rPr/>
            </w:pPr>
            <w:r>
              <w:rPr/>
              <w:t>68,233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1647" w:name="xdx_989_eus-gaap--AvailableForSaleSecuri"/>
            <w:bookmarkEnd w:id="1647"/>
          </w:p>
        </w:tc>
        <w:tc>
          <w:tcPr>
            <w:tcW w:w="1179" w:type="dxa"/>
            <w:tcBorders/>
            <w:shd w:fill="FFFFFF" w:val="clear"/>
            <w:vAlign w:val="center"/>
          </w:tcPr>
          <w:p>
            <w:pPr>
              <w:pStyle w:val="TableContents"/>
              <w:bidi w:val="0"/>
              <w:spacing w:before="0" w:after="283"/>
              <w:jc w:val="right"/>
              <w:rPr/>
            </w:pPr>
            <w:r>
              <w:rPr/>
              <w:t>66,839</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Due in 5-10 years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1648" w:name="xdx_988_eus-gaap--AvailableForSaleDebtSe"/>
            <w:bookmarkEnd w:id="1648"/>
          </w:p>
        </w:tc>
        <w:tc>
          <w:tcPr>
            <w:tcW w:w="873" w:type="dxa"/>
            <w:tcBorders/>
            <w:shd w:fill="CCEEFF" w:val="clear"/>
            <w:vAlign w:val="center"/>
          </w:tcPr>
          <w:p>
            <w:pPr>
              <w:pStyle w:val="TableContents"/>
              <w:bidi w:val="0"/>
              <w:spacing w:before="0" w:after="283"/>
              <w:jc w:val="right"/>
              <w:rPr/>
            </w:pPr>
            <w:r>
              <w:rPr/>
              <w:t>50,438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bookmarkStart w:id="1649" w:name="xdx_980_eus-gaap--AvailableForSaleSecuri"/>
            <w:bookmarkEnd w:id="1649"/>
          </w:p>
        </w:tc>
        <w:tc>
          <w:tcPr>
            <w:tcW w:w="1179" w:type="dxa"/>
            <w:tcBorders/>
            <w:shd w:fill="CCEEFF" w:val="clear"/>
            <w:vAlign w:val="center"/>
          </w:tcPr>
          <w:p>
            <w:pPr>
              <w:pStyle w:val="TableContents"/>
              <w:bidi w:val="0"/>
              <w:spacing w:before="0" w:after="283"/>
              <w:jc w:val="right"/>
              <w:rPr/>
            </w:pPr>
            <w:r>
              <w:rPr/>
              <w:t>50,364</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Due in more than 10 years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50" w:name="xdx_989_eus-gaap--AvailableForSaleDebtSe"/>
            <w:bookmarkEnd w:id="1650"/>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51" w:name="xdx_98B_eus-gaap--AvailableForSaleSecuri"/>
            <w:bookmarkEnd w:id="1651"/>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52" w:name="xdx_98B_eus-gaap--AvailableForSaleDebtSe"/>
            <w:bookmarkEnd w:id="1652"/>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t>118,671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53" w:name="xdx_981_eus-gaap--AvailableForSaleSecuri"/>
            <w:bookmarkEnd w:id="1653"/>
          </w:p>
        </w:tc>
        <w:tc>
          <w:tcPr>
            <w:tcW w:w="1179" w:type="dxa"/>
            <w:tcBorders>
              <w:bottom w:val="double" w:sz="6" w:space="0" w:color="000000"/>
            </w:tcBorders>
            <w:shd w:fill="CCEEFF" w:val="clear"/>
            <w:tcMar>
              <w:bottom w:w="28" w:type="dxa"/>
            </w:tcMar>
            <w:vAlign w:val="center"/>
          </w:tcPr>
          <w:p>
            <w:pPr>
              <w:pStyle w:val="TableContents"/>
              <w:bidi w:val="0"/>
              <w:spacing w:before="0" w:after="283"/>
              <w:jc w:val="right"/>
              <w:rPr/>
            </w:pPr>
            <w:r>
              <w:rPr/>
              <w:t>117,203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54" w:name="xdx_8A7_zT3tUpN0TKy8"/>
      <w:bookmarkEnd w:id="16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2 and 17 for additional information regarding cemetery perpetual care trust investments.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55" w:name="xdx_800_eus-gaap--IntangibleAssetsDisclo"/>
      <w:bookmarkEnd w:id="1655"/>
      <w:r>
        <w:rPr>
          <w:rFonts w:ascii="Times New Roman;Times;Serif" w:hAnsi="Times New Roman;Times;Serif"/>
          <w:b w:val="false"/>
          <w:i w:val="false"/>
          <w:caps w:val="false"/>
          <w:smallCaps w:val="false"/>
          <w:sz w:val="20"/>
        </w:rPr>
        <w:t xml:space="preserve">7) </w:t>
      </w:r>
      <w:bookmarkStart w:id="1656" w:name="xdx_824_zKODG6tryO1d"/>
      <w:bookmarkStart w:id="1657" w:name="sp_002"/>
      <w:bookmarkEnd w:id="1656"/>
      <w:bookmarkEnd w:id="1657"/>
      <w:r>
        <w:rPr>
          <w:rFonts w:ascii="Times New Roman;Times;Serif" w:hAnsi="Times New Roman;Times;Serif"/>
          <w:b w:val="false"/>
          <w:i w:val="false"/>
          <w:caps w:val="false"/>
          <w:smallCaps w:val="false"/>
          <w:sz w:val="20"/>
          <w:u w:val="single"/>
        </w:rPr>
        <w:t>Mortgage Servicing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records its MSRs at fair value. After being initially recorded at fair value, MSRs backed by mortgage loans are accounted for using the amortization method. Amortization expenses are included in other expenses on the condensed consolidated statements of earnings. MSR amortization is determined by amortizing the MSR balance in proportion to, and over the period of, the estimated future net servicing income of the underlying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assesses MSRs for impairment. Impairment occurs when the current fair value of the MSR falls below the carrying value (carrying value is the amortized cost reduced by any related valuation allowance). If MSRs are impaired, the impairment is recognized in current-period earnings and the carrying value of the MSRs is adjusted through a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58" w:name="xdx_896_ecustom--ScheduleOfMortgageServi"/>
      <w:bookmarkEnd w:id="1658"/>
      <w:r>
        <w:rPr>
          <w:rFonts w:ascii="Times New Roman;Times;Serif" w:hAnsi="Times New Roman;Times;Serif"/>
          <w:b w:val="false"/>
          <w:i w:val="false"/>
          <w:caps w:val="false"/>
          <w:smallCaps w:val="false"/>
          <w:sz w:val="20"/>
        </w:rPr>
        <w:t>The following table presents the MSR activity:</w:t>
      </w:r>
    </w:p>
    <w:p>
      <w:pPr>
        <w:pStyle w:val="TextBody"/>
        <w:bidi w:val="0"/>
        <w:spacing w:before="0" w:after="0"/>
        <w:ind w:left="0" w:right="0" w:hanging="0"/>
        <w:jc w:val="both"/>
        <w:rPr>
          <w:caps w:val="false"/>
          <w:smallCaps w:val="false"/>
        </w:rPr>
      </w:pPr>
      <w:r>
        <w:rPr>
          <w:caps w:val="false"/>
          <w:smallCaps w:val="false"/>
        </w:rPr>
        <w:t> </w:t>
      </w:r>
      <w:bookmarkStart w:id="1659" w:name="xdx_8BA_zzoPV9allFzb"/>
      <w:bookmarkEnd w:id="1659"/>
      <w:r>
        <w:rPr>
          <w:rFonts w:ascii="Times New Roman;Times;Serif" w:hAnsi="Times New Roman;Times;Serif"/>
          <w:b w:val="false"/>
          <w:i w:val="false"/>
          <w:caps w:val="false"/>
          <w:smallCaps w:val="false"/>
          <w:sz w:val="20"/>
        </w:rPr>
        <w:t>Schedule of Mortgage Servicing Rights</w:t>
      </w:r>
    </w:p>
    <w:tbl>
      <w:tblPr>
        <w:tblW w:w="10205" w:type="dxa"/>
        <w:jc w:val="left"/>
        <w:tblInd w:w="0" w:type="dxa"/>
        <w:tblLayout w:type="fixed"/>
        <w:tblCellMar>
          <w:top w:w="0" w:type="dxa"/>
          <w:left w:w="0" w:type="dxa"/>
          <w:bottom w:w="0" w:type="dxa"/>
          <w:right w:w="0" w:type="dxa"/>
        </w:tblCellMar>
      </w:tblPr>
      <w:tblGrid>
        <w:gridCol w:w="6907"/>
        <w:gridCol w:w="60"/>
        <w:gridCol w:w="161"/>
        <w:gridCol w:w="1129"/>
        <w:gridCol w:w="95"/>
        <w:gridCol w:w="60"/>
        <w:gridCol w:w="209"/>
        <w:gridCol w:w="1472"/>
        <w:gridCol w:w="112"/>
      </w:tblGrid>
      <w:tr>
        <w:trPr/>
        <w:tc>
          <w:tcPr>
            <w:tcW w:w="6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0" w:name="xdx_49F_20260101__20260630_zUA3IJySgQ98"/>
            <w:bookmarkEnd w:id="1660"/>
          </w:p>
        </w:tc>
        <w:tc>
          <w:tcPr>
            <w:tcW w:w="1290"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1" w:name="xdx_49F_20250101__20251231_z9N21R1sA9Qa"/>
            <w:bookmarkEnd w:id="1661"/>
          </w:p>
        </w:tc>
        <w:tc>
          <w:tcPr>
            <w:tcW w:w="1681"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2025</w:t>
            </w:r>
          </w:p>
        </w:tc>
        <w:tc>
          <w:tcPr>
            <w:tcW w:w="112" w:type="dxa"/>
            <w:tcBorders/>
            <w:vAlign w:val="center"/>
          </w:tcPr>
          <w:p>
            <w:pPr>
              <w:pStyle w:val="TableContents"/>
              <w:bidi w:val="0"/>
              <w:spacing w:before="0" w:after="283"/>
              <w:jc w:val="left"/>
              <w:rPr/>
            </w:pPr>
            <w:r>
              <w:rPr/>
              <w:t> </w:t>
            </w:r>
          </w:p>
        </w:tc>
      </w:tr>
      <w:tr>
        <w:trPr/>
        <w:tc>
          <w:tcPr>
            <w:tcW w:w="6907" w:type="dxa"/>
            <w:tcBorders/>
            <w:shd w:fill="CCEEFF" w:val="clear"/>
            <w:vAlign w:val="center"/>
          </w:tcPr>
          <w:p>
            <w:pPr>
              <w:pStyle w:val="TableContents"/>
              <w:bidi w:val="0"/>
              <w:spacing w:before="0" w:after="283"/>
              <w:jc w:val="left"/>
              <w:rPr/>
            </w:pPr>
            <w:r>
              <w:rPr/>
              <w:t>Amortized cost: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62" w:name="xdx_403_eus-gaap--ServicingAssetAtAmorti"/>
            <w:bookmarkEnd w:id="1662"/>
          </w:p>
        </w:tc>
      </w:tr>
      <w:tr>
        <w:trPr/>
        <w:tc>
          <w:tcPr>
            <w:tcW w:w="6907" w:type="dxa"/>
            <w:tcBorders/>
            <w:shd w:fill="FFFFFF" w:val="clear"/>
            <w:vAlign w:val="center"/>
          </w:tcPr>
          <w:p>
            <w:pPr>
              <w:pStyle w:val="TableContents"/>
              <w:bidi w:val="0"/>
              <w:spacing w:before="0" w:after="283"/>
              <w:jc w:val="left"/>
              <w:rPr/>
            </w:pPr>
            <w:r>
              <w:rPr/>
              <w:t>Balance before valuation allowance at beginning of year</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2,528,459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472" w:type="dxa"/>
            <w:tcBorders/>
            <w:shd w:fill="FFFFFF" w:val="clear"/>
            <w:vAlign w:val="center"/>
          </w:tcPr>
          <w:p>
            <w:pPr>
              <w:pStyle w:val="TableContents"/>
              <w:bidi w:val="0"/>
              <w:spacing w:before="0" w:after="283"/>
              <w:jc w:val="right"/>
              <w:rPr/>
            </w:pPr>
            <w:r>
              <w:rPr/>
              <w:t>2,939,878</w:t>
            </w:r>
          </w:p>
        </w:tc>
        <w:tc>
          <w:tcPr>
            <w:tcW w:w="112" w:type="dxa"/>
            <w:tcBorders/>
            <w:shd w:fill="FFFFFF" w:val="clear"/>
            <w:vAlign w:val="center"/>
          </w:tcPr>
          <w:p>
            <w:pPr>
              <w:pStyle w:val="TableContents"/>
              <w:bidi w:val="0"/>
              <w:spacing w:before="0" w:after="283"/>
              <w:jc w:val="left"/>
              <w:rPr/>
            </w:pPr>
            <w:r>
              <w:rPr/>
              <w:t> </w:t>
            </w:r>
            <w:bookmarkStart w:id="1663" w:name="xdx_401_eus-gaap--PaymentsToAcquireMortg"/>
            <w:bookmarkEnd w:id="1663"/>
          </w:p>
        </w:tc>
      </w:tr>
      <w:tr>
        <w:trPr/>
        <w:tc>
          <w:tcPr>
            <w:tcW w:w="6907" w:type="dxa"/>
            <w:tcBorders/>
            <w:shd w:fill="CCEEFF" w:val="clear"/>
            <w:vAlign w:val="center"/>
          </w:tcPr>
          <w:p>
            <w:pPr>
              <w:pStyle w:val="TableContents"/>
              <w:bidi w:val="0"/>
              <w:spacing w:before="0" w:after="283"/>
              <w:jc w:val="left"/>
              <w:rPr/>
            </w:pPr>
            <w:r>
              <w:rPr/>
              <w:t xml:space="preserve">MSR additions resulting from loan sales </w:t>
            </w:r>
            <w:bookmarkStart w:id="1664" w:name="xdx_F40_zgR95Mfd3Tdi"/>
            <w:bookmarkEnd w:id="1664"/>
            <w:r>
              <w:rPr/>
              <w:t>(1)</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152,234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151,056</w:t>
            </w:r>
          </w:p>
        </w:tc>
        <w:tc>
          <w:tcPr>
            <w:tcW w:w="112" w:type="dxa"/>
            <w:tcBorders/>
            <w:shd w:fill="CCEEFF" w:val="clear"/>
            <w:vAlign w:val="center"/>
          </w:tcPr>
          <w:p>
            <w:pPr>
              <w:pStyle w:val="TableContents"/>
              <w:bidi w:val="0"/>
              <w:spacing w:before="0" w:after="283"/>
              <w:jc w:val="left"/>
              <w:rPr/>
            </w:pPr>
            <w:r>
              <w:rPr/>
              <w:t> </w:t>
            </w:r>
            <w:bookmarkStart w:id="1665" w:name="xdx_40B_eus-gaap--AmortizationOfMortgage"/>
            <w:bookmarkEnd w:id="1665"/>
          </w:p>
        </w:tc>
      </w:tr>
      <w:tr>
        <w:trPr/>
        <w:tc>
          <w:tcPr>
            <w:tcW w:w="6907" w:type="dxa"/>
            <w:tcBorders/>
            <w:shd w:fill="FFFFFF" w:val="clear"/>
            <w:vAlign w:val="center"/>
          </w:tcPr>
          <w:p>
            <w:pPr>
              <w:pStyle w:val="TableContents"/>
              <w:bidi w:val="0"/>
              <w:spacing w:before="0" w:after="283"/>
              <w:jc w:val="left"/>
              <w:rPr/>
            </w:pPr>
            <w:r>
              <w:rPr/>
              <w:t xml:space="preserve">Amortization </w:t>
            </w:r>
            <w:bookmarkStart w:id="1666" w:name="xdx_F4A_zzWmCWcRfzoa"/>
            <w:bookmarkEnd w:id="1666"/>
            <w:r>
              <w:rPr/>
              <w:t>(2)</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(233,588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(562,475</w:t>
            </w:r>
          </w:p>
        </w:tc>
        <w:tc>
          <w:tcPr>
            <w:tcW w:w="112" w:type="dxa"/>
            <w:tcBorders/>
            <w:shd w:fill="FFFFFF" w:val="clear"/>
            <w:vAlign w:val="center"/>
          </w:tcPr>
          <w:p>
            <w:pPr>
              <w:pStyle w:val="TableContents"/>
              <w:bidi w:val="0"/>
              <w:spacing w:before="0" w:after="283"/>
              <w:jc w:val="left"/>
              <w:rPr/>
            </w:pPr>
            <w:r>
              <w:rPr/>
              <w:t>)</w:t>
            </w:r>
            <w:bookmarkStart w:id="1667" w:name="xdx_408_ecustom--SaleOfMortgageServicing"/>
            <w:bookmarkEnd w:id="1667"/>
          </w:p>
        </w:tc>
      </w:tr>
      <w:tr>
        <w:trPr/>
        <w:tc>
          <w:tcPr>
            <w:tcW w:w="6907" w:type="dxa"/>
            <w:tcBorders/>
            <w:shd w:fill="CCEEFF" w:val="clear"/>
            <w:vAlign w:val="center"/>
          </w:tcPr>
          <w:p>
            <w:pPr>
              <w:pStyle w:val="TableContents"/>
              <w:bidi w:val="0"/>
              <w:spacing w:before="0" w:after="283"/>
              <w:jc w:val="left"/>
              <w:rPr/>
            </w:pPr>
            <w:r>
              <w:rPr/>
              <w:t>Sale of MSRs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668" w:name="xdx_406_ecustom--MortgageServicingRights"/>
            <w:bookmarkEnd w:id="1668"/>
          </w:p>
        </w:tc>
      </w:tr>
      <w:tr>
        <w:trPr/>
        <w:tc>
          <w:tcPr>
            <w:tcW w:w="6907" w:type="dxa"/>
            <w:tcBorders/>
            <w:shd w:fill="FFFFFF" w:val="clear"/>
            <w:vAlign w:val="center"/>
          </w:tcPr>
          <w:p>
            <w:pPr>
              <w:pStyle w:val="TableContents"/>
              <w:bidi w:val="0"/>
              <w:spacing w:before="0" w:after="283"/>
              <w:jc w:val="left"/>
              <w:rPr/>
            </w:pPr>
            <w:r>
              <w:rPr/>
              <w:t>Application of valuation allowance to write down MSRswith other than temporary impairment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669" w:name="xdx_400_eus-gaap--ServicingAssetAtAmorti"/>
            <w:bookmarkEnd w:id="1669"/>
          </w:p>
        </w:tc>
      </w:tr>
      <w:tr>
        <w:trPr/>
        <w:tc>
          <w:tcPr>
            <w:tcW w:w="6907" w:type="dxa"/>
            <w:tcBorders/>
            <w:shd w:fill="CCEEFF" w:val="clear"/>
            <w:vAlign w:val="center"/>
          </w:tcPr>
          <w:p>
            <w:pPr>
              <w:pStyle w:val="TableContents"/>
              <w:bidi w:val="0"/>
              <w:spacing w:before="0" w:after="283"/>
              <w:jc w:val="left"/>
              <w:rPr/>
            </w:pPr>
            <w:r>
              <w:rPr/>
              <w:t>Balance before valuation allowance at end of period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2,447,105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2" w:type="dxa"/>
            <w:tcBorders>
              <w:bottom w:val="single" w:sz="8" w:space="0" w:color="000000"/>
            </w:tcBorders>
            <w:shd w:fill="CCEEFF" w:val="clear"/>
            <w:tcMar>
              <w:bottom w:w="28" w:type="dxa"/>
            </w:tcMar>
            <w:vAlign w:val="center"/>
          </w:tcPr>
          <w:p>
            <w:pPr>
              <w:pStyle w:val="TableContents"/>
              <w:bidi w:val="0"/>
              <w:spacing w:before="0" w:after="283"/>
              <w:jc w:val="right"/>
              <w:rPr/>
            </w:pPr>
            <w:r>
              <w:rPr/>
              <w:t>2,528,459</w:t>
            </w:r>
          </w:p>
        </w:tc>
        <w:tc>
          <w:tcPr>
            <w:tcW w:w="112" w:type="dxa"/>
            <w:tcBorders/>
            <w:shd w:fill="CCEEFF" w:val="cle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07" w:type="dxa"/>
            <w:tcBorders/>
            <w:shd w:fill="CCEEFF" w:val="clear"/>
            <w:vAlign w:val="center"/>
          </w:tcPr>
          <w:p>
            <w:pPr>
              <w:pStyle w:val="TableContents"/>
              <w:bidi w:val="0"/>
              <w:spacing w:before="0" w:after="283"/>
              <w:jc w:val="left"/>
              <w:rPr/>
            </w:pPr>
            <w:r>
              <w:rPr/>
              <w:t>Valuation allowance for impairment of MSRs: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70" w:name="xdx_401_ecustom--ValuationAllowanceImpai"/>
            <w:bookmarkEnd w:id="1670"/>
          </w:p>
        </w:tc>
      </w:tr>
      <w:tr>
        <w:trPr/>
        <w:tc>
          <w:tcPr>
            <w:tcW w:w="6907" w:type="dxa"/>
            <w:tcBorders/>
            <w:shd w:fill="FFFFFF" w:val="clear"/>
            <w:vAlign w:val="center"/>
          </w:tcPr>
          <w:p>
            <w:pPr>
              <w:pStyle w:val="TableContents"/>
              <w:bidi w:val="0"/>
              <w:spacing w:before="0" w:after="283"/>
              <w:jc w:val="left"/>
              <w:rPr/>
            </w:pPr>
            <w:r>
              <w:rPr/>
              <w:t>Balance at beginning of year</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47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671" w:name="xdx_402_eus-gaap--MortgageServicingRight"/>
            <w:bookmarkEnd w:id="1671"/>
          </w:p>
        </w:tc>
      </w:tr>
      <w:tr>
        <w:trPr/>
        <w:tc>
          <w:tcPr>
            <w:tcW w:w="6907"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672" w:name="xdx_402_ecustom--MortgageServicingRights"/>
            <w:bookmarkEnd w:id="1672"/>
          </w:p>
        </w:tc>
      </w:tr>
      <w:tr>
        <w:trPr/>
        <w:tc>
          <w:tcPr>
            <w:tcW w:w="6907" w:type="dxa"/>
            <w:tcBorders/>
            <w:shd w:fill="FFFFFF" w:val="clear"/>
            <w:vAlign w:val="center"/>
          </w:tcPr>
          <w:p>
            <w:pPr>
              <w:pStyle w:val="TableContents"/>
              <w:bidi w:val="0"/>
              <w:spacing w:before="0" w:after="283"/>
              <w:jc w:val="left"/>
              <w:rPr/>
            </w:pPr>
            <w:r>
              <w:rPr/>
              <w:t>Application of valuation allowance to write down MSRs with other than temporary impairment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673" w:name="xdx_406_ecustom--ValuationAllowanceImpai"/>
            <w:bookmarkEnd w:id="1673"/>
          </w:p>
        </w:tc>
      </w:tr>
      <w:tr>
        <w:trPr/>
        <w:tc>
          <w:tcPr>
            <w:tcW w:w="6907" w:type="dxa"/>
            <w:tcBorders/>
            <w:shd w:fill="CCEEFF" w:val="clear"/>
            <w:vAlign w:val="center"/>
          </w:tcPr>
          <w:p>
            <w:pPr>
              <w:pStyle w:val="TableContents"/>
              <w:bidi w:val="0"/>
              <w:spacing w:before="0" w:after="283"/>
              <w:jc w:val="left"/>
              <w:rPr/>
            </w:pPr>
            <w:r>
              <w:rPr/>
              <w:t>Balance at end of period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07" w:type="dxa"/>
            <w:tcBorders/>
            <w:shd w:fill="CCEEFF" w:val="clear"/>
            <w:vAlign w:val="center"/>
          </w:tcPr>
          <w:p>
            <w:pPr>
              <w:pStyle w:val="TableContents"/>
              <w:bidi w:val="0"/>
              <w:spacing w:before="0" w:after="283"/>
              <w:jc w:val="left"/>
              <w:rPr/>
            </w:pPr>
            <w:r>
              <w:rPr/>
              <w:t>Mortgage servicing rights, net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74" w:name="xdx_981_eus-gaap--ServicingAssetAtAmorti"/>
            <w:bookmarkEnd w:id="1674"/>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2,447,105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75" w:name="xdx_984_eus-gaap--ServicingAssetAtAmorti"/>
            <w:bookmarkEnd w:id="1675"/>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pPr>
            <w:r>
              <w:rPr/>
              <w:t>2,528,459</w:t>
            </w:r>
          </w:p>
        </w:tc>
        <w:tc>
          <w:tcPr>
            <w:tcW w:w="112" w:type="dxa"/>
            <w:tcBorders/>
            <w:shd w:fill="CCEEFF" w:val="cle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07" w:type="dxa"/>
            <w:tcBorders/>
            <w:shd w:fill="CCEEFF" w:val="clear"/>
            <w:vAlign w:val="center"/>
          </w:tcPr>
          <w:p>
            <w:pPr>
              <w:pStyle w:val="TableContents"/>
              <w:bidi w:val="0"/>
              <w:spacing w:before="0" w:after="283"/>
              <w:jc w:val="left"/>
              <w:rPr/>
            </w:pPr>
            <w:r>
              <w:rPr/>
              <w:t>Estimated fair value of MSRs at end of period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76" w:name="xdx_989_eus-gaap--ServicingAssetAtFairVa"/>
            <w:bookmarkEnd w:id="1676"/>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4,146,075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677" w:name="xdx_986_eus-gaap--ServicingAssetAtFairVa"/>
            <w:bookmarkEnd w:id="1677"/>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pPr>
            <w:r>
              <w:rPr/>
              <w:t>4,035,635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345" w:type="dxa"/>
        <w:jc w:val="left"/>
        <w:tblInd w:w="0" w:type="dxa"/>
        <w:tblLayout w:type="fixed"/>
        <w:tblCellMar>
          <w:top w:w="0" w:type="dxa"/>
          <w:left w:w="0" w:type="dxa"/>
          <w:bottom w:w="0" w:type="dxa"/>
          <w:right w:w="0" w:type="dxa"/>
        </w:tblCellMar>
      </w:tblPr>
      <w:tblGrid>
        <w:gridCol w:w="245"/>
        <w:gridCol w:w="7100"/>
      </w:tblGrid>
      <w:tr>
        <w:trPr/>
        <w:tc>
          <w:tcPr>
            <w:tcW w:w="245" w:type="dxa"/>
            <w:tcBorders/>
            <w:vAlign w:val="center"/>
          </w:tcPr>
          <w:p>
            <w:pPr>
              <w:pStyle w:val="TableContents"/>
              <w:bidi w:val="0"/>
              <w:spacing w:before="0" w:after="283"/>
              <w:ind w:left="0" w:right="0" w:hanging="200"/>
              <w:jc w:val="left"/>
              <w:rPr>
                <w:rFonts w:ascii="Times New Roman;Times;Serif" w:hAnsi="Times New Roman;Times;Serif"/>
                <w:sz w:val="20"/>
              </w:rPr>
            </w:pPr>
            <w:bookmarkStart w:id="1678" w:name="xdx_F06_zKhmh1QQrLhf"/>
            <w:bookmarkEnd w:id="1678"/>
            <w:r>
              <w:rPr>
                <w:rFonts w:ascii="Times New Roman;Times;Serif" w:hAnsi="Times New Roman;Times;Serif"/>
                <w:sz w:val="20"/>
              </w:rPr>
              <w:t>(1)</w:t>
            </w:r>
          </w:p>
        </w:tc>
        <w:tc>
          <w:tcPr>
            <w:tcW w:w="7100" w:type="dxa"/>
            <w:tcBorders/>
            <w:vAlign w:val="center"/>
          </w:tcPr>
          <w:p>
            <w:pPr>
              <w:pStyle w:val="TableContents"/>
              <w:bidi w:val="0"/>
              <w:spacing w:before="0" w:after="283"/>
              <w:ind w:left="0" w:right="0" w:hanging="200"/>
              <w:jc w:val="both"/>
              <w:rPr>
                <w:rFonts w:ascii="Times New Roman;Times;Serif" w:hAnsi="Times New Roman;Times;Serif"/>
                <w:sz w:val="20"/>
              </w:rPr>
            </w:pPr>
            <w:bookmarkStart w:id="1679" w:name="xdx_F12_zQnivfedsRd8"/>
            <w:bookmarkEnd w:id="1679"/>
            <w:r>
              <w:rPr>
                <w:rFonts w:ascii="Times New Roman;Times;Serif" w:hAnsi="Times New Roman;Times;Serif"/>
                <w:sz w:val="20"/>
              </w:rPr>
              <w:t>Included in mortgage fee income on the condensed consolidated statements of earnings</w:t>
            </w:r>
          </w:p>
        </w:tc>
      </w:tr>
      <w:tr>
        <w:trPr/>
        <w:tc>
          <w:tcPr>
            <w:tcW w:w="245" w:type="dxa"/>
            <w:tcBorders/>
            <w:vAlign w:val="center"/>
          </w:tcPr>
          <w:p>
            <w:pPr>
              <w:pStyle w:val="TableContents"/>
              <w:bidi w:val="0"/>
              <w:spacing w:before="0" w:after="283"/>
              <w:ind w:left="0" w:right="0" w:hanging="200"/>
              <w:jc w:val="left"/>
              <w:rPr>
                <w:rFonts w:ascii="Times New Roman;Times;Serif" w:hAnsi="Times New Roman;Times;Serif"/>
                <w:sz w:val="20"/>
              </w:rPr>
            </w:pPr>
            <w:bookmarkStart w:id="1680" w:name="xdx_F09_zxLsi5sc0Ita"/>
            <w:bookmarkEnd w:id="1680"/>
            <w:r>
              <w:rPr>
                <w:rFonts w:ascii="Times New Roman;Times;Serif" w:hAnsi="Times New Roman;Times;Serif"/>
                <w:sz w:val="20"/>
              </w:rPr>
              <w:t>(2)</w:t>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681" w:name="xdx_F1F_zoiF8SgdILqb"/>
            <w:bookmarkEnd w:id="1681"/>
            <w:r>
              <w:rPr>
                <w:rFonts w:ascii="Times New Roman;Times;Serif" w:hAnsi="Times New Roman;Times;Serif"/>
                <w:sz w:val="20"/>
              </w:rPr>
              <w:t>Included in other expenses on the condensed consolidated statements of earnings</w:t>
            </w:r>
          </w:p>
        </w:tc>
      </w:tr>
    </w:tbl>
    <w:p>
      <w:pPr>
        <w:pStyle w:val="TextBody"/>
        <w:bidi w:val="0"/>
        <w:spacing w:before="0" w:after="0"/>
        <w:ind w:left="0" w:right="0" w:hanging="0"/>
        <w:jc w:val="both"/>
        <w:rPr>
          <w:caps w:val="false"/>
          <w:smallCaps w:val="false"/>
        </w:rPr>
      </w:pPr>
      <w:bookmarkStart w:id="1682" w:name="xdx_8A8_zKZjalEGObI9"/>
      <w:bookmarkEnd w:id="168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Mortgage Servicing Rights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83" w:name="xdx_896_eus-gaap--ScheduleofFiniteLivedI"/>
      <w:bookmarkEnd w:id="1683"/>
      <w:r>
        <w:rPr>
          <w:rFonts w:ascii="Times New Roman;Times;Serif" w:hAnsi="Times New Roman;Times;Serif"/>
          <w:b w:val="false"/>
          <w:i w:val="false"/>
          <w:caps w:val="false"/>
          <w:smallCaps w:val="false"/>
          <w:sz w:val="20"/>
        </w:rPr>
        <w:t>The table below summarizes the Company’s estimate of future amortization of its existing MSRs carried at amortized cost. This projection was developed using the Company’s assumptions in its June 30, 2026, valuation of MSRs. The assumptions used in the following table are likely to change as market conditions, portfolio composition and borrower behavior change, causing both actual and projected amortization levels to change over time.</w:t>
      </w:r>
    </w:p>
    <w:p>
      <w:pPr>
        <w:pStyle w:val="TextBody"/>
        <w:bidi w:val="0"/>
        <w:spacing w:before="0" w:after="0"/>
        <w:ind w:left="0" w:right="0" w:hanging="0"/>
        <w:jc w:val="both"/>
        <w:rPr>
          <w:caps w:val="false"/>
          <w:smallCaps w:val="false"/>
        </w:rPr>
      </w:pPr>
      <w:r>
        <w:rPr>
          <w:caps w:val="false"/>
          <w:smallCaps w:val="false"/>
        </w:rPr>
        <w:t> </w:t>
      </w:r>
      <w:bookmarkStart w:id="1684" w:name="xdx_8B1_zX8kbreARLWe"/>
      <w:bookmarkEnd w:id="1684"/>
      <w:r>
        <w:rPr>
          <w:rFonts w:ascii="Times New Roman;Times;Serif" w:hAnsi="Times New Roman;Times;Serif"/>
          <w:b w:val="false"/>
          <w:i w:val="false"/>
          <w:caps w:val="false"/>
          <w:smallCaps w:val="false"/>
          <w:sz w:val="20"/>
        </w:rPr>
        <w:t>Schedule of Finite-Lived Intangible Assets, Future Amortization Expense, Mortgage Servicing Rights</w:t>
      </w:r>
    </w:p>
    <w:tbl>
      <w:tblPr>
        <w:tblW w:w="2664" w:type="dxa"/>
        <w:jc w:val="left"/>
        <w:tblInd w:w="0" w:type="dxa"/>
        <w:tblLayout w:type="fixed"/>
        <w:tblCellMar>
          <w:top w:w="0" w:type="dxa"/>
          <w:left w:w="0" w:type="dxa"/>
          <w:bottom w:w="0" w:type="dxa"/>
          <w:right w:w="0" w:type="dxa"/>
        </w:tblCellMar>
      </w:tblPr>
      <w:tblGrid>
        <w:gridCol w:w="1010"/>
        <w:gridCol w:w="60"/>
        <w:gridCol w:w="189"/>
        <w:gridCol w:w="1330"/>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5" w:name="xdx_49C_20260630__us-gaap--FinancialInst"/>
            <w:bookmarkEnd w:id="1685"/>
          </w:p>
        </w:tc>
        <w:tc>
          <w:tcPr>
            <w:tcW w:w="1519" w:type="dxa"/>
            <w:gridSpan w:val="2"/>
            <w:tcBorders>
              <w:bottom w:val="single" w:sz="8" w:space="0" w:color="000000"/>
            </w:tcBorders>
            <w:tcMar>
              <w:bottom w:w="28" w:type="dxa"/>
            </w:tcMar>
            <w:vAlign w:val="center"/>
          </w:tcPr>
          <w:p>
            <w:pPr>
              <w:pStyle w:val="TableContents"/>
              <w:bidi w:val="0"/>
              <w:jc w:val="center"/>
              <w:rPr/>
            </w:pPr>
            <w:r>
              <w:rPr/>
              <w:t>Estimated MSR</w:t>
            </w:r>
          </w:p>
          <w:p>
            <w:pPr>
              <w:pStyle w:val="TableContents"/>
              <w:bidi w:val="0"/>
              <w:spacing w:before="0" w:after="283"/>
              <w:jc w:val="center"/>
              <w:rPr/>
            </w:pPr>
            <w:r>
              <w:rPr/>
              <w:t>Amortization</w:t>
            </w:r>
          </w:p>
        </w:tc>
        <w:tc>
          <w:tcPr>
            <w:tcW w:w="75" w:type="dxa"/>
            <w:tcBorders/>
            <w:vAlign w:val="center"/>
          </w:tcPr>
          <w:p>
            <w:pPr>
              <w:pStyle w:val="TableContents"/>
              <w:bidi w:val="0"/>
              <w:spacing w:before="0" w:after="283"/>
              <w:jc w:val="left"/>
              <w:rPr/>
            </w:pPr>
            <w:r>
              <w:rPr/>
              <w:t> </w:t>
            </w:r>
            <w:bookmarkStart w:id="1686" w:name="xdx_40E_eus-gaap--FiniteLivedIntangibleA"/>
            <w:bookmarkEnd w:id="1686"/>
          </w:p>
        </w:tc>
      </w:tr>
      <w:tr>
        <w:trPr/>
        <w:tc>
          <w:tcPr>
            <w:tcW w:w="10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232,241</w:t>
            </w:r>
          </w:p>
        </w:tc>
        <w:tc>
          <w:tcPr>
            <w:tcW w:w="75" w:type="dxa"/>
            <w:tcBorders/>
            <w:shd w:fill="CCEEFF" w:val="clear"/>
            <w:vAlign w:val="center"/>
          </w:tcPr>
          <w:p>
            <w:pPr>
              <w:pStyle w:val="TableContents"/>
              <w:bidi w:val="0"/>
              <w:spacing w:before="0" w:after="283"/>
              <w:jc w:val="left"/>
              <w:rPr/>
            </w:pPr>
            <w:r>
              <w:rPr/>
              <w:t> </w:t>
            </w:r>
            <w:bookmarkStart w:id="1687" w:name="xdx_40F_eus-gaap--FiniteLivedIntangibleA"/>
            <w:bookmarkEnd w:id="1687"/>
          </w:p>
        </w:tc>
      </w:tr>
      <w:tr>
        <w:trPr/>
        <w:tc>
          <w:tcPr>
            <w:tcW w:w="10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223,082</w:t>
            </w:r>
          </w:p>
        </w:tc>
        <w:tc>
          <w:tcPr>
            <w:tcW w:w="75" w:type="dxa"/>
            <w:tcBorders/>
            <w:shd w:fill="FFFFFF" w:val="clear"/>
            <w:vAlign w:val="center"/>
          </w:tcPr>
          <w:p>
            <w:pPr>
              <w:pStyle w:val="TableContents"/>
              <w:bidi w:val="0"/>
              <w:spacing w:before="0" w:after="283"/>
              <w:jc w:val="left"/>
              <w:rPr/>
            </w:pPr>
            <w:r>
              <w:rPr/>
              <w:t> </w:t>
            </w:r>
            <w:bookmarkStart w:id="1688" w:name="xdx_408_eus-gaap--FiniteLivedIntangibleA"/>
            <w:bookmarkEnd w:id="1688"/>
          </w:p>
        </w:tc>
      </w:tr>
      <w:tr>
        <w:trPr/>
        <w:tc>
          <w:tcPr>
            <w:tcW w:w="101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207,530</w:t>
            </w:r>
          </w:p>
        </w:tc>
        <w:tc>
          <w:tcPr>
            <w:tcW w:w="75" w:type="dxa"/>
            <w:tcBorders/>
            <w:shd w:fill="CCEEFF" w:val="clear"/>
            <w:vAlign w:val="center"/>
          </w:tcPr>
          <w:p>
            <w:pPr>
              <w:pStyle w:val="TableContents"/>
              <w:bidi w:val="0"/>
              <w:spacing w:before="0" w:after="283"/>
              <w:jc w:val="left"/>
              <w:rPr/>
            </w:pPr>
            <w:r>
              <w:rPr/>
              <w:t> </w:t>
            </w:r>
            <w:bookmarkStart w:id="1689" w:name="xdx_409_eus-gaap--FiniteLivedIntangibleA"/>
            <w:bookmarkEnd w:id="1689"/>
          </w:p>
        </w:tc>
      </w:tr>
      <w:tr>
        <w:trPr/>
        <w:tc>
          <w:tcPr>
            <w:tcW w:w="101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187,850</w:t>
            </w:r>
          </w:p>
        </w:tc>
        <w:tc>
          <w:tcPr>
            <w:tcW w:w="75" w:type="dxa"/>
            <w:tcBorders/>
            <w:shd w:fill="FFFFFF" w:val="clear"/>
            <w:vAlign w:val="center"/>
          </w:tcPr>
          <w:p>
            <w:pPr>
              <w:pStyle w:val="TableContents"/>
              <w:bidi w:val="0"/>
              <w:spacing w:before="0" w:after="283"/>
              <w:jc w:val="left"/>
              <w:rPr/>
            </w:pPr>
            <w:r>
              <w:rPr/>
              <w:t> </w:t>
            </w:r>
            <w:bookmarkStart w:id="1690" w:name="xdx_409_eus-gaap--FiniteLivedIntangibleA"/>
            <w:bookmarkEnd w:id="1690"/>
          </w:p>
        </w:tc>
      </w:tr>
      <w:tr>
        <w:trPr/>
        <w:tc>
          <w:tcPr>
            <w:tcW w:w="101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170,162</w:t>
            </w:r>
          </w:p>
        </w:tc>
        <w:tc>
          <w:tcPr>
            <w:tcW w:w="75" w:type="dxa"/>
            <w:tcBorders/>
            <w:shd w:fill="CCEEFF" w:val="clear"/>
            <w:vAlign w:val="center"/>
          </w:tcPr>
          <w:p>
            <w:pPr>
              <w:pStyle w:val="TableContents"/>
              <w:bidi w:val="0"/>
              <w:spacing w:before="0" w:after="283"/>
              <w:jc w:val="left"/>
              <w:rPr/>
            </w:pPr>
            <w:r>
              <w:rPr/>
              <w:t> </w:t>
            </w:r>
            <w:bookmarkStart w:id="1691" w:name="xdx_40D_ecustom--FiniteLivedIntangibleAs"/>
            <w:bookmarkEnd w:id="1691"/>
          </w:p>
        </w:tc>
      </w:tr>
      <w:tr>
        <w:trPr/>
        <w:tc>
          <w:tcPr>
            <w:tcW w:w="101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pPr>
            <w:r>
              <w:rPr/>
              <w:t>1,426,240</w:t>
            </w:r>
          </w:p>
        </w:tc>
        <w:tc>
          <w:tcPr>
            <w:tcW w:w="75" w:type="dxa"/>
            <w:tcBorders/>
            <w:shd w:fill="FFFFFF" w:val="clear"/>
            <w:vAlign w:val="center"/>
          </w:tcPr>
          <w:p>
            <w:pPr>
              <w:pStyle w:val="TableContents"/>
              <w:bidi w:val="0"/>
              <w:spacing w:before="0" w:after="283"/>
              <w:jc w:val="left"/>
              <w:rPr/>
            </w:pPr>
            <w:r>
              <w:rPr/>
              <w:t> </w:t>
            </w:r>
            <w:bookmarkStart w:id="1692" w:name="xdx_40D_eus-gaap--FiniteLivedIntangibleA"/>
            <w:bookmarkEnd w:id="1692"/>
          </w:p>
        </w:tc>
      </w:tr>
      <w:tr>
        <w:trPr/>
        <w:tc>
          <w:tcPr>
            <w:tcW w:w="10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0" w:type="dxa"/>
            <w:tcBorders>
              <w:bottom w:val="double" w:sz="6" w:space="0" w:color="000000"/>
            </w:tcBorders>
            <w:shd w:fill="CCEEFF" w:val="clear"/>
            <w:tcMar>
              <w:bottom w:w="28" w:type="dxa"/>
            </w:tcMar>
            <w:vAlign w:val="center"/>
          </w:tcPr>
          <w:p>
            <w:pPr>
              <w:pStyle w:val="TableContents"/>
              <w:bidi w:val="0"/>
              <w:spacing w:before="0" w:after="283"/>
              <w:jc w:val="right"/>
              <w:rPr/>
            </w:pPr>
            <w:r>
              <w:rPr/>
              <w:t>2,447,105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93" w:name="xdx_8AB_zazHwUSIEVj5"/>
      <w:bookmarkEnd w:id="16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94" w:name="xdx_89B_eus-gaap--ReconciliationOfRevenu"/>
      <w:bookmarkEnd w:id="1694"/>
      <w:r>
        <w:rPr>
          <w:rFonts w:ascii="Times New Roman;Times;Serif" w:hAnsi="Times New Roman;Times;Serif"/>
          <w:b w:val="false"/>
          <w:i w:val="false"/>
          <w:caps w:val="false"/>
          <w:smallCaps w:val="false"/>
          <w:sz w:val="20"/>
        </w:rPr>
        <w:t>The Company collected the following contractual service fee income and late fee income as reported in other revenues on the condensed consolidated statement of earnings.</w:t>
      </w:r>
    </w:p>
    <w:p>
      <w:pPr>
        <w:pStyle w:val="TextBody"/>
        <w:bidi w:val="0"/>
        <w:spacing w:before="0" w:after="0"/>
        <w:ind w:left="0" w:right="0" w:hanging="0"/>
        <w:jc w:val="both"/>
        <w:rPr>
          <w:caps w:val="false"/>
          <w:smallCaps w:val="false"/>
        </w:rPr>
      </w:pPr>
      <w:r>
        <w:rPr>
          <w:caps w:val="false"/>
          <w:smallCaps w:val="false"/>
        </w:rPr>
        <w:t> </w:t>
      </w:r>
      <w:bookmarkStart w:id="1695" w:name="xdx_8B6_z0VhCq0nx64j"/>
      <w:bookmarkEnd w:id="1695"/>
      <w:r>
        <w:rPr>
          <w:rFonts w:ascii="Times New Roman;Times;Serif" w:hAnsi="Times New Roman;Times;Serif"/>
          <w:b w:val="false"/>
          <w:i w:val="false"/>
          <w:caps w:val="false"/>
          <w:smallCaps w:val="false"/>
          <w:sz w:val="20"/>
        </w:rPr>
        <w:t>Schedule of Other Revenues</w:t>
      </w:r>
    </w:p>
    <w:tbl>
      <w:tblPr>
        <w:tblW w:w="8066" w:type="dxa"/>
        <w:jc w:val="left"/>
        <w:tblInd w:w="0" w:type="dxa"/>
        <w:tblLayout w:type="fixed"/>
        <w:tblCellMar>
          <w:top w:w="0" w:type="dxa"/>
          <w:left w:w="0" w:type="dxa"/>
          <w:bottom w:w="0" w:type="dxa"/>
          <w:right w:w="0" w:type="dxa"/>
        </w:tblCellMar>
      </w:tblPr>
      <w:tblGrid>
        <w:gridCol w:w="2285"/>
        <w:gridCol w:w="60"/>
        <w:gridCol w:w="201"/>
        <w:gridCol w:w="1154"/>
        <w:gridCol w:w="86"/>
        <w:gridCol w:w="86"/>
        <w:gridCol w:w="201"/>
        <w:gridCol w:w="1154"/>
        <w:gridCol w:w="60"/>
        <w:gridCol w:w="60"/>
        <w:gridCol w:w="185"/>
        <w:gridCol w:w="1058"/>
        <w:gridCol w:w="79"/>
        <w:gridCol w:w="79"/>
        <w:gridCol w:w="185"/>
        <w:gridCol w:w="1058"/>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6" w:name="xdx_492_20260401__20260630_zufeNUaUFZV9"/>
            <w:bookmarkEnd w:id="1696"/>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1697" w:name="xdx_49D_20250401__20250630_z0Gx5a6VV0N2"/>
            <w:bookmarkEnd w:id="1697"/>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8" w:name="xdx_495_20260101__20260630_zutIzSDfB62b"/>
            <w:bookmarkEnd w:id="1698"/>
          </w:p>
        </w:tc>
        <w:tc>
          <w:tcPr>
            <w:tcW w:w="1243"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1699" w:name="xdx_49B_20250101__20250630_ztLhxag8D8h1"/>
            <w:bookmarkEnd w:id="1699"/>
          </w:p>
        </w:tc>
        <w:tc>
          <w:tcPr>
            <w:tcW w:w="124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1700" w:name="xdx_401_eus-gaap--ContractuallySpecified"/>
            <w:bookmarkEnd w:id="1700"/>
          </w:p>
        </w:tc>
      </w:tr>
      <w:tr>
        <w:trPr/>
        <w:tc>
          <w:tcPr>
            <w:tcW w:w="2285" w:type="dxa"/>
            <w:tcBorders/>
            <w:shd w:fill="CCEEFF" w:val="clear"/>
            <w:vAlign w:val="center"/>
          </w:tcPr>
          <w:p>
            <w:pPr>
              <w:pStyle w:val="TableContents"/>
              <w:bidi w:val="0"/>
              <w:spacing w:before="0" w:after="283"/>
              <w:jc w:val="left"/>
              <w:rPr/>
            </w:pPr>
            <w:bookmarkStart w:id="1701" w:name="xdx_903_eus-gaap--ContractuallySpecified"/>
            <w:bookmarkStart w:id="1702" w:name="xdx_90C_eus-gaap--ContractuallySpecified"/>
            <w:bookmarkStart w:id="1703" w:name="xdx_901_eus-gaap--ContractuallySpecified"/>
            <w:bookmarkStart w:id="1704" w:name="xdx_908_eus-gaap--ContractuallySpecified"/>
            <w:bookmarkEnd w:id="1701"/>
            <w:bookmarkEnd w:id="1702"/>
            <w:bookmarkEnd w:id="1703"/>
            <w:bookmarkEnd w:id="1704"/>
            <w:r>
              <w:rPr/>
              <w:t>Contractual service fees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223,749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222,900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445,816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455,001</w:t>
            </w:r>
          </w:p>
        </w:tc>
        <w:tc>
          <w:tcPr>
            <w:tcW w:w="75" w:type="dxa"/>
            <w:tcBorders/>
            <w:shd w:fill="CCEEFF" w:val="clear"/>
            <w:vAlign w:val="center"/>
          </w:tcPr>
          <w:p>
            <w:pPr>
              <w:pStyle w:val="TableContents"/>
              <w:bidi w:val="0"/>
              <w:spacing w:before="0" w:after="283"/>
              <w:jc w:val="left"/>
              <w:rPr/>
            </w:pPr>
            <w:r>
              <w:rPr/>
              <w:t> </w:t>
            </w:r>
            <w:bookmarkStart w:id="1705" w:name="xdx_409_eus-gaap--LateFeeIncomeGenerated"/>
            <w:bookmarkEnd w:id="1705"/>
          </w:p>
        </w:tc>
      </w:tr>
      <w:tr>
        <w:trPr/>
        <w:tc>
          <w:tcPr>
            <w:tcW w:w="2285" w:type="dxa"/>
            <w:tcBorders/>
            <w:shd w:fill="FFFFFF" w:val="clear"/>
            <w:vAlign w:val="center"/>
          </w:tcPr>
          <w:p>
            <w:pPr>
              <w:pStyle w:val="TableContents"/>
              <w:bidi w:val="0"/>
              <w:spacing w:before="0" w:after="283"/>
              <w:jc w:val="left"/>
              <w:rPr/>
            </w:pPr>
            <w:bookmarkStart w:id="1706" w:name="xdx_900_eus-gaap--LateFeeIncomeServicing"/>
            <w:bookmarkStart w:id="1707" w:name="xdx_90F_eus-gaap--LateFeeIncomeServicing"/>
            <w:bookmarkStart w:id="1708" w:name="xdx_90D_eus-gaap--LateFeeIncomeServicing"/>
            <w:bookmarkStart w:id="1709" w:name="xdx_907_eus-gaap--LateFeeIncomeServicing"/>
            <w:bookmarkEnd w:id="1706"/>
            <w:bookmarkEnd w:id="1707"/>
            <w:bookmarkEnd w:id="1708"/>
            <w:bookmarkEnd w:id="1709"/>
            <w:r>
              <w:rPr/>
              <w:t>Late fees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FFFFF" w:val="clear"/>
            <w:tcMar>
              <w:bottom w:w="28" w:type="dxa"/>
            </w:tcMar>
            <w:vAlign w:val="center"/>
          </w:tcPr>
          <w:p>
            <w:pPr>
              <w:pStyle w:val="TableContents"/>
              <w:bidi w:val="0"/>
              <w:spacing w:before="0" w:after="283"/>
              <w:jc w:val="right"/>
              <w:rPr/>
            </w:pPr>
            <w:r>
              <w:rPr/>
              <w:t>17,375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FFFFF" w:val="clear"/>
            <w:tcMar>
              <w:bottom w:w="28" w:type="dxa"/>
            </w:tcMar>
            <w:vAlign w:val="center"/>
          </w:tcPr>
          <w:p>
            <w:pPr>
              <w:pStyle w:val="TableContents"/>
              <w:bidi w:val="0"/>
              <w:spacing w:before="0" w:after="283"/>
              <w:jc w:val="right"/>
              <w:rPr/>
            </w:pPr>
            <w:r>
              <w:rPr/>
              <w:t>12,231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34,681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31,848</w:t>
            </w:r>
          </w:p>
        </w:tc>
        <w:tc>
          <w:tcPr>
            <w:tcW w:w="75" w:type="dxa"/>
            <w:tcBorders/>
            <w:shd w:fill="FFFFFF" w:val="clear"/>
            <w:vAlign w:val="center"/>
          </w:tcPr>
          <w:p>
            <w:pPr>
              <w:pStyle w:val="TableContents"/>
              <w:bidi w:val="0"/>
              <w:spacing w:before="0" w:after="283"/>
              <w:jc w:val="left"/>
              <w:rPr/>
            </w:pPr>
            <w:r>
              <w:rPr/>
              <w:t> </w:t>
            </w:r>
            <w:bookmarkStart w:id="1710" w:name="xdx_400_eus-gaap--ContractuallySpecified"/>
            <w:bookmarkEnd w:id="1710"/>
          </w:p>
        </w:tc>
      </w:tr>
      <w:tr>
        <w:trPr/>
        <w:tc>
          <w:tcPr>
            <w:tcW w:w="22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241,124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235,131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pPr>
            <w:r>
              <w:rPr/>
              <w:t>480,497</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pPr>
            <w:r>
              <w:rPr/>
              <w:t>486,849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11" w:name="xdx_8AC_z8gXY0yjKgkj"/>
      <w:bookmarkEnd w:id="17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12" w:name="xdx_890_ecustom--SummaryOfUnpaidPrincipa"/>
      <w:bookmarkEnd w:id="1712"/>
      <w:r>
        <w:rPr>
          <w:rFonts w:ascii="Times New Roman;Times;Serif" w:hAnsi="Times New Roman;Times;Serif"/>
          <w:b w:val="false"/>
          <w:i w:val="false"/>
          <w:caps w:val="false"/>
          <w:smallCaps w:val="false"/>
          <w:sz w:val="20"/>
        </w:rPr>
        <w:t>The following is a summary of the unpaid principal balances (“UPB”) of the servicing portfolio.</w:t>
      </w:r>
    </w:p>
    <w:p>
      <w:pPr>
        <w:pStyle w:val="TextBody"/>
        <w:bidi w:val="0"/>
        <w:spacing w:before="0" w:after="0"/>
        <w:ind w:left="0" w:right="0" w:hanging="0"/>
        <w:jc w:val="both"/>
        <w:rPr>
          <w:caps w:val="false"/>
          <w:smallCaps w:val="false"/>
        </w:rPr>
      </w:pPr>
      <w:r>
        <w:rPr>
          <w:caps w:val="false"/>
          <w:smallCaps w:val="false"/>
        </w:rPr>
        <w:t> </w:t>
      </w:r>
      <w:bookmarkStart w:id="1713" w:name="xdx_8BF_zYeKMU208Cm9"/>
      <w:bookmarkEnd w:id="1713"/>
      <w:r>
        <w:rPr>
          <w:rFonts w:ascii="Times New Roman;Times;Serif" w:hAnsi="Times New Roman;Times;Serif"/>
          <w:b w:val="false"/>
          <w:i w:val="false"/>
          <w:caps w:val="false"/>
          <w:smallCaps w:val="false"/>
          <w:sz w:val="20"/>
        </w:rPr>
        <w:t>Summary of Unpaid Principal Balances of the Servicing Portfolio</w:t>
      </w:r>
    </w:p>
    <w:tbl>
      <w:tblPr>
        <w:tblW w:w="4984" w:type="dxa"/>
        <w:jc w:val="left"/>
        <w:tblInd w:w="0" w:type="dxa"/>
        <w:tblLayout w:type="fixed"/>
        <w:tblCellMar>
          <w:top w:w="0" w:type="dxa"/>
          <w:left w:w="0" w:type="dxa"/>
          <w:bottom w:w="0" w:type="dxa"/>
          <w:right w:w="0" w:type="dxa"/>
        </w:tblCellMar>
      </w:tblPr>
      <w:tblGrid>
        <w:gridCol w:w="1475"/>
        <w:gridCol w:w="60"/>
        <w:gridCol w:w="140"/>
        <w:gridCol w:w="1220"/>
        <w:gridCol w:w="60"/>
        <w:gridCol w:w="60"/>
        <w:gridCol w:w="195"/>
        <w:gridCol w:w="1699"/>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Servicing UPB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714" w:name="xdx_984_ecustom--ServicingUnpaidPrincipa"/>
            <w:bookmarkEnd w:id="1714"/>
          </w:p>
        </w:tc>
        <w:tc>
          <w:tcPr>
            <w:tcW w:w="1220" w:type="dxa"/>
            <w:tcBorders/>
            <w:shd w:fill="CCEEFF" w:val="clear"/>
            <w:vAlign w:val="center"/>
          </w:tcPr>
          <w:p>
            <w:pPr>
              <w:pStyle w:val="TableContents"/>
              <w:bidi w:val="0"/>
              <w:spacing w:before="0" w:after="283"/>
              <w:jc w:val="right"/>
              <w:rPr/>
            </w:pPr>
            <w:r>
              <w:rPr/>
              <w:t>357,613,906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1715" w:name="xdx_980_ecustom--ServicingUnpaidPrincipa"/>
            <w:bookmarkEnd w:id="1715"/>
          </w:p>
        </w:tc>
        <w:tc>
          <w:tcPr>
            <w:tcW w:w="1699" w:type="dxa"/>
            <w:tcBorders/>
            <w:shd w:fill="CCEEFF" w:val="clear"/>
            <w:vAlign w:val="center"/>
          </w:tcPr>
          <w:p>
            <w:pPr>
              <w:pStyle w:val="TableContents"/>
              <w:bidi w:val="0"/>
              <w:spacing w:before="0" w:after="283"/>
              <w:jc w:val="right"/>
              <w:rPr/>
            </w:pPr>
            <w:r>
              <w:rPr/>
              <w:t>361,632,543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16" w:name="xdx_8AC_zIaXJDWCjd4k"/>
      <w:bookmarkEnd w:id="17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17" w:name="xdx_89E_ecustom--AssumptionsUsedInDeterm"/>
      <w:bookmarkEnd w:id="1717"/>
      <w:r>
        <w:rPr>
          <w:rFonts w:ascii="Times New Roman;Times;Serif" w:hAnsi="Times New Roman;Times;Serif"/>
          <w:b w:val="false"/>
          <w:i w:val="false"/>
          <w:caps w:val="false"/>
          <w:smallCaps w:val="false"/>
          <w:sz w:val="20"/>
        </w:rPr>
        <w:t>The following key assumptions were used in determining MSR value:</w:t>
      </w:r>
    </w:p>
    <w:p>
      <w:pPr>
        <w:pStyle w:val="TextBody"/>
        <w:bidi w:val="0"/>
        <w:spacing w:before="0" w:after="0"/>
        <w:ind w:left="0" w:right="0" w:hanging="0"/>
        <w:jc w:val="both"/>
        <w:rPr>
          <w:caps w:val="false"/>
          <w:smallCaps w:val="false"/>
        </w:rPr>
      </w:pPr>
      <w:r>
        <w:rPr>
          <w:caps w:val="false"/>
          <w:smallCaps w:val="false"/>
        </w:rPr>
        <w:t> </w:t>
      </w:r>
      <w:bookmarkStart w:id="1718" w:name="xdx_8B6_zpB84hlABYCl"/>
      <w:bookmarkEnd w:id="1718"/>
      <w:r>
        <w:rPr>
          <w:rFonts w:ascii="Times New Roman;Times;Serif" w:hAnsi="Times New Roman;Times;Serif"/>
          <w:b w:val="false"/>
          <w:i w:val="false"/>
          <w:caps w:val="false"/>
          <w:smallCaps w:val="false"/>
          <w:sz w:val="20"/>
        </w:rPr>
        <w:t>Schedule of Assumptions Used in Determining MSR Value</w:t>
      </w:r>
    </w:p>
    <w:tbl>
      <w:tblPr>
        <w:tblW w:w="5135" w:type="dxa"/>
        <w:jc w:val="left"/>
        <w:tblInd w:w="0" w:type="dxa"/>
        <w:tblLayout w:type="fixed"/>
        <w:tblCellMar>
          <w:top w:w="0" w:type="dxa"/>
          <w:left w:w="0" w:type="dxa"/>
          <w:bottom w:w="0" w:type="dxa"/>
          <w:right w:w="0" w:type="dxa"/>
        </w:tblCellMar>
      </w:tblPr>
      <w:tblGrid>
        <w:gridCol w:w="1910"/>
        <w:gridCol w:w="60"/>
        <w:gridCol w:w="110"/>
        <w:gridCol w:w="1035"/>
        <w:gridCol w:w="60"/>
        <w:gridCol w:w="60"/>
        <w:gridCol w:w="99"/>
        <w:gridCol w:w="731"/>
        <w:gridCol w:w="60"/>
        <w:gridCol w:w="60"/>
        <w:gridCol w:w="84"/>
        <w:gridCol w:w="791"/>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jc w:val="center"/>
              <w:rPr/>
            </w:pPr>
            <w:r>
              <w:rPr/>
              <w:t>Prepayment</w:t>
            </w:r>
          </w:p>
          <w:p>
            <w:pPr>
              <w:pStyle w:val="TableContents"/>
              <w:bidi w:val="0"/>
              <w:spacing w:before="0" w:after="283"/>
              <w:jc w:val="center"/>
              <w:rPr/>
            </w:pPr>
            <w:r>
              <w:rPr/>
              <w:t>Speeds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jc w:val="center"/>
              <w:rPr/>
            </w:pPr>
            <w:r>
              <w:rPr/>
              <w:t>Average</w:t>
            </w:r>
          </w:p>
          <w:p>
            <w:pPr>
              <w:pStyle w:val="TableContents"/>
              <w:bidi w:val="0"/>
              <w:jc w:val="center"/>
              <w:rPr/>
            </w:pPr>
            <w:r>
              <w:rPr/>
              <w:t>Life</w:t>
            </w:r>
          </w:p>
          <w:p>
            <w:pPr>
              <w:pStyle w:val="TableContents"/>
              <w:bidi w:val="0"/>
              <w:spacing w:before="0" w:after="283"/>
              <w:jc w:val="center"/>
              <w:rPr/>
            </w:pPr>
            <w:r>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pPr>
            <w:r>
              <w:rPr/>
              <w:t>Discount</w:t>
            </w:r>
          </w:p>
          <w:p>
            <w:pPr>
              <w:pStyle w:val="TableContents"/>
              <w:bidi w:val="0"/>
              <w:spacing w:before="0" w:after="283"/>
              <w:jc w:val="center"/>
              <w:rPr/>
            </w:pPr>
            <w:r>
              <w:rPr/>
              <w:t>Rate</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719" w:name="xdx_982_ecustom--PrepaymentSpeeds_uPure_"/>
            <w:bookmarkEnd w:id="1719"/>
          </w:p>
        </w:tc>
        <w:tc>
          <w:tcPr>
            <w:tcW w:w="1035" w:type="dxa"/>
            <w:tcBorders/>
            <w:shd w:fill="CCEEFF" w:val="clear"/>
            <w:vAlign w:val="center"/>
          </w:tcPr>
          <w:p>
            <w:pPr>
              <w:pStyle w:val="TableContents"/>
              <w:bidi w:val="0"/>
              <w:spacing w:before="0" w:after="283"/>
              <w:jc w:val="right"/>
              <w:rPr/>
            </w:pPr>
            <w:r>
              <w:rPr/>
              <w:t>11.75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bookmarkStart w:id="1720" w:name="xdx_908_ecustom--AverageLifeInYears_dtY_"/>
            <w:bookmarkEnd w:id="1720"/>
            <w:r>
              <w:rPr/>
              <w:t>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1721" w:name="xdx_989_ecustom--DiscountRate_uPure_c202"/>
            <w:bookmarkEnd w:id="1721"/>
          </w:p>
        </w:tc>
        <w:tc>
          <w:tcPr>
            <w:tcW w:w="791" w:type="dxa"/>
            <w:tcBorders/>
            <w:shd w:fill="CCEEFF" w:val="clear"/>
            <w:vAlign w:val="center"/>
          </w:tcPr>
          <w:p>
            <w:pPr>
              <w:pStyle w:val="TableContents"/>
              <w:bidi w:val="0"/>
              <w:spacing w:before="0" w:after="283"/>
              <w:jc w:val="right"/>
              <w:rPr/>
            </w:pPr>
            <w:r>
              <w:rPr/>
              <w:t>11.68</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722" w:name="xdx_989_ecustom--PrepaymentSpeeds_uPure_"/>
            <w:bookmarkEnd w:id="1722"/>
          </w:p>
        </w:tc>
        <w:tc>
          <w:tcPr>
            <w:tcW w:w="1035" w:type="dxa"/>
            <w:tcBorders/>
            <w:shd w:fill="FFFFFF" w:val="clear"/>
            <w:vAlign w:val="center"/>
          </w:tcPr>
          <w:p>
            <w:pPr>
              <w:pStyle w:val="TableContents"/>
              <w:bidi w:val="0"/>
              <w:spacing w:before="0" w:after="283"/>
              <w:jc w:val="right"/>
              <w:rPr/>
            </w:pPr>
            <w:r>
              <w:rPr/>
              <w:t>12.27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bookmarkStart w:id="1723" w:name="xdx_902_ecustom--AverageLifeInYears_dtY_"/>
            <w:bookmarkEnd w:id="1723"/>
            <w:r>
              <w:rPr/>
              <w:t>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bookmarkStart w:id="1724" w:name="xdx_981_ecustom--DiscountRate_uPure_c202"/>
            <w:bookmarkEnd w:id="1724"/>
          </w:p>
        </w:tc>
        <w:tc>
          <w:tcPr>
            <w:tcW w:w="791" w:type="dxa"/>
            <w:tcBorders/>
            <w:shd w:fill="FFFFFF" w:val="clear"/>
            <w:vAlign w:val="center"/>
          </w:tcPr>
          <w:p>
            <w:pPr>
              <w:pStyle w:val="TableContents"/>
              <w:bidi w:val="0"/>
              <w:spacing w:before="0" w:after="283"/>
              <w:jc w:val="right"/>
              <w:rPr/>
            </w:pPr>
            <w:r>
              <w:rPr/>
              <w:t>11.92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25" w:name="xdx_8AB_zZCRgM05ggNe"/>
      <w:bookmarkEnd w:id="172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26" w:name="xdx_805_eus-gaap--InsuranceContractAcqui"/>
      <w:bookmarkEnd w:id="1726"/>
      <w:r>
        <w:rPr>
          <w:rFonts w:ascii="Times New Roman;Times;Serif" w:hAnsi="Times New Roman;Times;Serif"/>
          <w:b w:val="false"/>
          <w:i w:val="false"/>
          <w:caps w:val="false"/>
          <w:smallCaps w:val="false"/>
          <w:sz w:val="20"/>
        </w:rPr>
        <w:t xml:space="preserve">(8) </w:t>
      </w:r>
      <w:bookmarkStart w:id="1727" w:name="xdx_82C_zoymdzzPu6uc"/>
      <w:bookmarkStart w:id="1728" w:name="sp_003"/>
      <w:bookmarkEnd w:id="1727"/>
      <w:bookmarkEnd w:id="1728"/>
      <w:r>
        <w:rPr>
          <w:rFonts w:ascii="Times New Roman;Times;Serif" w:hAnsi="Times New Roman;Times;Serif"/>
          <w:b w:val="false"/>
          <w:i w:val="false"/>
          <w:caps w:val="false"/>
          <w:smallCaps w:val="false"/>
          <w:sz w:val="20"/>
          <w:u w:val="single"/>
        </w:rPr>
        <w:t>Deferred Policy and Pre-need Contract Acquisition Costs, Value of Business Acquired, and Unearned Premium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 regarding the adoption of ASU 2018-12.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Policy and Pre-need Contract Acquisition Costs (“DAC”)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29" w:name="xdx_892_eus-gaap--DeferredPolicyAcquisit"/>
      <w:bookmarkEnd w:id="1729"/>
      <w:r>
        <w:rPr>
          <w:rFonts w:ascii="Times New Roman;Times;Serif" w:hAnsi="Times New Roman;Times;Serif"/>
          <w:b w:val="false"/>
          <w:i w:val="false"/>
          <w:caps w:val="false"/>
          <w:smallCaps w:val="false"/>
          <w:sz w:val="20"/>
        </w:rPr>
        <w:t>The following tables show a roll forward for the lines of business that contain DAC balances, along with a reconciliation to the Company’s total DAC balance:</w:t>
      </w:r>
    </w:p>
    <w:p>
      <w:pPr>
        <w:pStyle w:val="TextBody"/>
        <w:bidi w:val="0"/>
        <w:spacing w:before="0" w:after="0"/>
        <w:ind w:left="0" w:right="0" w:hanging="0"/>
        <w:jc w:val="both"/>
        <w:rPr>
          <w:caps w:val="false"/>
          <w:smallCaps w:val="false"/>
        </w:rPr>
      </w:pPr>
      <w:r>
        <w:rPr>
          <w:caps w:val="false"/>
          <w:smallCaps w:val="false"/>
        </w:rPr>
        <w:t> </w:t>
      </w:r>
      <w:bookmarkStart w:id="1730" w:name="xdx_8B8_zLvx1V2dOi0j"/>
      <w:bookmarkEnd w:id="1730"/>
      <w:r>
        <w:rPr>
          <w:rFonts w:ascii="Times New Roman;Times;Serif" w:hAnsi="Times New Roman;Times;Serif"/>
          <w:b w:val="false"/>
          <w:i w:val="false"/>
          <w:caps w:val="false"/>
          <w:smallCaps w:val="false"/>
          <w:sz w:val="20"/>
        </w:rPr>
        <w:t>Schedule of Roll Forward for the Lines of Business that Contain DAC Balances</w:t>
      </w:r>
    </w:p>
    <w:tbl>
      <w:tblPr>
        <w:tblW w:w="10205" w:type="dxa"/>
        <w:jc w:val="left"/>
        <w:tblInd w:w="0" w:type="dxa"/>
        <w:tblLayout w:type="fixed"/>
        <w:tblCellMar>
          <w:top w:w="0" w:type="dxa"/>
          <w:left w:w="0" w:type="dxa"/>
          <w:bottom w:w="0" w:type="dxa"/>
          <w:right w:w="0" w:type="dxa"/>
        </w:tblCellMar>
      </w:tblPr>
      <w:tblGrid>
        <w:gridCol w:w="1745"/>
        <w:gridCol w:w="60"/>
        <w:gridCol w:w="143"/>
        <w:gridCol w:w="1256"/>
        <w:gridCol w:w="95"/>
        <w:gridCol w:w="60"/>
        <w:gridCol w:w="164"/>
        <w:gridCol w:w="940"/>
        <w:gridCol w:w="95"/>
        <w:gridCol w:w="60"/>
        <w:gridCol w:w="149"/>
        <w:gridCol w:w="1044"/>
        <w:gridCol w:w="95"/>
        <w:gridCol w:w="60"/>
        <w:gridCol w:w="701"/>
        <w:gridCol w:w="476"/>
        <w:gridCol w:w="60"/>
        <w:gridCol w:w="60"/>
        <w:gridCol w:w="164"/>
        <w:gridCol w:w="1149"/>
        <w:gridCol w:w="95"/>
        <w:gridCol w:w="60"/>
        <w:gridCol w:w="140"/>
        <w:gridCol w:w="1220"/>
        <w:gridCol w:w="114"/>
      </w:tblGrid>
      <w:tr>
        <w:trPr/>
        <w:tc>
          <w:tcPr>
            <w:tcW w:w="1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1" w:name="xdx_498_20260101__20260630__srt--Product"/>
            <w:bookmarkEnd w:id="1731"/>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Traditional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2" w:name="xdx_496_20260101__20260630__srt--Product"/>
            <w:bookmarkEnd w:id="1732"/>
          </w:p>
        </w:tc>
        <w:tc>
          <w:tcPr>
            <w:tcW w:w="1104" w:type="dxa"/>
            <w:gridSpan w:val="2"/>
            <w:tcBorders>
              <w:bottom w:val="single" w:sz="8" w:space="0" w:color="000000"/>
            </w:tcBorders>
            <w:tcMar>
              <w:bottom w:w="28" w:type="dxa"/>
            </w:tcMar>
            <w:vAlign w:val="center"/>
          </w:tcPr>
          <w:p>
            <w:pPr>
              <w:pStyle w:val="TableContents"/>
              <w:bidi w:val="0"/>
              <w:spacing w:before="0" w:after="283"/>
              <w:jc w:val="center"/>
              <w:rPr/>
            </w:pPr>
            <w:r>
              <w:rPr/>
              <w:t>Fixed Annuities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3" w:name="xdx_49E_20260101__20260630__srt--Product"/>
            <w:bookmarkEnd w:id="1733"/>
          </w:p>
        </w:tc>
        <w:tc>
          <w:tcPr>
            <w:tcW w:w="1193" w:type="dxa"/>
            <w:gridSpan w:val="2"/>
            <w:tcBorders>
              <w:bottom w:val="single" w:sz="8" w:space="0" w:color="000000"/>
            </w:tcBorders>
            <w:tcMar>
              <w:bottom w:w="28" w:type="dxa"/>
            </w:tcMar>
            <w:vAlign w:val="center"/>
          </w:tcPr>
          <w:p>
            <w:pPr>
              <w:pStyle w:val="TableContents"/>
              <w:bidi w:val="0"/>
              <w:spacing w:before="0" w:after="283"/>
              <w:jc w:val="center"/>
              <w:rPr/>
            </w:pPr>
            <w:r>
              <w:rPr/>
              <w:t>Universal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4" w:name="xdx_49A_20260101__20260630__srt--Product"/>
            <w:bookmarkEnd w:id="1734"/>
          </w:p>
        </w:tc>
        <w:tc>
          <w:tcPr>
            <w:tcW w:w="1177" w:type="dxa"/>
            <w:gridSpan w:val="2"/>
            <w:tcBorders>
              <w:bottom w:val="single" w:sz="8" w:space="0" w:color="000000"/>
            </w:tcBorders>
            <w:tcMar>
              <w:bottom w:w="28" w:type="dxa"/>
            </w:tcMar>
            <w:vAlign w:val="center"/>
          </w:tcPr>
          <w:p>
            <w:pPr>
              <w:pStyle w:val="TableContents"/>
              <w:bidi w:val="0"/>
              <w:spacing w:before="0" w:after="283"/>
              <w:jc w:val="center"/>
              <w:rPr/>
            </w:pPr>
            <w:r>
              <w:rPr/>
              <w:t>Accident and Health</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5" w:name="xdx_494_20260101__20260630__srt--Product"/>
            <w:bookmarkEnd w:id="1735"/>
          </w:p>
        </w:tc>
        <w:tc>
          <w:tcPr>
            <w:tcW w:w="1313" w:type="dxa"/>
            <w:gridSpan w:val="2"/>
            <w:tcBorders>
              <w:bottom w:val="single" w:sz="8" w:space="0" w:color="000000"/>
            </w:tcBorders>
            <w:tcMar>
              <w:bottom w:w="28" w:type="dxa"/>
            </w:tcMar>
            <w:vAlign w:val="center"/>
          </w:tcPr>
          <w:p>
            <w:pPr>
              <w:pStyle w:val="TableContents"/>
              <w:bidi w:val="0"/>
              <w:spacing w:before="0" w:after="283"/>
              <w:jc w:val="center"/>
              <w:rPr/>
            </w:pPr>
            <w:r>
              <w:rPr/>
              <w:t>Pre-need Contracts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6" w:name="xdx_49B_20260101__20260630_zKdxEARfC0O7"/>
            <w:bookmarkEnd w:id="1736"/>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4" w:type="dxa"/>
            <w:tcBorders/>
            <w:vAlign w:val="center"/>
          </w:tcPr>
          <w:p>
            <w:pPr>
              <w:pStyle w:val="TableContents"/>
              <w:bidi w:val="0"/>
              <w:spacing w:before="0" w:after="283"/>
              <w:jc w:val="center"/>
              <w:rPr/>
            </w:pPr>
            <w:r>
              <w:rPr/>
              <w:t> </w:t>
            </w:r>
            <w:bookmarkStart w:id="1737" w:name="xdx_40B_eus-gaap--DeferredPolicyAcquisit"/>
            <w:bookmarkEnd w:id="1737"/>
          </w:p>
        </w:tc>
      </w:tr>
      <w:tr>
        <w:trPr/>
        <w:tc>
          <w:tcPr>
            <w:tcW w:w="174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127,639,286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571,370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3,430,518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w:t>
            </w:r>
          </w:p>
        </w:tc>
        <w:tc>
          <w:tcPr>
            <w:tcW w:w="4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4,337,629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135,978,803</w:t>
            </w:r>
          </w:p>
        </w:tc>
        <w:tc>
          <w:tcPr>
            <w:tcW w:w="114" w:type="dxa"/>
            <w:tcBorders/>
            <w:shd w:fill="CCEEFF" w:val="clear"/>
            <w:vAlign w:val="center"/>
          </w:tcPr>
          <w:p>
            <w:pPr>
              <w:pStyle w:val="TableContents"/>
              <w:bidi w:val="0"/>
              <w:spacing w:before="0" w:after="283"/>
              <w:jc w:val="left"/>
              <w:rPr/>
            </w:pPr>
            <w:r>
              <w:rPr/>
              <w:t> </w:t>
            </w:r>
            <w:bookmarkStart w:id="1738" w:name="xdx_40E_eus-gaap--IncreaseDecreaseInDefe"/>
            <w:bookmarkEnd w:id="1738"/>
          </w:p>
        </w:tc>
      </w:tr>
      <w:tr>
        <w:trPr/>
        <w:tc>
          <w:tcPr>
            <w:tcW w:w="1745" w:type="dxa"/>
            <w:tcBorders/>
            <w:shd w:fill="FFFFFF" w:val="clear"/>
            <w:vAlign w:val="center"/>
          </w:tcPr>
          <w:p>
            <w:pPr>
              <w:pStyle w:val="TableContents"/>
              <w:bidi w:val="0"/>
              <w:spacing w:before="0" w:after="283"/>
              <w:jc w:val="left"/>
              <w:rPr/>
            </w:pPr>
            <w:r>
              <w:rPr/>
              <w:t>Deferrals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9,001,384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62,910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607,942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9,672,236</w:t>
            </w:r>
          </w:p>
        </w:tc>
        <w:tc>
          <w:tcPr>
            <w:tcW w:w="114" w:type="dxa"/>
            <w:tcBorders/>
            <w:shd w:fill="FFFFFF" w:val="clear"/>
            <w:vAlign w:val="center"/>
          </w:tcPr>
          <w:p>
            <w:pPr>
              <w:pStyle w:val="TableContents"/>
              <w:bidi w:val="0"/>
              <w:spacing w:before="0" w:after="283"/>
              <w:jc w:val="left"/>
              <w:rPr/>
            </w:pPr>
            <w:r>
              <w:rPr/>
              <w:t> </w:t>
            </w:r>
            <w:bookmarkStart w:id="1739" w:name="xdx_40C_eus-gaap--DeferredPolicyAcquisit"/>
            <w:bookmarkEnd w:id="1739"/>
          </w:p>
        </w:tc>
      </w:tr>
      <w:tr>
        <w:trPr/>
        <w:tc>
          <w:tcPr>
            <w:tcW w:w="174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(4,963,505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(59,996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pPr>
            <w:r>
              <w:rPr/>
              <w:t>(148,274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(511,777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(5,683,552</w:t>
            </w:r>
          </w:p>
        </w:tc>
        <w:tc>
          <w:tcPr>
            <w:tcW w:w="114" w:type="dxa"/>
            <w:tcBorders/>
            <w:shd w:fill="CCEEFF" w:val="clear"/>
            <w:vAlign w:val="center"/>
          </w:tcPr>
          <w:p>
            <w:pPr>
              <w:pStyle w:val="TableContents"/>
              <w:bidi w:val="0"/>
              <w:spacing w:before="0" w:after="283"/>
              <w:jc w:val="left"/>
              <w:rPr/>
            </w:pPr>
            <w:r>
              <w:rPr/>
              <w:t>)</w:t>
            </w:r>
            <w:bookmarkStart w:id="1740" w:name="xdx_401_eus-gaap--DeferredPolicyAcquisit"/>
            <w:bookmarkEnd w:id="1740"/>
          </w:p>
        </w:tc>
      </w:tr>
      <w:tr>
        <w:trPr/>
        <w:tc>
          <w:tcPr>
            <w:tcW w:w="1745"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pPr>
            <w:r>
              <w:rPr/>
              <w:t>131,677,165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574,284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jc w:val="right"/>
              <w:rPr/>
            </w:pPr>
            <w:r>
              <w:rPr/>
              <w:t>3,282,244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pPr>
            <w:r>
              <w:rPr/>
              <w:t>4,433,794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139,967,487</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32"/>
        <w:gridCol w:w="60"/>
        <w:gridCol w:w="143"/>
        <w:gridCol w:w="1255"/>
        <w:gridCol w:w="95"/>
        <w:gridCol w:w="60"/>
        <w:gridCol w:w="163"/>
        <w:gridCol w:w="936"/>
        <w:gridCol w:w="95"/>
        <w:gridCol w:w="60"/>
        <w:gridCol w:w="148"/>
        <w:gridCol w:w="1042"/>
        <w:gridCol w:w="95"/>
        <w:gridCol w:w="60"/>
        <w:gridCol w:w="273"/>
        <w:gridCol w:w="895"/>
        <w:gridCol w:w="95"/>
        <w:gridCol w:w="60"/>
        <w:gridCol w:w="163"/>
        <w:gridCol w:w="1144"/>
        <w:gridCol w:w="95"/>
        <w:gridCol w:w="60"/>
        <w:gridCol w:w="140"/>
        <w:gridCol w:w="1220"/>
        <w:gridCol w:w="116"/>
      </w:tblGrid>
      <w:tr>
        <w:trPr/>
        <w:tc>
          <w:tcPr>
            <w:tcW w:w="17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1" w:name="xdx_490_20250101__20250630__srt--Product"/>
            <w:bookmarkEnd w:id="1741"/>
          </w:p>
        </w:tc>
        <w:tc>
          <w:tcPr>
            <w:tcW w:w="1398" w:type="dxa"/>
            <w:gridSpan w:val="2"/>
            <w:tcBorders>
              <w:bottom w:val="single" w:sz="8" w:space="0" w:color="000000"/>
            </w:tcBorders>
            <w:tcMar>
              <w:bottom w:w="28" w:type="dxa"/>
            </w:tcMar>
            <w:vAlign w:val="center"/>
          </w:tcPr>
          <w:p>
            <w:pPr>
              <w:pStyle w:val="TableContents"/>
              <w:bidi w:val="0"/>
              <w:spacing w:before="0" w:after="283"/>
              <w:jc w:val="center"/>
              <w:rPr/>
            </w:pPr>
            <w:r>
              <w:rPr/>
              <w:t>Traditional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2" w:name="xdx_497_20250101__20250630__srt--Product"/>
            <w:bookmarkEnd w:id="1742"/>
          </w:p>
        </w:tc>
        <w:tc>
          <w:tcPr>
            <w:tcW w:w="1099" w:type="dxa"/>
            <w:gridSpan w:val="2"/>
            <w:tcBorders>
              <w:bottom w:val="single" w:sz="8" w:space="0" w:color="000000"/>
            </w:tcBorders>
            <w:tcMar>
              <w:bottom w:w="28" w:type="dxa"/>
            </w:tcMar>
            <w:vAlign w:val="center"/>
          </w:tcPr>
          <w:p>
            <w:pPr>
              <w:pStyle w:val="TableContents"/>
              <w:bidi w:val="0"/>
              <w:spacing w:before="0" w:after="283"/>
              <w:jc w:val="center"/>
              <w:rPr/>
            </w:pPr>
            <w:r>
              <w:rPr/>
              <w:t>Fixed Annuities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3" w:name="xdx_497_20250101__20250630__srt--Product"/>
            <w:bookmarkEnd w:id="1743"/>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t>Universal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4" w:name="xdx_49C_20250101__20250630__srt--Product"/>
            <w:bookmarkEnd w:id="1744"/>
          </w:p>
        </w:tc>
        <w:tc>
          <w:tcPr>
            <w:tcW w:w="1168" w:type="dxa"/>
            <w:gridSpan w:val="2"/>
            <w:tcBorders>
              <w:bottom w:val="single" w:sz="8" w:space="0" w:color="000000"/>
            </w:tcBorders>
            <w:tcMar>
              <w:bottom w:w="28" w:type="dxa"/>
            </w:tcMar>
            <w:vAlign w:val="center"/>
          </w:tcPr>
          <w:p>
            <w:pPr>
              <w:pStyle w:val="TableContents"/>
              <w:bidi w:val="0"/>
              <w:spacing w:before="0" w:after="283"/>
              <w:jc w:val="center"/>
              <w:rPr/>
            </w:pPr>
            <w:r>
              <w:rPr/>
              <w:t>Accident and Health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5" w:name="xdx_498_20250101__20250630__srt--Product"/>
            <w:bookmarkEnd w:id="1745"/>
          </w:p>
        </w:tc>
        <w:tc>
          <w:tcPr>
            <w:tcW w:w="1307" w:type="dxa"/>
            <w:gridSpan w:val="2"/>
            <w:tcBorders>
              <w:bottom w:val="single" w:sz="8" w:space="0" w:color="000000"/>
            </w:tcBorders>
            <w:tcMar>
              <w:bottom w:w="28" w:type="dxa"/>
            </w:tcMar>
            <w:vAlign w:val="center"/>
          </w:tcPr>
          <w:p>
            <w:pPr>
              <w:pStyle w:val="TableContents"/>
              <w:bidi w:val="0"/>
              <w:spacing w:before="0" w:after="283"/>
              <w:jc w:val="center"/>
              <w:rPr/>
            </w:pPr>
            <w:r>
              <w:rPr/>
              <w:t>Pre-need Contracts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6" w:name="xdx_490_20250101__20250630_zUp3lWQrMlA5"/>
            <w:bookmarkEnd w:id="1746"/>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6" w:type="dxa"/>
            <w:tcBorders/>
            <w:vAlign w:val="center"/>
          </w:tcPr>
          <w:p>
            <w:pPr>
              <w:pStyle w:val="TableContents"/>
              <w:bidi w:val="0"/>
              <w:spacing w:before="0" w:after="283"/>
              <w:jc w:val="center"/>
              <w:rPr/>
            </w:pPr>
            <w:r>
              <w:rPr/>
              <w:t> </w:t>
            </w:r>
            <w:bookmarkStart w:id="1747" w:name="xdx_40B_eus-gaap--DeferredPolicyAcquisit"/>
            <w:bookmarkEnd w:id="1747"/>
          </w:p>
        </w:tc>
      </w:tr>
      <w:tr>
        <w:trPr/>
        <w:tc>
          <w:tcPr>
            <w:tcW w:w="1732"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118,803,677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535,836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3,754,867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4,125,061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127,219,907</w:t>
            </w:r>
          </w:p>
        </w:tc>
        <w:tc>
          <w:tcPr>
            <w:tcW w:w="116" w:type="dxa"/>
            <w:tcBorders/>
            <w:shd w:fill="CCEEFF" w:val="clear"/>
            <w:vAlign w:val="center"/>
          </w:tcPr>
          <w:p>
            <w:pPr>
              <w:pStyle w:val="TableContents"/>
              <w:bidi w:val="0"/>
              <w:spacing w:before="0" w:after="283"/>
              <w:jc w:val="left"/>
              <w:rPr/>
            </w:pPr>
            <w:r>
              <w:rPr/>
              <w:t> </w:t>
            </w:r>
            <w:bookmarkStart w:id="1748" w:name="xdx_40B_eus-gaap--DeferredPolicyAcquisit"/>
            <w:bookmarkEnd w:id="1748"/>
          </w:p>
        </w:tc>
      </w:tr>
      <w:tr>
        <w:trPr/>
        <w:tc>
          <w:tcPr>
            <w:tcW w:w="1732"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118,803,677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535,836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3,754,867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4,125,061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127,219,907</w:t>
            </w:r>
          </w:p>
        </w:tc>
        <w:tc>
          <w:tcPr>
            <w:tcW w:w="116" w:type="dxa"/>
            <w:tcBorders/>
            <w:shd w:fill="CCEEFF" w:val="clear"/>
            <w:vAlign w:val="center"/>
          </w:tcPr>
          <w:p>
            <w:pPr>
              <w:pStyle w:val="TableContents"/>
              <w:bidi w:val="0"/>
              <w:spacing w:before="0" w:after="283"/>
              <w:jc w:val="left"/>
              <w:rPr/>
            </w:pPr>
            <w:r>
              <w:rPr/>
              <w:t> </w:t>
            </w:r>
            <w:bookmarkStart w:id="1749" w:name="xdx_40E_eus-gaap--IncreaseDecreaseInDefe"/>
            <w:bookmarkEnd w:id="1749"/>
          </w:p>
        </w:tc>
      </w:tr>
      <w:tr>
        <w:trPr/>
        <w:tc>
          <w:tcPr>
            <w:tcW w:w="1732" w:type="dxa"/>
            <w:tcBorders/>
            <w:shd w:fill="FFFFFF" w:val="clear"/>
            <w:vAlign w:val="center"/>
          </w:tcPr>
          <w:p>
            <w:pPr>
              <w:pStyle w:val="TableContents"/>
              <w:bidi w:val="0"/>
              <w:spacing w:before="0" w:after="283"/>
              <w:jc w:val="left"/>
              <w:rPr/>
            </w:pPr>
            <w:r>
              <w:rPr/>
              <w:t>Deferrals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10,207,141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91,482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254,754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10,553,377</w:t>
            </w:r>
          </w:p>
        </w:tc>
        <w:tc>
          <w:tcPr>
            <w:tcW w:w="116" w:type="dxa"/>
            <w:tcBorders/>
            <w:shd w:fill="FFFFFF" w:val="clear"/>
            <w:vAlign w:val="center"/>
          </w:tcPr>
          <w:p>
            <w:pPr>
              <w:pStyle w:val="TableContents"/>
              <w:bidi w:val="0"/>
              <w:spacing w:before="0" w:after="283"/>
              <w:jc w:val="left"/>
              <w:rPr/>
            </w:pPr>
            <w:r>
              <w:rPr/>
              <w:t> </w:t>
            </w:r>
            <w:bookmarkStart w:id="1750" w:name="xdx_40C_eus-gaap--DeferredPolicyAcquisit"/>
            <w:bookmarkEnd w:id="1750"/>
          </w:p>
        </w:tc>
      </w:tr>
      <w:tr>
        <w:trPr/>
        <w:tc>
          <w:tcPr>
            <w:tcW w:w="1732"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(4,855,911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(66,913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(167,561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(327,377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(5,418,228</w:t>
            </w:r>
          </w:p>
        </w:tc>
        <w:tc>
          <w:tcPr>
            <w:tcW w:w="116" w:type="dxa"/>
            <w:tcBorders/>
            <w:shd w:fill="CCEEFF" w:val="clear"/>
            <w:vAlign w:val="center"/>
          </w:tcPr>
          <w:p>
            <w:pPr>
              <w:pStyle w:val="TableContents"/>
              <w:bidi w:val="0"/>
              <w:spacing w:before="0" w:after="283"/>
              <w:jc w:val="left"/>
              <w:rPr/>
            </w:pPr>
            <w:r>
              <w:rPr/>
              <w:t>)</w:t>
            </w:r>
            <w:bookmarkStart w:id="1751" w:name="xdx_401_eus-gaap--DeferredPolicyAcquisit"/>
            <w:bookmarkEnd w:id="1751"/>
          </w:p>
        </w:tc>
      </w:tr>
      <w:tr>
        <w:trPr/>
        <w:tc>
          <w:tcPr>
            <w:tcW w:w="1732"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124,154,907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pPr>
            <w:r>
              <w:rPr/>
              <w:t>560,405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3,587,306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4,052,438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132,355,056</w:t>
            </w:r>
          </w:p>
        </w:tc>
        <w:tc>
          <w:tcPr>
            <w:tcW w:w="116" w:type="dxa"/>
            <w:tcBorders/>
            <w:shd w:fill="FFFFFF" w:val="clear"/>
            <w:vAlign w:val="center"/>
          </w:tcPr>
          <w:p>
            <w:pPr>
              <w:pStyle w:val="TableContents"/>
              <w:bidi w:val="0"/>
              <w:spacing w:before="0" w:after="283"/>
              <w:jc w:val="left"/>
              <w:rPr/>
            </w:pPr>
            <w:r>
              <w:rPr/>
              <w:t> </w:t>
            </w:r>
            <w:bookmarkStart w:id="1752" w:name="xdx_404_eus-gaap--DeferredPolicyAcquisit"/>
            <w:bookmarkEnd w:id="1752"/>
          </w:p>
        </w:tc>
      </w:tr>
      <w:tr>
        <w:trPr/>
        <w:tc>
          <w:tcPr>
            <w:tcW w:w="1732"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124,154,907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pPr>
            <w:r>
              <w:rPr/>
              <w:t>560,405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3,587,306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4,052,438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132,355,056</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Business Acquired (“VOBA”)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53" w:name="xdx_891_eus-gaap--PresentValueOfFutureIn"/>
      <w:bookmarkEnd w:id="1753"/>
      <w:r>
        <w:rPr>
          <w:rFonts w:ascii="Times New Roman;Times;Serif" w:hAnsi="Times New Roman;Times;Serif"/>
          <w:b w:val="false"/>
          <w:i w:val="false"/>
          <w:caps w:val="false"/>
          <w:smallCaps w:val="false"/>
          <w:sz w:val="20"/>
        </w:rPr>
        <w:t>The following tables show a roll forward for the lines of business that contain VOBA balances, along with a reconciliation to the Company’s total VOBA balance:</w:t>
      </w:r>
    </w:p>
    <w:p>
      <w:pPr>
        <w:pStyle w:val="TextBody"/>
        <w:bidi w:val="0"/>
        <w:spacing w:before="0" w:after="0"/>
        <w:ind w:left="0" w:right="0" w:hanging="0"/>
        <w:jc w:val="both"/>
        <w:rPr>
          <w:caps w:val="false"/>
          <w:smallCaps w:val="false"/>
        </w:rPr>
      </w:pPr>
      <w:r>
        <w:rPr>
          <w:caps w:val="false"/>
          <w:smallCaps w:val="false"/>
        </w:rPr>
        <w:t> </w:t>
      </w:r>
      <w:bookmarkStart w:id="1754" w:name="xdx_8B4_zYtRs33K4wDk"/>
      <w:bookmarkEnd w:id="1754"/>
      <w:r>
        <w:rPr>
          <w:rFonts w:ascii="Times New Roman;Times;Serif" w:hAnsi="Times New Roman;Times;Serif"/>
          <w:b w:val="false"/>
          <w:i w:val="false"/>
          <w:caps w:val="false"/>
          <w:smallCaps w:val="false"/>
          <w:sz w:val="20"/>
        </w:rPr>
        <w:t>Schedule of Roll Forward for the Lines of Business That Contain VOBA Balances</w:t>
      </w:r>
    </w:p>
    <w:tbl>
      <w:tblPr>
        <w:tblW w:w="10205" w:type="dxa"/>
        <w:jc w:val="left"/>
        <w:tblInd w:w="0" w:type="dxa"/>
        <w:tblLayout w:type="fixed"/>
        <w:tblCellMar>
          <w:top w:w="0" w:type="dxa"/>
          <w:left w:w="0" w:type="dxa"/>
          <w:bottom w:w="0" w:type="dxa"/>
          <w:right w:w="0" w:type="dxa"/>
        </w:tblCellMar>
      </w:tblPr>
      <w:tblGrid>
        <w:gridCol w:w="2905"/>
        <w:gridCol w:w="60"/>
        <w:gridCol w:w="186"/>
        <w:gridCol w:w="1305"/>
        <w:gridCol w:w="95"/>
        <w:gridCol w:w="60"/>
        <w:gridCol w:w="902"/>
        <w:gridCol w:w="612"/>
        <w:gridCol w:w="60"/>
        <w:gridCol w:w="60"/>
        <w:gridCol w:w="203"/>
        <w:gridCol w:w="1165"/>
        <w:gridCol w:w="95"/>
        <w:gridCol w:w="60"/>
        <w:gridCol w:w="178"/>
        <w:gridCol w:w="870"/>
        <w:gridCol w:w="95"/>
        <w:gridCol w:w="60"/>
        <w:gridCol w:w="140"/>
        <w:gridCol w:w="980"/>
        <w:gridCol w:w="114"/>
      </w:tblGrid>
      <w:tr>
        <w:trPr/>
        <w:tc>
          <w:tcPr>
            <w:tcW w:w="2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5" w:name="xdx_49E_20260101__20260630__srt--Product"/>
            <w:bookmarkEnd w:id="1755"/>
          </w:p>
        </w:tc>
        <w:tc>
          <w:tcPr>
            <w:tcW w:w="1491" w:type="dxa"/>
            <w:gridSpan w:val="2"/>
            <w:tcBorders>
              <w:bottom w:val="single" w:sz="8" w:space="0" w:color="000000"/>
            </w:tcBorders>
            <w:tcMar>
              <w:bottom w:w="28" w:type="dxa"/>
            </w:tcMar>
            <w:vAlign w:val="center"/>
          </w:tcPr>
          <w:p>
            <w:pPr>
              <w:pStyle w:val="TableContents"/>
              <w:bidi w:val="0"/>
              <w:spacing w:before="0" w:after="283"/>
              <w:jc w:val="center"/>
              <w:rPr/>
            </w:pPr>
            <w:r>
              <w:rPr/>
              <w:t>Traditional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6" w:name="xdx_499_20260101__20260630__srt--Product"/>
            <w:bookmarkEnd w:id="1756"/>
          </w:p>
        </w:tc>
        <w:tc>
          <w:tcPr>
            <w:tcW w:w="1514" w:type="dxa"/>
            <w:gridSpan w:val="2"/>
            <w:tcBorders>
              <w:bottom w:val="single" w:sz="8" w:space="0" w:color="000000"/>
            </w:tcBorders>
            <w:tcMar>
              <w:bottom w:w="28" w:type="dxa"/>
            </w:tcMar>
            <w:vAlign w:val="center"/>
          </w:tcPr>
          <w:p>
            <w:pPr>
              <w:pStyle w:val="TableContents"/>
              <w:bidi w:val="0"/>
              <w:spacing w:before="0" w:after="283"/>
              <w:jc w:val="center"/>
              <w:rPr/>
            </w:pPr>
            <w:r>
              <w:rPr/>
              <w:t>Fixed Annuities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7" w:name="xdx_49A_20260101__20260630__srt--Product"/>
            <w:bookmarkEnd w:id="1757"/>
          </w:p>
        </w:tc>
        <w:tc>
          <w:tcPr>
            <w:tcW w:w="1368" w:type="dxa"/>
            <w:gridSpan w:val="2"/>
            <w:tcBorders>
              <w:bottom w:val="single" w:sz="8" w:space="0" w:color="000000"/>
            </w:tcBorders>
            <w:tcMar>
              <w:bottom w:w="28" w:type="dxa"/>
            </w:tcMar>
            <w:vAlign w:val="center"/>
          </w:tcPr>
          <w:p>
            <w:pPr>
              <w:pStyle w:val="TableContents"/>
              <w:bidi w:val="0"/>
              <w:spacing w:before="0" w:after="283"/>
              <w:jc w:val="center"/>
              <w:rPr/>
            </w:pPr>
            <w:r>
              <w:rPr/>
              <w:t>Universal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8" w:name="xdx_49A_20260101__20260630__srt--Product"/>
            <w:bookmarkEnd w:id="1758"/>
          </w:p>
        </w:tc>
        <w:tc>
          <w:tcPr>
            <w:tcW w:w="1048" w:type="dxa"/>
            <w:gridSpan w:val="2"/>
            <w:tcBorders>
              <w:bottom w:val="single" w:sz="8" w:space="0" w:color="000000"/>
            </w:tcBorders>
            <w:tcMar>
              <w:bottom w:w="28" w:type="dxa"/>
            </w:tcMar>
            <w:vAlign w:val="center"/>
          </w:tcPr>
          <w:p>
            <w:pPr>
              <w:pStyle w:val="TableContents"/>
              <w:bidi w:val="0"/>
              <w:jc w:val="center"/>
              <w:rPr/>
            </w:pPr>
            <w:r>
              <w:rPr/>
              <w:t>Accident</w:t>
            </w:r>
          </w:p>
          <w:p>
            <w:pPr>
              <w:pStyle w:val="TableContents"/>
              <w:bidi w:val="0"/>
              <w:spacing w:before="0" w:after="283"/>
              <w:jc w:val="center"/>
              <w:rPr/>
            </w:pPr>
            <w:r>
              <w:rPr/>
              <w:t>and Health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9" w:name="xdx_49C_20260101__20260630_zC8OeldjOPQ7"/>
            <w:bookmarkEnd w:id="1759"/>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4" w:type="dxa"/>
            <w:tcBorders/>
            <w:vAlign w:val="center"/>
          </w:tcPr>
          <w:p>
            <w:pPr>
              <w:pStyle w:val="TableContents"/>
              <w:bidi w:val="0"/>
              <w:spacing w:before="0" w:after="283"/>
              <w:jc w:val="center"/>
              <w:rPr/>
            </w:pPr>
            <w:r>
              <w:rPr/>
              <w:t> </w:t>
            </w:r>
            <w:bookmarkStart w:id="1760" w:name="xdx_40F_eus-gaap--ValueOfBusinessAcquire"/>
            <w:bookmarkEnd w:id="1760"/>
          </w:p>
        </w:tc>
      </w:tr>
      <w:tr>
        <w:trPr/>
        <w:tc>
          <w:tcPr>
            <w:tcW w:w="290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6,968,331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124,932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15,923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7,109,186</w:t>
            </w:r>
          </w:p>
        </w:tc>
        <w:tc>
          <w:tcPr>
            <w:tcW w:w="114" w:type="dxa"/>
            <w:tcBorders/>
            <w:shd w:fill="CCEEFF" w:val="clear"/>
            <w:vAlign w:val="center"/>
          </w:tcPr>
          <w:p>
            <w:pPr>
              <w:pStyle w:val="TableContents"/>
              <w:bidi w:val="0"/>
              <w:spacing w:before="0" w:after="283"/>
              <w:jc w:val="left"/>
              <w:rPr/>
            </w:pPr>
            <w:r>
              <w:rPr/>
              <w:t> </w:t>
            </w:r>
            <w:bookmarkStart w:id="1761" w:name="xdx_401_ecustom--PresentValueOfFutureIns"/>
            <w:bookmarkEnd w:id="1761"/>
          </w:p>
        </w:tc>
      </w:tr>
      <w:tr>
        <w:trPr/>
        <w:tc>
          <w:tcPr>
            <w:tcW w:w="2905" w:type="dxa"/>
            <w:tcBorders/>
            <w:shd w:fill="FFFFFF" w:val="clear"/>
            <w:vAlign w:val="center"/>
          </w:tcPr>
          <w:p>
            <w:pPr>
              <w:pStyle w:val="TableContents"/>
              <w:bidi w:val="0"/>
              <w:spacing w:before="0" w:after="283"/>
              <w:jc w:val="left"/>
              <w:rPr/>
            </w:pPr>
            <w:r>
              <w:rPr/>
              <w:t>Deferrals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762" w:name="xdx_40D_eus-gaap--AmortizationOfValueOfB"/>
            <w:bookmarkEnd w:id="1762"/>
          </w:p>
        </w:tc>
      </w:tr>
      <w:tr>
        <w:trPr/>
        <w:tc>
          <w:tcPr>
            <w:tcW w:w="290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(203,735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(28,884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pPr>
            <w:r>
              <w:rPr/>
              <w:t>(1,043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(233,662</w:t>
            </w:r>
          </w:p>
        </w:tc>
        <w:tc>
          <w:tcPr>
            <w:tcW w:w="114" w:type="dxa"/>
            <w:tcBorders/>
            <w:shd w:fill="CCEEFF" w:val="clear"/>
            <w:vAlign w:val="center"/>
          </w:tcPr>
          <w:p>
            <w:pPr>
              <w:pStyle w:val="TableContents"/>
              <w:bidi w:val="0"/>
              <w:spacing w:before="0" w:after="283"/>
              <w:jc w:val="left"/>
              <w:rPr/>
            </w:pPr>
            <w:r>
              <w:rPr/>
              <w:t>)</w:t>
            </w:r>
            <w:bookmarkStart w:id="1763" w:name="xdx_403_eus-gaap--ValueOfBusinessAcquire"/>
            <w:bookmarkEnd w:id="1763"/>
          </w:p>
        </w:tc>
      </w:tr>
      <w:tr>
        <w:trPr/>
        <w:tc>
          <w:tcPr>
            <w:tcW w:w="2905"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6,764,596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96,048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pPr>
            <w:r>
              <w:rPr/>
              <w:t>14,880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6,875,524</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5"/>
        <w:gridCol w:w="60"/>
        <w:gridCol w:w="186"/>
        <w:gridCol w:w="1305"/>
        <w:gridCol w:w="95"/>
        <w:gridCol w:w="60"/>
        <w:gridCol w:w="321"/>
        <w:gridCol w:w="1192"/>
        <w:gridCol w:w="60"/>
        <w:gridCol w:w="60"/>
        <w:gridCol w:w="203"/>
        <w:gridCol w:w="1165"/>
        <w:gridCol w:w="95"/>
        <w:gridCol w:w="60"/>
        <w:gridCol w:w="178"/>
        <w:gridCol w:w="870"/>
        <w:gridCol w:w="95"/>
        <w:gridCol w:w="60"/>
        <w:gridCol w:w="140"/>
        <w:gridCol w:w="980"/>
        <w:gridCol w:w="115"/>
      </w:tblGrid>
      <w:tr>
        <w:trPr/>
        <w:tc>
          <w:tcPr>
            <w:tcW w:w="2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4" w:name="xdx_49B_20250101__20250630__srt--Product"/>
            <w:bookmarkEnd w:id="1764"/>
          </w:p>
        </w:tc>
        <w:tc>
          <w:tcPr>
            <w:tcW w:w="1491" w:type="dxa"/>
            <w:gridSpan w:val="2"/>
            <w:tcBorders>
              <w:bottom w:val="single" w:sz="8" w:space="0" w:color="000000"/>
            </w:tcBorders>
            <w:tcMar>
              <w:bottom w:w="28" w:type="dxa"/>
            </w:tcMar>
            <w:vAlign w:val="center"/>
          </w:tcPr>
          <w:p>
            <w:pPr>
              <w:pStyle w:val="TableContents"/>
              <w:bidi w:val="0"/>
              <w:spacing w:before="0" w:after="283"/>
              <w:jc w:val="center"/>
              <w:rPr/>
            </w:pPr>
            <w:r>
              <w:rPr/>
              <w:t>Traditional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5" w:name="xdx_499_20250101__20250630__srt--Product"/>
            <w:bookmarkEnd w:id="1765"/>
          </w:p>
        </w:tc>
        <w:tc>
          <w:tcPr>
            <w:tcW w:w="1513" w:type="dxa"/>
            <w:gridSpan w:val="2"/>
            <w:tcBorders>
              <w:bottom w:val="single" w:sz="8" w:space="0" w:color="000000"/>
            </w:tcBorders>
            <w:tcMar>
              <w:bottom w:w="28" w:type="dxa"/>
            </w:tcMar>
            <w:vAlign w:val="center"/>
          </w:tcPr>
          <w:p>
            <w:pPr>
              <w:pStyle w:val="TableContents"/>
              <w:bidi w:val="0"/>
              <w:spacing w:before="0" w:after="283"/>
              <w:jc w:val="center"/>
              <w:rPr/>
            </w:pPr>
            <w:r>
              <w:rPr/>
              <w:t>Fixed Annuities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6" w:name="xdx_49A_20250101__20250630__srt--Product"/>
            <w:bookmarkEnd w:id="1766"/>
          </w:p>
        </w:tc>
        <w:tc>
          <w:tcPr>
            <w:tcW w:w="1368" w:type="dxa"/>
            <w:gridSpan w:val="2"/>
            <w:tcBorders>
              <w:bottom w:val="single" w:sz="8" w:space="0" w:color="000000"/>
            </w:tcBorders>
            <w:tcMar>
              <w:bottom w:w="28" w:type="dxa"/>
            </w:tcMar>
            <w:vAlign w:val="center"/>
          </w:tcPr>
          <w:p>
            <w:pPr>
              <w:pStyle w:val="TableContents"/>
              <w:bidi w:val="0"/>
              <w:spacing w:before="0" w:after="283"/>
              <w:jc w:val="center"/>
              <w:rPr/>
            </w:pPr>
            <w:r>
              <w:rPr/>
              <w:t>Universal Life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7" w:name="xdx_493_20250101__20250630__srt--Product"/>
            <w:bookmarkEnd w:id="1767"/>
          </w:p>
        </w:tc>
        <w:tc>
          <w:tcPr>
            <w:tcW w:w="1048" w:type="dxa"/>
            <w:gridSpan w:val="2"/>
            <w:tcBorders>
              <w:bottom w:val="single" w:sz="8" w:space="0" w:color="000000"/>
            </w:tcBorders>
            <w:tcMar>
              <w:bottom w:w="28" w:type="dxa"/>
            </w:tcMar>
            <w:vAlign w:val="center"/>
          </w:tcPr>
          <w:p>
            <w:pPr>
              <w:pStyle w:val="TableContents"/>
              <w:bidi w:val="0"/>
              <w:jc w:val="center"/>
              <w:rPr/>
            </w:pPr>
            <w:r>
              <w:rPr/>
              <w:t>Accident</w:t>
            </w:r>
          </w:p>
          <w:p>
            <w:pPr>
              <w:pStyle w:val="TableContents"/>
              <w:bidi w:val="0"/>
              <w:spacing w:before="0" w:after="283"/>
              <w:jc w:val="center"/>
              <w:rPr/>
            </w:pPr>
            <w:r>
              <w:rPr/>
              <w:t>and Health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8" w:name="xdx_497_20250101__20250630_zr7tZRKI6tba"/>
            <w:bookmarkEnd w:id="1768"/>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5" w:type="dxa"/>
            <w:tcBorders/>
            <w:vAlign w:val="center"/>
          </w:tcPr>
          <w:p>
            <w:pPr>
              <w:pStyle w:val="TableContents"/>
              <w:bidi w:val="0"/>
              <w:spacing w:before="0" w:after="283"/>
              <w:jc w:val="center"/>
              <w:rPr/>
            </w:pPr>
            <w:r>
              <w:rPr/>
              <w:t> </w:t>
            </w:r>
            <w:bookmarkStart w:id="1769" w:name="xdx_40F_eus-gaap--ValueOfBusinessAcquire"/>
            <w:bookmarkEnd w:id="1769"/>
          </w:p>
        </w:tc>
      </w:tr>
      <w:tr>
        <w:trPr/>
        <w:tc>
          <w:tcPr>
            <w:tcW w:w="290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7,397,519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186,632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18,370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7,602,521</w:t>
            </w:r>
          </w:p>
        </w:tc>
        <w:tc>
          <w:tcPr>
            <w:tcW w:w="115" w:type="dxa"/>
            <w:tcBorders/>
            <w:shd w:fill="CCEEFF" w:val="clear"/>
            <w:vAlign w:val="center"/>
          </w:tcPr>
          <w:p>
            <w:pPr>
              <w:pStyle w:val="TableContents"/>
              <w:bidi w:val="0"/>
              <w:spacing w:before="0" w:after="283"/>
              <w:jc w:val="left"/>
              <w:rPr/>
            </w:pPr>
            <w:r>
              <w:rPr/>
              <w:t> </w:t>
            </w:r>
            <w:bookmarkStart w:id="1770" w:name="xdx_403_eus-gaap--ValueOfBusinessAcquire"/>
            <w:bookmarkEnd w:id="1770"/>
          </w:p>
        </w:tc>
      </w:tr>
      <w:tr>
        <w:trPr/>
        <w:tc>
          <w:tcPr>
            <w:tcW w:w="2905"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7,397,519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186,632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18,370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7,602,521</w:t>
            </w:r>
          </w:p>
        </w:tc>
        <w:tc>
          <w:tcPr>
            <w:tcW w:w="115" w:type="dxa"/>
            <w:tcBorders/>
            <w:shd w:fill="CCEEFF" w:val="clear"/>
            <w:vAlign w:val="center"/>
          </w:tcPr>
          <w:p>
            <w:pPr>
              <w:pStyle w:val="TableContents"/>
              <w:bidi w:val="0"/>
              <w:spacing w:before="0" w:after="283"/>
              <w:jc w:val="left"/>
              <w:rPr/>
            </w:pPr>
            <w:r>
              <w:rPr/>
              <w:t> </w:t>
            </w:r>
            <w:bookmarkStart w:id="1771" w:name="xdx_401_ecustom--PresentValueOfFutureIns"/>
            <w:bookmarkEnd w:id="1771"/>
          </w:p>
        </w:tc>
      </w:tr>
      <w:tr>
        <w:trPr/>
        <w:tc>
          <w:tcPr>
            <w:tcW w:w="2905" w:type="dxa"/>
            <w:tcBorders/>
            <w:shd w:fill="FFFFFF" w:val="clear"/>
            <w:vAlign w:val="center"/>
          </w:tcPr>
          <w:p>
            <w:pPr>
              <w:pStyle w:val="TableContents"/>
              <w:bidi w:val="0"/>
              <w:spacing w:before="0" w:after="283"/>
              <w:jc w:val="left"/>
              <w:rPr/>
            </w:pPr>
            <w:r>
              <w:rPr/>
              <w:t>Deferrals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772" w:name="xdx_40D_eus-gaap--AmortizationOfValueOfB"/>
            <w:bookmarkEnd w:id="1772"/>
          </w:p>
        </w:tc>
      </w:tr>
      <w:tr>
        <w:trPr/>
        <w:tc>
          <w:tcPr>
            <w:tcW w:w="290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(219,165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(31,862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pPr>
            <w:r>
              <w:rPr/>
              <w:t>(1,251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(252,278</w:t>
            </w:r>
          </w:p>
        </w:tc>
        <w:tc>
          <w:tcPr>
            <w:tcW w:w="115" w:type="dxa"/>
            <w:tcBorders/>
            <w:shd w:fill="CCEEFF" w:val="clear"/>
            <w:vAlign w:val="center"/>
          </w:tcPr>
          <w:p>
            <w:pPr>
              <w:pStyle w:val="TableContents"/>
              <w:bidi w:val="0"/>
              <w:spacing w:before="0" w:after="283"/>
              <w:jc w:val="left"/>
              <w:rPr/>
            </w:pPr>
            <w:r>
              <w:rPr/>
              <w:t>)</w:t>
            </w:r>
            <w:bookmarkStart w:id="1773" w:name="xdx_403_eus-gaap--ValueOfBusinessAcquire"/>
            <w:bookmarkEnd w:id="1773"/>
          </w:p>
        </w:tc>
      </w:tr>
      <w:tr>
        <w:trPr/>
        <w:tc>
          <w:tcPr>
            <w:tcW w:w="2905"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7,178,354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154,770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pPr>
            <w:r>
              <w:rPr/>
              <w:t>17,119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7,350,243</w:t>
            </w:r>
          </w:p>
        </w:tc>
        <w:tc>
          <w:tcPr>
            <w:tcW w:w="115" w:type="dxa"/>
            <w:tcBorders/>
            <w:shd w:fill="FFFFFF" w:val="clear"/>
            <w:vAlign w:val="center"/>
          </w:tcPr>
          <w:p>
            <w:pPr>
              <w:pStyle w:val="TableContents"/>
              <w:bidi w:val="0"/>
              <w:spacing w:before="0" w:after="283"/>
              <w:jc w:val="left"/>
              <w:rPr/>
            </w:pPr>
            <w:r>
              <w:rPr/>
              <w:t> </w:t>
            </w:r>
            <w:bookmarkStart w:id="1774" w:name="xdx_406_eus-gaap--ValueOfBusinessAcquire"/>
            <w:bookmarkEnd w:id="1774"/>
          </w:p>
        </w:tc>
      </w:tr>
      <w:tr>
        <w:trPr/>
        <w:tc>
          <w:tcPr>
            <w:tcW w:w="2905"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7,178,354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154,770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pPr>
            <w:r>
              <w:rPr/>
              <w:t>17,119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7,350,243</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75" w:name="xdx_8AB_zlTbzR4VswWj"/>
      <w:bookmarkEnd w:id="177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Unearned Premium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6" w:name="xdx_89B_ecustom--ScheduleOfBalanceAndThe"/>
      <w:bookmarkEnd w:id="1776"/>
      <w:r>
        <w:rPr>
          <w:rFonts w:ascii="Times New Roman;Times;Serif" w:hAnsi="Times New Roman;Times;Serif"/>
          <w:b w:val="false"/>
          <w:i w:val="false"/>
          <w:caps w:val="false"/>
          <w:smallCaps w:val="false"/>
          <w:sz w:val="20"/>
        </w:rPr>
        <w:t>The balance and the changes in Unearned Premium Reserve are as follows:</w:t>
      </w:r>
    </w:p>
    <w:p>
      <w:pPr>
        <w:pStyle w:val="TextBody"/>
        <w:bidi w:val="0"/>
        <w:spacing w:before="0" w:after="0"/>
        <w:ind w:left="0" w:right="0" w:hanging="0"/>
        <w:jc w:val="both"/>
        <w:rPr>
          <w:caps w:val="false"/>
          <w:smallCaps w:val="false"/>
        </w:rPr>
      </w:pPr>
      <w:r>
        <w:rPr>
          <w:caps w:val="false"/>
          <w:smallCaps w:val="false"/>
        </w:rPr>
        <w:t> </w:t>
      </w:r>
      <w:bookmarkStart w:id="1777" w:name="xdx_8B4_zaGDrkHFc6Cj"/>
      <w:bookmarkEnd w:id="1777"/>
      <w:r>
        <w:rPr>
          <w:rFonts w:ascii="Times New Roman;Times;Serif" w:hAnsi="Times New Roman;Times;Serif"/>
          <w:b w:val="false"/>
          <w:i w:val="false"/>
          <w:caps w:val="false"/>
          <w:smallCaps w:val="false"/>
          <w:sz w:val="20"/>
        </w:rPr>
        <w:t>Schedule of Balance and the Changes in Unearned Premium Reserve</w:t>
      </w:r>
    </w:p>
    <w:tbl>
      <w:tblPr>
        <w:tblW w:w="6935" w:type="dxa"/>
        <w:jc w:val="left"/>
        <w:tblInd w:w="0" w:type="dxa"/>
        <w:tblLayout w:type="fixed"/>
        <w:tblCellMar>
          <w:top w:w="0" w:type="dxa"/>
          <w:left w:w="0" w:type="dxa"/>
          <w:bottom w:w="0" w:type="dxa"/>
          <w:right w:w="0" w:type="dxa"/>
        </w:tblCellMar>
      </w:tblPr>
      <w:tblGrid>
        <w:gridCol w:w="3980"/>
        <w:gridCol w:w="60"/>
        <w:gridCol w:w="140"/>
        <w:gridCol w:w="1175"/>
        <w:gridCol w:w="95"/>
        <w:gridCol w:w="60"/>
        <w:gridCol w:w="140"/>
        <w:gridCol w:w="1175"/>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8" w:name="xdx_492_20260101__20260630__srt--Product"/>
            <w:bookmarkEnd w:id="1778"/>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9" w:name="xdx_497_20250101__20250630__srt--Product"/>
            <w:bookmarkEnd w:id="1779"/>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110" w:type="dxa"/>
            <w:tcBorders/>
            <w:shd w:fill="FFFFFF" w:val="clear"/>
            <w:vAlign w:val="center"/>
          </w:tcPr>
          <w:p>
            <w:pPr>
              <w:pStyle w:val="TableContents"/>
              <w:bidi w:val="0"/>
              <w:spacing w:before="0" w:after="283"/>
              <w:jc w:val="left"/>
              <w:rPr/>
            </w:pPr>
            <w:r>
              <w:rPr/>
              <w:t> </w:t>
            </w:r>
            <w:bookmarkStart w:id="1780" w:name="xdx_40B_eus-gaap--UnearnedPremiums_iS_zi"/>
            <w:bookmarkEnd w:id="1780"/>
          </w:p>
        </w:tc>
      </w:tr>
      <w:tr>
        <w:trPr/>
        <w:tc>
          <w:tcPr>
            <w:tcW w:w="398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1,824,796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2,013,245</w:t>
            </w:r>
          </w:p>
        </w:tc>
        <w:tc>
          <w:tcPr>
            <w:tcW w:w="110" w:type="dxa"/>
            <w:tcBorders/>
            <w:shd w:fill="CCEEFF" w:val="clear"/>
            <w:vAlign w:val="center"/>
          </w:tcPr>
          <w:p>
            <w:pPr>
              <w:pStyle w:val="TableContents"/>
              <w:bidi w:val="0"/>
              <w:spacing w:before="0" w:after="283"/>
              <w:jc w:val="left"/>
              <w:rPr/>
            </w:pPr>
            <w:r>
              <w:rPr/>
              <w:t> </w:t>
            </w:r>
            <w:bookmarkStart w:id="1781" w:name="xdx_409_ecustom--UnearnedPremiumsDeferra"/>
            <w:bookmarkEnd w:id="1781"/>
          </w:p>
        </w:tc>
      </w:tr>
      <w:tr>
        <w:trPr/>
        <w:tc>
          <w:tcPr>
            <w:tcW w:w="3980" w:type="dxa"/>
            <w:tcBorders/>
            <w:shd w:fill="FFFFFF" w:val="clear"/>
            <w:vAlign w:val="center"/>
          </w:tcPr>
          <w:p>
            <w:pPr>
              <w:pStyle w:val="TableContents"/>
              <w:bidi w:val="0"/>
              <w:spacing w:before="0" w:after="283"/>
              <w:jc w:val="left"/>
              <w:rPr/>
            </w:pPr>
            <w:r>
              <w:rPr/>
              <w:t>Deferrals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82" w:name="xdx_402_ecustom--UnearnedPremiumsAmortiz"/>
            <w:bookmarkEnd w:id="1782"/>
          </w:p>
        </w:tc>
      </w:tr>
      <w:tr>
        <w:trPr/>
        <w:tc>
          <w:tcPr>
            <w:tcW w:w="3980" w:type="dxa"/>
            <w:tcBorders/>
            <w:shd w:fill="CCEEFF" w:val="clear"/>
            <w:vAlign w:val="center"/>
          </w:tcPr>
          <w:p>
            <w:pPr>
              <w:pStyle w:val="TableContents"/>
              <w:bidi w:val="0"/>
              <w:spacing w:before="0" w:after="283"/>
              <w:jc w:val="left"/>
              <w:rPr/>
            </w:pPr>
            <w:r>
              <w:rPr/>
              <w:t xml:space="preserve">Amortization </w:t>
            </w:r>
            <w:bookmarkStart w:id="1783" w:name="xdx_F44_z7Jm5yttIw71"/>
            <w:bookmarkEnd w:id="1783"/>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(86,389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(97,037</w:t>
            </w:r>
          </w:p>
        </w:tc>
        <w:tc>
          <w:tcPr>
            <w:tcW w:w="110" w:type="dxa"/>
            <w:tcBorders/>
            <w:shd w:fill="CCEEFF" w:val="clear"/>
            <w:vAlign w:val="center"/>
          </w:tcPr>
          <w:p>
            <w:pPr>
              <w:pStyle w:val="TableContents"/>
              <w:bidi w:val="0"/>
              <w:spacing w:before="0" w:after="283"/>
              <w:jc w:val="left"/>
              <w:rPr/>
            </w:pPr>
            <w:r>
              <w:rPr/>
              <w:t>)</w:t>
            </w:r>
            <w:bookmarkStart w:id="1784" w:name="xdx_40A_eus-gaap--UnearnedPremiums_iE_zn"/>
            <w:bookmarkEnd w:id="1784"/>
          </w:p>
        </w:tc>
      </w:tr>
      <w:tr>
        <w:trPr/>
        <w:tc>
          <w:tcPr>
            <w:tcW w:w="3980" w:type="dxa"/>
            <w:tcBorders/>
            <w:shd w:fill="FFFFFF" w:val="clear"/>
            <w:vAlign w:val="center"/>
          </w:tcPr>
          <w:p>
            <w:pPr>
              <w:pStyle w:val="TableContents"/>
              <w:bidi w:val="0"/>
              <w:spacing w:before="0" w:after="283"/>
              <w:jc w:val="left"/>
              <w:rPr/>
            </w:pPr>
            <w:r>
              <w:rPr/>
              <w:t>Unearned premium reserve,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1,738,407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1,916,208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9880" w:type="dxa"/>
        <w:jc w:val="left"/>
        <w:tblInd w:w="0" w:type="dxa"/>
        <w:tblLayout w:type="fixed"/>
        <w:tblCellMar>
          <w:top w:w="0" w:type="dxa"/>
          <w:left w:w="0" w:type="dxa"/>
          <w:bottom w:w="0" w:type="dxa"/>
          <w:right w:w="0" w:type="dxa"/>
        </w:tblCellMar>
      </w:tblPr>
      <w:tblGrid>
        <w:gridCol w:w="290"/>
        <w:gridCol w:w="9590"/>
      </w:tblGrid>
      <w:tr>
        <w:trPr/>
        <w:tc>
          <w:tcPr>
            <w:tcW w:w="290" w:type="dxa"/>
            <w:tcBorders/>
            <w:vAlign w:val="center"/>
          </w:tcPr>
          <w:p>
            <w:pPr>
              <w:pStyle w:val="TableContents"/>
              <w:bidi w:val="0"/>
              <w:spacing w:before="0" w:after="283"/>
              <w:ind w:left="0" w:right="0" w:hanging="200"/>
              <w:jc w:val="left"/>
              <w:rPr/>
            </w:pPr>
            <w:bookmarkStart w:id="1785" w:name="xdx_F0C_zznGs2kkZrz1"/>
            <w:bookmarkEnd w:id="1785"/>
            <w:r>
              <w:rPr/>
              <w:t>(1)</w:t>
            </w:r>
            <w:bookmarkStart w:id="1786" w:name="xdx_F16_zOhABpmIYIV7"/>
            <w:bookmarkEnd w:id="1786"/>
          </w:p>
        </w:tc>
        <w:tc>
          <w:tcPr>
            <w:tcW w:w="9590" w:type="dxa"/>
            <w:tcBorders/>
            <w:vAlign w:val="center"/>
          </w:tcPr>
          <w:p>
            <w:pPr>
              <w:pStyle w:val="TableContents"/>
              <w:bidi w:val="0"/>
              <w:spacing w:before="0" w:after="283"/>
              <w:jc w:val="both"/>
              <w:rPr/>
            </w:pPr>
            <w:r>
              <w:rPr/>
              <w:t>Included in premiums and other considerations on the condensed consolidated statements of earnings.</w:t>
            </w:r>
          </w:p>
        </w:tc>
      </w:tr>
    </w:tbl>
    <w:p>
      <w:pPr>
        <w:pStyle w:val="TextBody"/>
        <w:bidi w:val="0"/>
        <w:spacing w:before="0" w:after="0"/>
        <w:ind w:left="0" w:right="0" w:hanging="0"/>
        <w:jc w:val="both"/>
        <w:rPr>
          <w:caps w:val="false"/>
          <w:smallCaps w:val="false"/>
        </w:rPr>
      </w:pPr>
      <w:bookmarkStart w:id="1787" w:name="xdx_8AC_zxLZH7nmSa5k"/>
      <w:bookmarkEnd w:id="178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88" w:name="xdx_80C_eus-gaap--DerivativeInstrumentsA"/>
      <w:bookmarkEnd w:id="1788"/>
      <w:r>
        <w:rPr>
          <w:rFonts w:ascii="Times New Roman;Times;Serif" w:hAnsi="Times New Roman;Times;Serif"/>
          <w:b w:val="false"/>
          <w:i w:val="false"/>
          <w:caps w:val="false"/>
          <w:smallCaps w:val="false"/>
          <w:sz w:val="20"/>
        </w:rPr>
        <w:t xml:space="preserve">9) </w:t>
      </w:r>
      <w:bookmarkStart w:id="1789" w:name="xdx_82B_z5uEvAbgwHVa"/>
      <w:bookmarkStart w:id="1790" w:name="sp_004"/>
      <w:bookmarkEnd w:id="1789"/>
      <w:bookmarkEnd w:id="1790"/>
      <w:r>
        <w:rPr>
          <w:rFonts w:ascii="Times New Roman;Times;Serif" w:hAnsi="Times New Roman;Times;Serif"/>
          <w:b w:val="false"/>
          <w:i w:val="false"/>
          <w:caps w:val="false"/>
          <w:smallCaps w:val="false"/>
          <w:sz w:val="20"/>
          <w:u w:val="single"/>
        </w:rPr>
        <w:t>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Mortgage Banking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Sale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forward commitments to economically hedge the price risk associated with its outstanding mortgage loan commitments. A forward commitment protects the Company from losses on sales of the loans arising from the exercise of the loan commitments. Management expects these types of commitments will experience changes in fair value in contrast to changes in fair value of the loan commitments, thereby reducing earnings volatility related to the recognition in earnings of changes in the values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Derivative Instruments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91" w:name="xdx_89C_eus-gaap--ScheduleOfDerivativeAs"/>
      <w:bookmarkEnd w:id="1791"/>
      <w:r>
        <w:rPr>
          <w:rFonts w:ascii="Times New Roman;Times;Serif" w:hAnsi="Times New Roman;Times;Serif"/>
          <w:b w:val="false"/>
          <w:i w:val="false"/>
          <w:caps w:val="false"/>
          <w:smallCaps w:val="false"/>
          <w:sz w:val="20"/>
        </w:rPr>
        <w:t>The following table shows the fair value and notional amounts of derivative instruments:</w:t>
      </w:r>
    </w:p>
    <w:p>
      <w:pPr>
        <w:pStyle w:val="TextBody"/>
        <w:bidi w:val="0"/>
        <w:spacing w:before="0" w:after="0"/>
        <w:ind w:left="0" w:right="0" w:hanging="0"/>
        <w:jc w:val="both"/>
        <w:rPr>
          <w:caps w:val="false"/>
          <w:smallCaps w:val="false"/>
        </w:rPr>
      </w:pPr>
      <w:r>
        <w:rPr>
          <w:caps w:val="false"/>
          <w:smallCaps w:val="false"/>
        </w:rPr>
        <w:t> </w:t>
      </w:r>
      <w:bookmarkStart w:id="1792" w:name="xdx_8BE_znorJEgWRhRd"/>
      <w:bookmarkEnd w:id="1792"/>
      <w:r>
        <w:rPr>
          <w:rFonts w:ascii="Times New Roman;Times;Serif" w:hAnsi="Times New Roman;Times;Serif"/>
          <w:b w:val="false"/>
          <w:i w:val="false"/>
          <w:caps w:val="false"/>
          <w:smallCaps w:val="false"/>
          <w:sz w:val="20"/>
        </w:rPr>
        <w:t>Schedule of Derivative Assets at Fair Value</w:t>
      </w:r>
    </w:p>
    <w:tbl>
      <w:tblPr>
        <w:tblW w:w="10205" w:type="dxa"/>
        <w:jc w:val="left"/>
        <w:tblInd w:w="0" w:type="dxa"/>
        <w:tblLayout w:type="fixed"/>
        <w:tblCellMar>
          <w:top w:w="0" w:type="dxa"/>
          <w:left w:w="0" w:type="dxa"/>
          <w:bottom w:w="0" w:type="dxa"/>
          <w:right w:w="0" w:type="dxa"/>
        </w:tblCellMar>
      </w:tblPr>
      <w:tblGrid>
        <w:gridCol w:w="1496"/>
        <w:gridCol w:w="60"/>
        <w:gridCol w:w="986"/>
        <w:gridCol w:w="60"/>
        <w:gridCol w:w="141"/>
        <w:gridCol w:w="1236"/>
        <w:gridCol w:w="60"/>
        <w:gridCol w:w="60"/>
        <w:gridCol w:w="143"/>
        <w:gridCol w:w="1004"/>
        <w:gridCol w:w="60"/>
        <w:gridCol w:w="60"/>
        <w:gridCol w:w="150"/>
        <w:gridCol w:w="730"/>
        <w:gridCol w:w="60"/>
        <w:gridCol w:w="60"/>
        <w:gridCol w:w="141"/>
        <w:gridCol w:w="1236"/>
        <w:gridCol w:w="60"/>
        <w:gridCol w:w="60"/>
        <w:gridCol w:w="143"/>
        <w:gridCol w:w="1004"/>
        <w:gridCol w:w="60"/>
        <w:gridCol w:w="60"/>
        <w:gridCol w:w="148"/>
        <w:gridCol w:w="845"/>
        <w:gridCol w:w="82"/>
      </w:tblGrid>
      <w:tr>
        <w:trPr/>
        <w:tc>
          <w:tcPr>
            <w:tcW w:w="1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4" w:type="dxa"/>
            <w:gridSpan w:val="10"/>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7" w:type="dxa"/>
            <w:gridSpan w:val="10"/>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82" w:type="dxa"/>
            <w:tcBorders/>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tcBorders>
              <w:bottom w:val="single" w:sz="8" w:space="0" w:color="000000"/>
            </w:tcBorders>
            <w:tcMar>
              <w:bottom w:w="28" w:type="dxa"/>
            </w:tcMar>
            <w:vAlign w:val="center"/>
          </w:tcPr>
          <w:p>
            <w:pPr>
              <w:pStyle w:val="TableContents"/>
              <w:bidi w:val="0"/>
              <w:spacing w:before="0" w:after="283"/>
              <w:jc w:val="center"/>
              <w:rPr/>
            </w:pPr>
            <w:r>
              <w:rPr/>
              <w:t>Balance Sheet Location</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pPr>
            <w:r>
              <w:rPr/>
              <w:t>Notional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pPr>
            <w:r>
              <w:rPr/>
              <w:t>Asset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Liability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pPr>
            <w:r>
              <w:rPr/>
              <w:t>Notional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pPr>
            <w:r>
              <w:rPr/>
              <w:t>Asset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pPr>
            <w:r>
              <w:rPr/>
              <w:t>Liability Fair Value</w:t>
            </w:r>
          </w:p>
        </w:tc>
        <w:tc>
          <w:tcPr>
            <w:tcW w:w="82" w:type="dxa"/>
            <w:tcBorders/>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283"/>
              <w:jc w:val="left"/>
              <w:rPr/>
            </w:pPr>
            <w:r>
              <w:rPr/>
              <w:t>Derivatives not designated as hedging instruments:</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gridSpan w:val="2"/>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1496" w:type="dxa"/>
            <w:tcBorders/>
            <w:shd w:fill="FFFFFF" w:val="clear"/>
            <w:vAlign w:val="center"/>
          </w:tcPr>
          <w:p>
            <w:pPr>
              <w:pStyle w:val="TableContents"/>
              <w:bidi w:val="0"/>
              <w:spacing w:before="0" w:after="283"/>
              <w:jc w:val="left"/>
              <w:rPr/>
            </w:pPr>
            <w:r>
              <w:rPr/>
              <w:t>Loan commitments</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center"/>
              <w:rPr/>
            </w:pPr>
            <w:r>
              <w:rPr/>
              <w:t>Other assets and Other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3" w:name="xdx_98F_eus-gaap--DerivativeNotionalAmou"/>
            <w:bookmarkEnd w:id="1793"/>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152,197,366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4" w:name="xdx_984_eus-gaap--DerivativeAssetNotiona"/>
            <w:bookmarkEnd w:id="1794"/>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pPr>
            <w:r>
              <w:rPr/>
              <w:t>2,588,911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5" w:name="xdx_98B_eus-gaap--DerivativeLiabilityNot"/>
            <w:bookmarkEnd w:id="1795"/>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89,307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6" w:name="xdx_988_eus-gaap--DerivativeNotionalAmou"/>
            <w:bookmarkEnd w:id="1796"/>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132,887,592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7" w:name="xdx_981_eus-gaap--DerivativeAssetNotiona"/>
            <w:bookmarkEnd w:id="1797"/>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pPr>
            <w:r>
              <w:rPr/>
              <w:t>1,700,742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1798" w:name="xdx_98E_eus-gaap--DerivativeLiabilityNot"/>
            <w:bookmarkEnd w:id="1798"/>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220,605</w:t>
            </w:r>
          </w:p>
        </w:tc>
        <w:tc>
          <w:tcPr>
            <w:tcW w:w="82" w:type="dxa"/>
            <w:tcBorders/>
            <w:shd w:fill="FFFFFF" w:val="clear"/>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799" w:name="xdx_98A_eus-gaap--DerivativeNotionalAmou"/>
            <w:bookmarkEnd w:id="1799"/>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152,197,366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0" w:name="xdx_989_eus-gaap--DerivativeAssetNotiona"/>
            <w:bookmarkEnd w:id="1800"/>
          </w:p>
        </w:tc>
        <w:tc>
          <w:tcPr>
            <w:tcW w:w="1004" w:type="dxa"/>
            <w:tcBorders>
              <w:bottom w:val="double" w:sz="6" w:space="0" w:color="000000"/>
            </w:tcBorders>
            <w:shd w:fill="CCEEFF" w:val="clear"/>
            <w:tcMar>
              <w:bottom w:w="28" w:type="dxa"/>
            </w:tcMar>
            <w:vAlign w:val="center"/>
          </w:tcPr>
          <w:p>
            <w:pPr>
              <w:pStyle w:val="TableContents"/>
              <w:bidi w:val="0"/>
              <w:spacing w:before="0" w:after="283"/>
              <w:jc w:val="right"/>
              <w:rPr/>
            </w:pPr>
            <w:r>
              <w:rPr/>
              <w:t>2,588,911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1" w:name="xdx_987_eus-gaap--DerivativeLiabilityNot"/>
            <w:bookmarkEnd w:id="1801"/>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pPr>
            <w:r>
              <w:rPr/>
              <w:t>89,307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2" w:name="xdx_980_eus-gaap--DerivativeNotionalAmou"/>
            <w:bookmarkEnd w:id="1802"/>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pPr>
            <w:r>
              <w:rPr/>
              <w:t>132,887,592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3" w:name="xdx_986_eus-gaap--DerivativeAssetNotiona"/>
            <w:bookmarkEnd w:id="1803"/>
          </w:p>
        </w:tc>
        <w:tc>
          <w:tcPr>
            <w:tcW w:w="1004" w:type="dxa"/>
            <w:tcBorders>
              <w:bottom w:val="double" w:sz="6" w:space="0" w:color="000000"/>
            </w:tcBorders>
            <w:shd w:fill="CCEEFF" w:val="clear"/>
            <w:tcMar>
              <w:bottom w:w="28" w:type="dxa"/>
            </w:tcMar>
            <w:vAlign w:val="center"/>
          </w:tcPr>
          <w:p>
            <w:pPr>
              <w:pStyle w:val="TableContents"/>
              <w:bidi w:val="0"/>
              <w:spacing w:before="0" w:after="283"/>
              <w:jc w:val="right"/>
              <w:rPr/>
            </w:pPr>
            <w:r>
              <w:rPr/>
              <w:t>1,700,742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4" w:name="xdx_988_eus-gaap--DerivativeLiabilityNot"/>
            <w:bookmarkEnd w:id="1804"/>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220,605</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05" w:name="xdx_8A0_zRS84BDIjBqh"/>
      <w:bookmarkEnd w:id="18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06" w:name="xdx_899_ecustom--ScheduleOfGainsAndLosse"/>
      <w:bookmarkEnd w:id="1806"/>
      <w:r>
        <w:rPr>
          <w:rFonts w:ascii="Times New Roman;Times;Serif" w:hAnsi="Times New Roman;Times;Serif"/>
          <w:b w:val="false"/>
          <w:i w:val="false"/>
          <w:caps w:val="false"/>
          <w:smallCaps w:val="false"/>
          <w:sz w:val="20"/>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pStyle w:val="TextBody"/>
        <w:bidi w:val="0"/>
        <w:spacing w:before="0" w:after="0"/>
        <w:ind w:left="0" w:right="0" w:hanging="0"/>
        <w:jc w:val="both"/>
        <w:rPr>
          <w:caps w:val="false"/>
          <w:smallCaps w:val="false"/>
        </w:rPr>
      </w:pPr>
      <w:r>
        <w:rPr>
          <w:caps w:val="false"/>
          <w:smallCaps w:val="false"/>
        </w:rPr>
        <w:t> </w:t>
      </w:r>
      <w:bookmarkStart w:id="1807" w:name="xdx_8B5_zr8Z0edQo1lh"/>
      <w:bookmarkEnd w:id="1807"/>
      <w:r>
        <w:rPr>
          <w:rFonts w:ascii="Times New Roman;Times;Serif" w:hAnsi="Times New Roman;Times;Serif"/>
          <w:b w:val="false"/>
          <w:i w:val="false"/>
          <w:caps w:val="false"/>
          <w:smallCaps w:val="false"/>
          <w:sz w:val="20"/>
        </w:rPr>
        <w:t>Schedule of Gains and Losses on Derivatives</w:t>
      </w:r>
    </w:p>
    <w:tbl>
      <w:tblPr>
        <w:tblW w:w="9718" w:type="dxa"/>
        <w:jc w:val="left"/>
        <w:tblInd w:w="0" w:type="dxa"/>
        <w:tblLayout w:type="fixed"/>
        <w:tblCellMar>
          <w:top w:w="0" w:type="dxa"/>
          <w:left w:w="0" w:type="dxa"/>
          <w:bottom w:w="0" w:type="dxa"/>
          <w:right w:w="0" w:type="dxa"/>
        </w:tblCellMar>
      </w:tblPr>
      <w:tblGrid>
        <w:gridCol w:w="1850"/>
        <w:gridCol w:w="60"/>
        <w:gridCol w:w="2030"/>
        <w:gridCol w:w="60"/>
        <w:gridCol w:w="191"/>
        <w:gridCol w:w="1196"/>
        <w:gridCol w:w="129"/>
        <w:gridCol w:w="82"/>
        <w:gridCol w:w="191"/>
        <w:gridCol w:w="1093"/>
        <w:gridCol w:w="60"/>
        <w:gridCol w:w="60"/>
        <w:gridCol w:w="169"/>
        <w:gridCol w:w="1189"/>
        <w:gridCol w:w="72"/>
        <w:gridCol w:w="72"/>
        <w:gridCol w:w="169"/>
        <w:gridCol w:w="970"/>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1850" w:type="dxa"/>
            <w:tcBorders>
              <w:bottom w:val="single" w:sz="8" w:space="0" w:color="000000"/>
            </w:tcBorders>
            <w:tcMar>
              <w:bottom w:w="28" w:type="dxa"/>
            </w:tcMar>
            <w:vAlign w:val="center"/>
          </w:tcPr>
          <w:p>
            <w:pPr>
              <w:pStyle w:val="TableContents"/>
              <w:bidi w:val="0"/>
              <w:spacing w:before="0" w:after="283"/>
              <w:jc w:val="center"/>
              <w:rPr/>
            </w:pPr>
            <w:r>
              <w:rPr/>
              <w:t>Derivative</w:t>
            </w:r>
          </w:p>
        </w:tc>
        <w:tc>
          <w:tcPr>
            <w:tcW w:w="60" w:type="dxa"/>
            <w:tcBorders/>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spacing w:before="0" w:after="283"/>
              <w:jc w:val="center"/>
              <w:rPr/>
            </w:pPr>
            <w:r>
              <w:rPr/>
              <w:t>Classification</w:t>
            </w:r>
          </w:p>
        </w:tc>
        <w:tc>
          <w:tcPr>
            <w:tcW w:w="6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2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Loan commitments</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left"/>
              <w:rPr/>
            </w:pPr>
            <w:r>
              <w:rPr/>
              <w:t>Mortgage fee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8" w:name="xdx_988_ecustom--GainLossOnLoanCommitmen"/>
            <w:bookmarkEnd w:id="1808"/>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(365,260</w:t>
            </w:r>
          </w:p>
        </w:tc>
        <w:tc>
          <w:tcPr>
            <w:tcW w:w="129"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09" w:name="xdx_987_ecustom--GainLossOnLoanCommitmen"/>
            <w:bookmarkEnd w:id="1809"/>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pPr>
            <w:r>
              <w:rPr/>
              <w:t>132,404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10" w:name="xdx_981_ecustom--GainLossOnLoanCommitmen"/>
            <w:bookmarkEnd w:id="1810"/>
          </w:p>
        </w:tc>
        <w:tc>
          <w:tcPr>
            <w:tcW w:w="1189" w:type="dxa"/>
            <w:tcBorders>
              <w:bottom w:val="double" w:sz="6" w:space="0" w:color="000000"/>
            </w:tcBorders>
            <w:shd w:fill="CCEEFF" w:val="clear"/>
            <w:tcMar>
              <w:bottom w:w="28" w:type="dxa"/>
            </w:tcMar>
            <w:vAlign w:val="center"/>
          </w:tcPr>
          <w:p>
            <w:pPr>
              <w:pStyle w:val="TableContents"/>
              <w:bidi w:val="0"/>
              <w:spacing w:before="0" w:after="283"/>
              <w:jc w:val="right"/>
              <w:rPr/>
            </w:pPr>
            <w:r>
              <w:rPr/>
              <w:t>1,019,467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811" w:name="xdx_985_ecustom--GainLossOnLoanCommitmen"/>
            <w:bookmarkEnd w:id="1811"/>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pPr>
            <w:r>
              <w:rPr/>
              <w:t>606,944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12" w:name="xdx_8A6_zJlqs3KuE7S1"/>
      <w:bookmarkEnd w:id="18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13" w:name="xdx_80F_eus-gaap--LiabilityForFuturePoli"/>
      <w:bookmarkEnd w:id="1813"/>
      <w:r>
        <w:rPr>
          <w:rFonts w:ascii="Times New Roman;Times;Serif" w:hAnsi="Times New Roman;Times;Serif"/>
          <w:b w:val="false"/>
          <w:i w:val="false"/>
          <w:caps w:val="false"/>
          <w:smallCaps w:val="false"/>
          <w:sz w:val="20"/>
        </w:rPr>
        <w:t xml:space="preserve">10) </w:t>
      </w:r>
      <w:bookmarkStart w:id="1814" w:name="xdx_82B_zDSzw4bM28h2"/>
      <w:bookmarkStart w:id="1815" w:name="sp_005"/>
      <w:bookmarkEnd w:id="1814"/>
      <w:bookmarkEnd w:id="1815"/>
      <w:r>
        <w:rPr>
          <w:rFonts w:ascii="Times New Roman;Times;Serif" w:hAnsi="Times New Roman;Times;Serif"/>
          <w:b w:val="false"/>
          <w:i w:val="false"/>
          <w:caps w:val="false"/>
          <w:smallCaps w:val="false"/>
          <w:sz w:val="20"/>
          <w:u w:val="single"/>
        </w:rPr>
        <w:t>Future Policy Benefits and Unpaid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liabilities for amounts payable under insurance policies. These liabilities are comprised of traditional and limited-payment contracts and associated deferred profit liabilities, unpaid claims, and additional insurance liabilities. Also, refer to Note 1 regarding the adoption of ASU 2018-12.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16" w:name="xdx_89D_eus-gaap--ScheduleOfLiabilityFor"/>
      <w:bookmarkEnd w:id="1816"/>
      <w:r>
        <w:rPr>
          <w:rFonts w:ascii="Times New Roman;Times;Serif" w:hAnsi="Times New Roman;Times;Serif"/>
          <w:b w:val="false"/>
          <w:i w:val="false"/>
          <w:caps w:val="false"/>
          <w:smallCaps w:val="false"/>
          <w:sz w:val="20"/>
        </w:rPr>
        <w:t>The following table provides a reconciliation of future policy benefits and unpaid claims and the related receivable from reinsurers to the condensed consolidated balance sheets.</w:t>
      </w:r>
    </w:p>
    <w:p>
      <w:pPr>
        <w:pStyle w:val="TextBody"/>
        <w:bidi w:val="0"/>
        <w:spacing w:before="0" w:after="0"/>
        <w:ind w:left="0" w:right="0" w:hanging="0"/>
        <w:jc w:val="both"/>
        <w:rPr>
          <w:caps w:val="false"/>
          <w:smallCaps w:val="false"/>
        </w:rPr>
      </w:pPr>
      <w:r>
        <w:rPr>
          <w:caps w:val="false"/>
          <w:smallCaps w:val="false"/>
        </w:rPr>
        <w:t> </w:t>
      </w:r>
      <w:bookmarkStart w:id="1817" w:name="xdx_8B7_zbAoCgRo5w0g"/>
      <w:bookmarkEnd w:id="1817"/>
      <w:r>
        <w:rPr>
          <w:rFonts w:ascii="Times New Roman;Times;Serif" w:hAnsi="Times New Roman;Times;Serif"/>
          <w:b w:val="false"/>
          <w:i w:val="false"/>
          <w:caps w:val="false"/>
          <w:smallCaps w:val="false"/>
          <w:sz w:val="20"/>
        </w:rPr>
        <w:t>Schedule of Liability for Future Policy Benefits, by Product Segment</w:t>
      </w:r>
    </w:p>
    <w:tbl>
      <w:tblPr>
        <w:tblW w:w="9214" w:type="dxa"/>
        <w:jc w:val="left"/>
        <w:tblInd w:w="0" w:type="dxa"/>
        <w:tblLayout w:type="fixed"/>
        <w:tblCellMar>
          <w:top w:w="0" w:type="dxa"/>
          <w:left w:w="0" w:type="dxa"/>
          <w:bottom w:w="0" w:type="dxa"/>
          <w:right w:w="0" w:type="dxa"/>
        </w:tblCellMar>
      </w:tblPr>
      <w:tblGrid>
        <w:gridCol w:w="5705"/>
        <w:gridCol w:w="60"/>
        <w:gridCol w:w="140"/>
        <w:gridCol w:w="1220"/>
        <w:gridCol w:w="60"/>
        <w:gridCol w:w="60"/>
        <w:gridCol w:w="195"/>
        <w:gridCol w:w="1699"/>
        <w:gridCol w:w="7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8" w:name="xdx_490_20260630_zYTPW1wCQswj"/>
            <w:bookmarkEnd w:id="1818"/>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9" w:name="xdx_495_20251231_zwEYrb0oAUu5"/>
            <w:bookmarkEnd w:id="1819"/>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bookmarkStart w:id="1820" w:name="xdx_40A_eus-gaap--LiabilityForFuturePoli"/>
            <w:bookmarkEnd w:id="1820"/>
          </w:p>
        </w:tc>
      </w:tr>
      <w:tr>
        <w:trPr/>
        <w:tc>
          <w:tcPr>
            <w:tcW w:w="5705" w:type="dxa"/>
            <w:tcBorders/>
            <w:shd w:fill="CCEEFF" w:val="clear"/>
            <w:vAlign w:val="center"/>
          </w:tcPr>
          <w:p>
            <w:pPr>
              <w:pStyle w:val="TableContents"/>
              <w:bidi w:val="0"/>
              <w:spacing w:before="0" w:after="283"/>
              <w:jc w:val="left"/>
              <w:rPr/>
            </w:pPr>
            <w:r>
              <w:rPr/>
              <w:t>Traditional and limited-payment life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576,213,332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699" w:type="dxa"/>
            <w:tcBorders/>
            <w:shd w:fill="CCEEFF" w:val="clear"/>
            <w:vAlign w:val="center"/>
          </w:tcPr>
          <w:p>
            <w:pPr>
              <w:pStyle w:val="TableContents"/>
              <w:bidi w:val="0"/>
              <w:spacing w:before="0" w:after="283"/>
              <w:jc w:val="right"/>
              <w:rPr/>
            </w:pPr>
            <w:r>
              <w:rPr/>
              <w:t>581,389,399</w:t>
            </w:r>
          </w:p>
        </w:tc>
        <w:tc>
          <w:tcPr>
            <w:tcW w:w="75" w:type="dxa"/>
            <w:tcBorders/>
            <w:shd w:fill="CCEEFF" w:val="clear"/>
            <w:vAlign w:val="center"/>
          </w:tcPr>
          <w:p>
            <w:pPr>
              <w:pStyle w:val="TableContents"/>
              <w:bidi w:val="0"/>
              <w:spacing w:before="0" w:after="283"/>
              <w:jc w:val="left"/>
              <w:rPr/>
            </w:pPr>
            <w:r>
              <w:rPr/>
              <w:t> </w:t>
            </w:r>
            <w:bookmarkStart w:id="1821" w:name="xdx_40F_eus-gaap--LiabilityForFuturePoli"/>
            <w:bookmarkEnd w:id="1821"/>
          </w:p>
        </w:tc>
      </w:tr>
      <w:tr>
        <w:trPr/>
        <w:tc>
          <w:tcPr>
            <w:tcW w:w="5705" w:type="dxa"/>
            <w:tcBorders/>
            <w:shd w:fill="FFFFFF" w:val="clear"/>
            <w:vAlign w:val="center"/>
          </w:tcPr>
          <w:p>
            <w:pPr>
              <w:pStyle w:val="TableContents"/>
              <w:bidi w:val="0"/>
              <w:spacing w:before="0" w:after="283"/>
              <w:jc w:val="left"/>
              <w:rPr/>
            </w:pPr>
            <w:r>
              <w:rPr/>
              <w:t>Deferred profit liability - traditional and limited-payment life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211,420,629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205,802,774</w:t>
            </w:r>
          </w:p>
        </w:tc>
        <w:tc>
          <w:tcPr>
            <w:tcW w:w="75" w:type="dxa"/>
            <w:tcBorders/>
            <w:shd w:fill="FFFFFF" w:val="clear"/>
            <w:vAlign w:val="center"/>
          </w:tcPr>
          <w:p>
            <w:pPr>
              <w:pStyle w:val="TableContents"/>
              <w:bidi w:val="0"/>
              <w:spacing w:before="0" w:after="283"/>
              <w:jc w:val="left"/>
              <w:rPr/>
            </w:pPr>
            <w:r>
              <w:rPr/>
              <w:t> </w:t>
            </w:r>
            <w:bookmarkStart w:id="1822" w:name="xdx_40B_eus-gaap--LiabilityForFuturePoli"/>
            <w:bookmarkEnd w:id="1822"/>
          </w:p>
        </w:tc>
      </w:tr>
      <w:tr>
        <w:trPr/>
        <w:tc>
          <w:tcPr>
            <w:tcW w:w="5705" w:type="dxa"/>
            <w:tcBorders/>
            <w:shd w:fill="CCEEFF" w:val="clear"/>
            <w:vAlign w:val="center"/>
          </w:tcPr>
          <w:p>
            <w:pPr>
              <w:pStyle w:val="TableContents"/>
              <w:bidi w:val="0"/>
              <w:spacing w:before="0" w:after="283"/>
              <w:jc w:val="left"/>
              <w:rPr/>
            </w:pPr>
            <w:r>
              <w:rPr/>
              <w:t>Payout annuities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95,436</w:t>
            </w:r>
          </w:p>
        </w:tc>
        <w:tc>
          <w:tcPr>
            <w:tcW w:w="75" w:type="dxa"/>
            <w:tcBorders/>
            <w:shd w:fill="CCEEFF" w:val="clear"/>
            <w:vAlign w:val="center"/>
          </w:tcPr>
          <w:p>
            <w:pPr>
              <w:pStyle w:val="TableContents"/>
              <w:bidi w:val="0"/>
              <w:spacing w:before="0" w:after="283"/>
              <w:jc w:val="left"/>
              <w:rPr/>
            </w:pPr>
            <w:r>
              <w:rPr/>
              <w:t> </w:t>
            </w:r>
            <w:bookmarkStart w:id="1823" w:name="xdx_408_eus-gaap--LiabilityForFuturePoli"/>
            <w:bookmarkEnd w:id="1823"/>
          </w:p>
        </w:tc>
      </w:tr>
      <w:tr>
        <w:trPr/>
        <w:tc>
          <w:tcPr>
            <w:tcW w:w="5705" w:type="dxa"/>
            <w:tcBorders/>
            <w:shd w:fill="FFFFFF" w:val="clear"/>
            <w:vAlign w:val="center"/>
          </w:tcPr>
          <w:p>
            <w:pPr>
              <w:pStyle w:val="TableContents"/>
              <w:bidi w:val="0"/>
              <w:spacing w:before="0" w:after="283"/>
              <w:jc w:val="left"/>
              <w:rPr/>
            </w:pPr>
            <w:r>
              <w:rPr/>
              <w:t>Accident and health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495,742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505,208</w:t>
            </w:r>
          </w:p>
        </w:tc>
        <w:tc>
          <w:tcPr>
            <w:tcW w:w="75" w:type="dxa"/>
            <w:tcBorders/>
            <w:shd w:fill="FFFFFF" w:val="clear"/>
            <w:vAlign w:val="center"/>
          </w:tcPr>
          <w:p>
            <w:pPr>
              <w:pStyle w:val="TableContents"/>
              <w:bidi w:val="0"/>
              <w:spacing w:before="0" w:after="283"/>
              <w:jc w:val="left"/>
              <w:rPr/>
            </w:pPr>
            <w:r>
              <w:rPr/>
              <w:t> </w:t>
            </w:r>
            <w:bookmarkStart w:id="1824" w:name="xdx_40C_eus-gaap--LiabilityForFuturePoli"/>
            <w:bookmarkEnd w:id="1824"/>
          </w:p>
        </w:tc>
      </w:tr>
      <w:tr>
        <w:trPr/>
        <w:tc>
          <w:tcPr>
            <w:tcW w:w="5705" w:type="dxa"/>
            <w:tcBorders/>
            <w:shd w:fill="CCEEFF" w:val="clear"/>
            <w:vAlign w:val="center"/>
          </w:tcPr>
          <w:p>
            <w:pPr>
              <w:pStyle w:val="TableContents"/>
              <w:bidi w:val="0"/>
              <w:spacing w:before="0" w:after="283"/>
              <w:jc w:val="left"/>
              <w:rPr/>
            </w:pPr>
            <w:r>
              <w:rPr/>
              <w:t>Other policyholder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4,463,995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4,514,783</w:t>
            </w:r>
          </w:p>
        </w:tc>
        <w:tc>
          <w:tcPr>
            <w:tcW w:w="75" w:type="dxa"/>
            <w:tcBorders/>
            <w:shd w:fill="CCEEFF" w:val="clear"/>
            <w:vAlign w:val="center"/>
          </w:tcPr>
          <w:p>
            <w:pPr>
              <w:pStyle w:val="TableContents"/>
              <w:bidi w:val="0"/>
              <w:spacing w:before="0" w:after="283"/>
              <w:jc w:val="left"/>
              <w:rPr/>
            </w:pPr>
            <w:r>
              <w:rPr/>
              <w:t> </w:t>
            </w:r>
            <w:bookmarkStart w:id="1825" w:name="xdx_40A_eus-gaap--LiabilityForFuturePoli"/>
            <w:bookmarkEnd w:id="1825"/>
          </w:p>
        </w:tc>
      </w:tr>
      <w:tr>
        <w:trPr/>
        <w:tc>
          <w:tcPr>
            <w:tcW w:w="5705" w:type="dxa"/>
            <w:tcBorders/>
            <w:shd w:fill="FFFFFF" w:val="clear"/>
            <w:vAlign w:val="center"/>
          </w:tcPr>
          <w:p>
            <w:pPr>
              <w:pStyle w:val="TableContents"/>
              <w:bidi w:val="0"/>
              <w:spacing w:before="0" w:after="283"/>
              <w:jc w:val="left"/>
              <w:rPr/>
            </w:pPr>
            <w:r>
              <w:rPr/>
              <w:t>Reported but unpaid claims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2,306,231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3,299,899</w:t>
            </w:r>
          </w:p>
        </w:tc>
        <w:tc>
          <w:tcPr>
            <w:tcW w:w="75" w:type="dxa"/>
            <w:tcBorders/>
            <w:shd w:fill="FFFFFF" w:val="clear"/>
            <w:vAlign w:val="center"/>
          </w:tcPr>
          <w:p>
            <w:pPr>
              <w:pStyle w:val="TableContents"/>
              <w:bidi w:val="0"/>
              <w:spacing w:before="0" w:after="283"/>
              <w:jc w:val="left"/>
              <w:rPr/>
            </w:pPr>
            <w:r>
              <w:rPr/>
              <w:t> </w:t>
            </w:r>
            <w:bookmarkStart w:id="1826" w:name="xdx_40B_eus-gaap--LiabilityForFuturePoli"/>
            <w:bookmarkEnd w:id="1826"/>
          </w:p>
        </w:tc>
      </w:tr>
      <w:tr>
        <w:trPr/>
        <w:tc>
          <w:tcPr>
            <w:tcW w:w="5705" w:type="dxa"/>
            <w:tcBorders/>
            <w:shd w:fill="CCEEFF" w:val="clear"/>
            <w:vAlign w:val="center"/>
          </w:tcPr>
          <w:p>
            <w:pPr>
              <w:pStyle w:val="TableContents"/>
              <w:bidi w:val="0"/>
              <w:spacing w:before="0" w:after="283"/>
              <w:jc w:val="left"/>
              <w:rPr/>
            </w:pPr>
            <w:r>
              <w:rPr/>
              <w:t>Incurred but not reported claims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4,081,502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4,099,447</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27" w:name="xdx_40B_eus-gaap--LiabilityForFuturePoli"/>
            <w:bookmarkEnd w:id="1827"/>
          </w:p>
        </w:tc>
      </w:tr>
      <w:tr>
        <w:trPr/>
        <w:tc>
          <w:tcPr>
            <w:tcW w:w="5705" w:type="dxa"/>
            <w:tcBorders/>
            <w:shd w:fill="CCEEFF" w:val="clear"/>
            <w:vAlign w:val="center"/>
          </w:tcPr>
          <w:p>
            <w:pPr>
              <w:pStyle w:val="TableContents"/>
              <w:bidi w:val="0"/>
              <w:spacing w:before="0" w:after="283"/>
              <w:jc w:val="left"/>
              <w:rPr/>
            </w:pPr>
            <w:r>
              <w:rPr/>
              <w:t>Gross future policy benefits and unpaid claims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799,072,640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pPr>
            <w:r>
              <w:rPr/>
              <w:t>799,706,946</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u w:val="single"/>
              </w:rPr>
            </w:pPr>
            <w:r>
              <w:rPr>
                <w:u w:val="single"/>
              </w:rPr>
              <w:t>Receivable from reinsurers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28" w:name="xdx_40B_eus-gaap--ReceivablesNetCurrent_"/>
            <w:bookmarkEnd w:id="1828"/>
          </w:p>
        </w:tc>
      </w:tr>
      <w:tr>
        <w:trPr/>
        <w:tc>
          <w:tcPr>
            <w:tcW w:w="5705" w:type="dxa"/>
            <w:tcBorders/>
            <w:shd w:fill="CCEEFF" w:val="clear"/>
            <w:vAlign w:val="center"/>
          </w:tcPr>
          <w:p>
            <w:pPr>
              <w:pStyle w:val="TableContents"/>
              <w:bidi w:val="0"/>
              <w:spacing w:before="0" w:after="283"/>
              <w:jc w:val="left"/>
              <w:rPr/>
            </w:pPr>
            <w:r>
              <w:rPr/>
              <w:t>Traditional and limited-payment life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8,997,782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9,186,983</w:t>
            </w:r>
          </w:p>
        </w:tc>
        <w:tc>
          <w:tcPr>
            <w:tcW w:w="75" w:type="dxa"/>
            <w:tcBorders/>
            <w:shd w:fill="CCEEFF" w:val="clear"/>
            <w:vAlign w:val="center"/>
          </w:tcPr>
          <w:p>
            <w:pPr>
              <w:pStyle w:val="TableContents"/>
              <w:bidi w:val="0"/>
              <w:spacing w:before="0" w:after="283"/>
              <w:jc w:val="left"/>
              <w:rPr/>
            </w:pPr>
            <w:r>
              <w:rPr/>
              <w:t> </w:t>
            </w:r>
            <w:bookmarkStart w:id="1829" w:name="xdx_40B_eus-gaap--ReceivablesNetCurrent_"/>
            <w:bookmarkEnd w:id="1829"/>
          </w:p>
        </w:tc>
      </w:tr>
      <w:tr>
        <w:trPr/>
        <w:tc>
          <w:tcPr>
            <w:tcW w:w="5705" w:type="dxa"/>
            <w:tcBorders/>
            <w:shd w:fill="FFFFFF" w:val="clear"/>
            <w:vAlign w:val="center"/>
          </w:tcPr>
          <w:p>
            <w:pPr>
              <w:pStyle w:val="TableContents"/>
              <w:bidi w:val="0"/>
              <w:spacing w:before="0" w:after="283"/>
              <w:jc w:val="left"/>
              <w:rPr/>
            </w:pPr>
            <w:r>
              <w:rPr/>
              <w:t>Deferred profit liability - traditional and limited-payment life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963,513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985,258</w:t>
            </w:r>
          </w:p>
        </w:tc>
        <w:tc>
          <w:tcPr>
            <w:tcW w:w="75" w:type="dxa"/>
            <w:tcBorders/>
            <w:shd w:fill="FFFFFF" w:val="clear"/>
            <w:vAlign w:val="center"/>
          </w:tcPr>
          <w:p>
            <w:pPr>
              <w:pStyle w:val="TableContents"/>
              <w:bidi w:val="0"/>
              <w:spacing w:before="0" w:after="283"/>
              <w:jc w:val="left"/>
              <w:rPr/>
            </w:pPr>
            <w:r>
              <w:rPr/>
              <w:t> </w:t>
            </w:r>
            <w:bookmarkStart w:id="1830" w:name="xdx_408_eus-gaap--ReceivablesNetCurrent_"/>
            <w:bookmarkEnd w:id="1830"/>
          </w:p>
        </w:tc>
      </w:tr>
      <w:tr>
        <w:trPr/>
        <w:tc>
          <w:tcPr>
            <w:tcW w:w="5705" w:type="dxa"/>
            <w:tcBorders/>
            <w:shd w:fill="CCEEFF" w:val="clear"/>
            <w:vAlign w:val="center"/>
          </w:tcPr>
          <w:p>
            <w:pPr>
              <w:pStyle w:val="TableContents"/>
              <w:bidi w:val="0"/>
              <w:spacing w:before="0" w:after="283"/>
              <w:jc w:val="left"/>
              <w:rPr/>
            </w:pPr>
            <w:r>
              <w:rPr/>
              <w:t>Accident and health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70,173</w:t>
            </w:r>
          </w:p>
        </w:tc>
        <w:tc>
          <w:tcPr>
            <w:tcW w:w="75" w:type="dxa"/>
            <w:tcBorders/>
            <w:shd w:fill="CCEEFF" w:val="clear"/>
            <w:vAlign w:val="center"/>
          </w:tcPr>
          <w:p>
            <w:pPr>
              <w:pStyle w:val="TableContents"/>
              <w:bidi w:val="0"/>
              <w:spacing w:before="0" w:after="283"/>
              <w:jc w:val="left"/>
              <w:rPr/>
            </w:pPr>
            <w:r>
              <w:rPr/>
              <w:t> </w:t>
            </w:r>
            <w:bookmarkStart w:id="1831" w:name="xdx_40E_eus-gaap--ReceivablesNetCurrent_"/>
            <w:bookmarkEnd w:id="1831"/>
          </w:p>
        </w:tc>
      </w:tr>
      <w:tr>
        <w:trPr/>
        <w:tc>
          <w:tcPr>
            <w:tcW w:w="5705" w:type="dxa"/>
            <w:tcBorders/>
            <w:shd w:fill="FFFFFF" w:val="clear"/>
            <w:vAlign w:val="center"/>
          </w:tcPr>
          <w:p>
            <w:pPr>
              <w:pStyle w:val="TableContents"/>
              <w:bidi w:val="0"/>
              <w:spacing w:before="0" w:after="283"/>
              <w:jc w:val="left"/>
              <w:rPr/>
            </w:pPr>
            <w:r>
              <w:rPr/>
              <w:t>Reported but unpaid claims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131,712</w:t>
            </w:r>
          </w:p>
        </w:tc>
        <w:tc>
          <w:tcPr>
            <w:tcW w:w="75" w:type="dxa"/>
            <w:tcBorders/>
            <w:shd w:fill="FFFFFF" w:val="clear"/>
            <w:vAlign w:val="center"/>
          </w:tcPr>
          <w:p>
            <w:pPr>
              <w:pStyle w:val="TableContents"/>
              <w:bidi w:val="0"/>
              <w:spacing w:before="0" w:after="283"/>
              <w:jc w:val="left"/>
              <w:rPr/>
            </w:pPr>
            <w:r>
              <w:rPr/>
              <w:t> </w:t>
            </w:r>
            <w:bookmarkStart w:id="1832" w:name="xdx_402_eus-gaap--ReceivablesNetCurrent_"/>
            <w:bookmarkEnd w:id="1832"/>
          </w:p>
        </w:tc>
      </w:tr>
      <w:tr>
        <w:trPr/>
        <w:tc>
          <w:tcPr>
            <w:tcW w:w="5705" w:type="dxa"/>
            <w:tcBorders/>
            <w:shd w:fill="CCEEFF" w:val="clear"/>
            <w:vAlign w:val="center"/>
          </w:tcPr>
          <w:p>
            <w:pPr>
              <w:pStyle w:val="TableContents"/>
              <w:bidi w:val="0"/>
              <w:spacing w:before="0" w:after="283"/>
              <w:jc w:val="left"/>
              <w:rPr/>
            </w:pPr>
            <w:r>
              <w:rPr/>
              <w:t>Incurred but not reported claims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33" w:name="xdx_405_eus-gaap--ReceivablesNetCurrent_"/>
            <w:bookmarkEnd w:id="1833"/>
          </w:p>
        </w:tc>
      </w:tr>
      <w:tr>
        <w:trPr/>
        <w:tc>
          <w:tcPr>
            <w:tcW w:w="5705" w:type="dxa"/>
            <w:tcBorders/>
            <w:shd w:fill="CCEEFF" w:val="clear"/>
            <w:vAlign w:val="center"/>
          </w:tcPr>
          <w:p>
            <w:pPr>
              <w:pStyle w:val="TableContents"/>
              <w:bidi w:val="0"/>
              <w:spacing w:before="0" w:after="283"/>
              <w:jc w:val="left"/>
              <w:rPr/>
            </w:pPr>
            <w:r>
              <w:rPr/>
              <w:t>Total receivable from reinsurers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10,101,219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10,380,126</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34" w:name="xdx_406_ecustom--NetFuturePolicyBenefits"/>
            <w:bookmarkEnd w:id="1834"/>
          </w:p>
        </w:tc>
      </w:tr>
      <w:tr>
        <w:trPr/>
        <w:tc>
          <w:tcPr>
            <w:tcW w:w="5705" w:type="dxa"/>
            <w:tcBorders/>
            <w:shd w:fill="CCEEFF" w:val="clear"/>
            <w:vAlign w:val="center"/>
          </w:tcPr>
          <w:p>
            <w:pPr>
              <w:pStyle w:val="TableContents"/>
              <w:bidi w:val="0"/>
              <w:spacing w:before="0" w:after="283"/>
              <w:jc w:val="left"/>
              <w:rPr/>
            </w:pPr>
            <w:r>
              <w:rPr/>
              <w:t>Net future policy benefits and unpaid claims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788,971,421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pPr>
            <w:r>
              <w:rPr/>
              <w:t>789,326,820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35" w:name="xdx_40B_eus-gaap--LiabilityForUnpaidClai"/>
            <w:bookmarkEnd w:id="1835"/>
          </w:p>
        </w:tc>
      </w:tr>
      <w:tr>
        <w:trPr/>
        <w:tc>
          <w:tcPr>
            <w:tcW w:w="5705" w:type="dxa"/>
            <w:tcBorders/>
            <w:shd w:fill="CCEEFF" w:val="clear"/>
            <w:vAlign w:val="center"/>
          </w:tcPr>
          <w:p>
            <w:pPr>
              <w:pStyle w:val="TableContents"/>
              <w:bidi w:val="0"/>
              <w:spacing w:before="0" w:after="283"/>
              <w:jc w:val="left"/>
              <w:rPr/>
            </w:pPr>
            <w:r>
              <w:rPr/>
              <w:t>Net unpaid claims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6,317,982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pPr>
            <w:r>
              <w:rPr/>
              <w:t>7,261,634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36" w:name="xdx_8AD_zjYi4UZtab0f"/>
      <w:bookmarkEnd w:id="183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Future Policy Benefits and Unpaid Claims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Traditional and Limited-Payment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37" w:name="xdx_896_ecustom--ScheduleOfBalancesOfAnd"/>
      <w:bookmarkEnd w:id="1837"/>
      <w:r>
        <w:rPr>
          <w:rFonts w:ascii="Times New Roman;Times;Serif" w:hAnsi="Times New Roman;Times;Serif"/>
          <w:b w:val="false"/>
          <w:i w:val="false"/>
          <w:caps w:val="false"/>
          <w:smallCaps w:val="false"/>
          <w:sz w:val="20"/>
        </w:rPr>
        <w:t>The following table summarizes the balance of and changes in the liability for future policy benefits for traditional and limited-payment life:</w:t>
      </w:r>
    </w:p>
    <w:p>
      <w:pPr>
        <w:pStyle w:val="TextBody"/>
        <w:bidi w:val="0"/>
        <w:spacing w:before="0" w:after="0"/>
        <w:ind w:left="0" w:right="0" w:hanging="0"/>
        <w:jc w:val="left"/>
        <w:rPr>
          <w:caps w:val="false"/>
          <w:smallCaps w:val="false"/>
        </w:rPr>
      </w:pPr>
      <w:r>
        <w:rPr>
          <w:caps w:val="false"/>
          <w:smallCaps w:val="false"/>
        </w:rPr>
        <w:t> </w:t>
      </w:r>
      <w:bookmarkStart w:id="1838" w:name="xdx_8B5_zQIK1uJxTEN5"/>
      <w:bookmarkEnd w:id="1838"/>
      <w:r>
        <w:rPr>
          <w:rFonts w:ascii="Times New Roman;Times;Serif" w:hAnsi="Times New Roman;Times;Serif"/>
          <w:b w:val="false"/>
          <w:i w:val="false"/>
          <w:caps w:val="false"/>
          <w:smallCaps w:val="false"/>
          <w:sz w:val="20"/>
        </w:rPr>
        <w:t>Schedule of Balances of and Changes in the Liability for Future Policy Benefits</w:t>
      </w:r>
    </w:p>
    <w:tbl>
      <w:tblPr>
        <w:tblW w:w="8285" w:type="dxa"/>
        <w:jc w:val="left"/>
        <w:tblInd w:w="0" w:type="dxa"/>
        <w:tblLayout w:type="fixed"/>
        <w:tblCellMar>
          <w:top w:w="0" w:type="dxa"/>
          <w:left w:w="0" w:type="dxa"/>
          <w:bottom w:w="0" w:type="dxa"/>
          <w:right w:w="0" w:type="dxa"/>
        </w:tblCellMar>
      </w:tblPr>
      <w:tblGrid>
        <w:gridCol w:w="5240"/>
        <w:gridCol w:w="60"/>
        <w:gridCol w:w="140"/>
        <w:gridCol w:w="1220"/>
        <w:gridCol w:w="95"/>
        <w:gridCol w:w="60"/>
        <w:gridCol w:w="140"/>
        <w:gridCol w:w="1220"/>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9" w:name="xdx_495_20260101__20260630__srt--Product"/>
            <w:bookmarkEnd w:id="1839"/>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0" w:name="xdx_498_20250101__20250630__srt--Product"/>
            <w:bookmarkEnd w:id="1840"/>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u w:val="single"/>
              </w:rPr>
            </w:pPr>
            <w:r>
              <w:rPr>
                <w:u w:val="single"/>
              </w:rPr>
              <w:t>Present Value of Expected Net Premiums:</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841" w:name="xdx_401_eus-gaap--LiabilityForFuturePoli"/>
            <w:bookmarkEnd w:id="1841"/>
          </w:p>
        </w:tc>
      </w:tr>
      <w:tr>
        <w:trPr/>
        <w:tc>
          <w:tcPr>
            <w:tcW w:w="5240" w:type="dxa"/>
            <w:tcBorders/>
            <w:shd w:fill="FFFFFF" w:val="clear"/>
            <w:vAlign w:val="center"/>
          </w:tcPr>
          <w:p>
            <w:pPr>
              <w:pStyle w:val="TableContents"/>
              <w:bidi w:val="0"/>
              <w:spacing w:before="0" w:after="283"/>
              <w:jc w:val="left"/>
              <w:rPr/>
            </w:pPr>
            <w:r>
              <w:rPr/>
              <w:t>Balance,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250,450,302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252,828,339</w:t>
            </w:r>
          </w:p>
        </w:tc>
        <w:tc>
          <w:tcPr>
            <w:tcW w:w="110" w:type="dxa"/>
            <w:tcBorders/>
            <w:shd w:fill="FFFFFF" w:val="clear"/>
            <w:vAlign w:val="center"/>
          </w:tcPr>
          <w:p>
            <w:pPr>
              <w:pStyle w:val="TableContents"/>
              <w:bidi w:val="0"/>
              <w:spacing w:before="0" w:after="283"/>
              <w:jc w:val="left"/>
              <w:rPr/>
            </w:pPr>
            <w:r>
              <w:rPr/>
              <w:t> </w:t>
            </w:r>
            <w:bookmarkStart w:id="1842" w:name="xdx_40B_eus-gaap--LiabilityForFuturePoli"/>
            <w:bookmarkEnd w:id="1842"/>
          </w:p>
        </w:tc>
      </w:tr>
      <w:tr>
        <w:trPr/>
        <w:tc>
          <w:tcPr>
            <w:tcW w:w="5240" w:type="dxa"/>
            <w:tcBorders/>
            <w:shd w:fill="CCEEFF" w:val="clear"/>
            <w:vAlign w:val="center"/>
          </w:tcPr>
          <w:p>
            <w:pPr>
              <w:pStyle w:val="TableContents"/>
              <w:bidi w:val="0"/>
              <w:spacing w:before="0" w:after="283"/>
              <w:jc w:val="left"/>
              <w:rPr/>
            </w:pPr>
            <w:r>
              <w:rPr/>
              <w:t>Beginning balance at original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250,331,770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258,790,212</w:t>
            </w:r>
          </w:p>
        </w:tc>
        <w:tc>
          <w:tcPr>
            <w:tcW w:w="110" w:type="dxa"/>
            <w:tcBorders/>
            <w:shd w:fill="CCEEFF" w:val="clear"/>
            <w:vAlign w:val="center"/>
          </w:tcPr>
          <w:p>
            <w:pPr>
              <w:pStyle w:val="TableContents"/>
              <w:bidi w:val="0"/>
              <w:spacing w:before="0" w:after="283"/>
              <w:jc w:val="left"/>
              <w:rPr/>
            </w:pPr>
            <w:r>
              <w:rPr/>
              <w:t> </w:t>
            </w:r>
            <w:bookmarkStart w:id="1843" w:name="xdx_408_eus-gaap--LiabilityForFuturePoli"/>
            <w:bookmarkEnd w:id="1843"/>
          </w:p>
        </w:tc>
      </w:tr>
      <w:tr>
        <w:trPr/>
        <w:tc>
          <w:tcPr>
            <w:tcW w:w="5240" w:type="dxa"/>
            <w:tcBorders/>
            <w:shd w:fill="FFFFFF" w:val="clear"/>
            <w:vAlign w:val="center"/>
          </w:tcPr>
          <w:p>
            <w:pPr>
              <w:pStyle w:val="TableContents"/>
              <w:bidi w:val="0"/>
              <w:spacing w:before="0" w:after="283"/>
              <w:jc w:val="left"/>
              <w:rPr/>
            </w:pPr>
            <w:r>
              <w:rPr/>
              <w:t>Effect of changes in cash flow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44" w:name="xdx_40D_eus-gaap--LiabilityForFuturePoli"/>
            <w:bookmarkEnd w:id="1844"/>
          </w:p>
        </w:tc>
      </w:tr>
      <w:tr>
        <w:trPr/>
        <w:tc>
          <w:tcPr>
            <w:tcW w:w="5240" w:type="dxa"/>
            <w:tcBorders/>
            <w:shd w:fill="CCEEFF" w:val="clear"/>
            <w:vAlign w:val="center"/>
          </w:tcPr>
          <w:p>
            <w:pPr>
              <w:pStyle w:val="TableContents"/>
              <w:bidi w:val="0"/>
              <w:spacing w:before="0" w:after="283"/>
              <w:jc w:val="left"/>
              <w:rPr/>
            </w:pPr>
            <w:r>
              <w:rPr/>
              <w:t xml:space="preserve">Effect of actual variances from expected experience </w:t>
            </w:r>
            <w:bookmarkStart w:id="1845" w:name="xdx_F44_zPqWlIGyCEP8"/>
            <w:bookmarkEnd w:id="1845"/>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(9,125,505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(8,850,587</w:t>
            </w:r>
          </w:p>
        </w:tc>
        <w:tc>
          <w:tcPr>
            <w:tcW w:w="110" w:type="dxa"/>
            <w:tcBorders/>
            <w:shd w:fill="CCEEFF" w:val="clear"/>
            <w:vAlign w:val="center"/>
          </w:tcPr>
          <w:p>
            <w:pPr>
              <w:pStyle w:val="TableContents"/>
              <w:bidi w:val="0"/>
              <w:spacing w:before="0" w:after="283"/>
              <w:jc w:val="left"/>
              <w:rPr/>
            </w:pPr>
            <w:r>
              <w:rPr/>
              <w:t>)</w:t>
            </w:r>
            <w:bookmarkStart w:id="1846" w:name="xdx_403_eus-gaap--LiabilityForFuturePoli"/>
            <w:bookmarkEnd w:id="1846"/>
          </w:p>
        </w:tc>
      </w:tr>
      <w:tr>
        <w:trPr/>
        <w:tc>
          <w:tcPr>
            <w:tcW w:w="5240" w:type="dxa"/>
            <w:tcBorders/>
            <w:shd w:fill="FFFFFF" w:val="clear"/>
            <w:vAlign w:val="center"/>
          </w:tcPr>
          <w:p>
            <w:pPr>
              <w:pStyle w:val="TableContents"/>
              <w:bidi w:val="0"/>
              <w:spacing w:before="0" w:after="283"/>
              <w:jc w:val="left"/>
              <w:rPr/>
            </w:pPr>
            <w:r>
              <w:rPr/>
              <w:t>Adjusted beginning of year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241,206,265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249,939,625</w:t>
            </w:r>
          </w:p>
        </w:tc>
        <w:tc>
          <w:tcPr>
            <w:tcW w:w="110" w:type="dxa"/>
            <w:tcBorders/>
            <w:shd w:fill="FFFFFF" w:val="clear"/>
            <w:vAlign w:val="center"/>
          </w:tcPr>
          <w:p>
            <w:pPr>
              <w:pStyle w:val="TableContents"/>
              <w:bidi w:val="0"/>
              <w:spacing w:before="0" w:after="283"/>
              <w:jc w:val="left"/>
              <w:rPr/>
            </w:pPr>
            <w:r>
              <w:rPr/>
              <w:t> </w:t>
            </w:r>
            <w:bookmarkStart w:id="1847" w:name="xdx_401_eus-gaap--LiabilityForFuturePoli"/>
            <w:bookmarkEnd w:id="1847"/>
          </w:p>
        </w:tc>
      </w:tr>
      <w:tr>
        <w:trPr/>
        <w:tc>
          <w:tcPr>
            <w:tcW w:w="5240" w:type="dxa"/>
            <w:tcBorders/>
            <w:shd w:fill="CCEEFF" w:val="clear"/>
            <w:vAlign w:val="center"/>
          </w:tcPr>
          <w:p>
            <w:pPr>
              <w:pStyle w:val="TableContents"/>
              <w:bidi w:val="0"/>
              <w:spacing w:before="0" w:after="283"/>
              <w:jc w:val="left"/>
              <w:rPr/>
            </w:pPr>
            <w:r>
              <w:rPr/>
              <w:t>Issuances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24,679,101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26,216,812</w:t>
            </w:r>
          </w:p>
        </w:tc>
        <w:tc>
          <w:tcPr>
            <w:tcW w:w="110" w:type="dxa"/>
            <w:tcBorders/>
            <w:shd w:fill="CCEEFF" w:val="clear"/>
            <w:vAlign w:val="center"/>
          </w:tcPr>
          <w:p>
            <w:pPr>
              <w:pStyle w:val="TableContents"/>
              <w:bidi w:val="0"/>
              <w:spacing w:before="0" w:after="283"/>
              <w:jc w:val="left"/>
              <w:rPr/>
            </w:pPr>
            <w:r>
              <w:rPr/>
              <w:t> </w:t>
            </w:r>
            <w:bookmarkStart w:id="1848" w:name="xdx_405_eus-gaap--LiabilityForFuturePoli"/>
            <w:bookmarkEnd w:id="1848"/>
          </w:p>
        </w:tc>
      </w:tr>
      <w:tr>
        <w:trPr/>
        <w:tc>
          <w:tcPr>
            <w:tcW w:w="5240" w:type="dxa"/>
            <w:tcBorders/>
            <w:shd w:fill="FFFFFF" w:val="clear"/>
            <w:vAlign w:val="center"/>
          </w:tcPr>
          <w:p>
            <w:pPr>
              <w:pStyle w:val="TableContents"/>
              <w:bidi w:val="0"/>
              <w:spacing w:before="0" w:after="283"/>
              <w:jc w:val="left"/>
              <w:rPr/>
            </w:pPr>
            <w:r>
              <w:rPr/>
              <w:t>Interest accrual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5,864,428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6,164,310</w:t>
            </w:r>
          </w:p>
        </w:tc>
        <w:tc>
          <w:tcPr>
            <w:tcW w:w="110" w:type="dxa"/>
            <w:tcBorders/>
            <w:shd w:fill="FFFFFF" w:val="clear"/>
            <w:vAlign w:val="center"/>
          </w:tcPr>
          <w:p>
            <w:pPr>
              <w:pStyle w:val="TableContents"/>
              <w:bidi w:val="0"/>
              <w:spacing w:before="0" w:after="283"/>
              <w:jc w:val="left"/>
              <w:rPr/>
            </w:pPr>
            <w:r>
              <w:rPr/>
              <w:t> </w:t>
            </w:r>
            <w:bookmarkStart w:id="1849" w:name="xdx_401_eus-gaap--LiabilityForFuturePoli"/>
            <w:bookmarkEnd w:id="1849"/>
          </w:p>
        </w:tc>
      </w:tr>
      <w:tr>
        <w:trPr/>
        <w:tc>
          <w:tcPr>
            <w:tcW w:w="5240" w:type="dxa"/>
            <w:tcBorders/>
            <w:shd w:fill="CCEEFF" w:val="clear"/>
            <w:vAlign w:val="center"/>
          </w:tcPr>
          <w:p>
            <w:pPr>
              <w:pStyle w:val="TableContents"/>
              <w:bidi w:val="0"/>
              <w:spacing w:before="0" w:after="283"/>
              <w:jc w:val="left"/>
              <w:rPr/>
            </w:pPr>
            <w:r>
              <w:rPr/>
              <w:t xml:space="preserve">Net premiums collected </w:t>
            </w:r>
            <w:bookmarkStart w:id="1850" w:name="xdx_F40_zSlogLtw0rM1"/>
            <w:bookmarkEnd w:id="1850"/>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(25,194,587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(25,990,691</w:t>
            </w:r>
          </w:p>
        </w:tc>
        <w:tc>
          <w:tcPr>
            <w:tcW w:w="110" w:type="dxa"/>
            <w:tcBorders/>
            <w:shd w:fill="CCEEFF" w:val="clear"/>
            <w:vAlign w:val="center"/>
          </w:tcPr>
          <w:p>
            <w:pPr>
              <w:pStyle w:val="TableContents"/>
              <w:bidi w:val="0"/>
              <w:spacing w:before="0" w:after="283"/>
              <w:jc w:val="left"/>
              <w:rPr/>
            </w:pPr>
            <w:r>
              <w:rPr/>
              <w:t>)</w:t>
            </w:r>
            <w:bookmarkStart w:id="1851" w:name="xdx_40E_eus-gaap--LiabilityForFuturePoli"/>
            <w:bookmarkEnd w:id="1851"/>
          </w:p>
        </w:tc>
      </w:tr>
      <w:tr>
        <w:trPr/>
        <w:tc>
          <w:tcPr>
            <w:tcW w:w="5240" w:type="dxa"/>
            <w:tcBorders/>
            <w:shd w:fill="FFFFFF" w:val="clear"/>
            <w:vAlign w:val="center"/>
          </w:tcPr>
          <w:p>
            <w:pPr>
              <w:pStyle w:val="TableContents"/>
              <w:bidi w:val="0"/>
              <w:spacing w:before="0" w:after="283"/>
              <w:jc w:val="left"/>
              <w:rPr/>
            </w:pPr>
            <w:r>
              <w:rPr/>
              <w:t>Ending balance at original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246,555,207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256,330,056</w:t>
            </w:r>
          </w:p>
        </w:tc>
        <w:tc>
          <w:tcPr>
            <w:tcW w:w="110" w:type="dxa"/>
            <w:tcBorders/>
            <w:shd w:fill="FFFFFF" w:val="clear"/>
            <w:vAlign w:val="center"/>
          </w:tcPr>
          <w:p>
            <w:pPr>
              <w:pStyle w:val="TableContents"/>
              <w:bidi w:val="0"/>
              <w:spacing w:before="0" w:after="283"/>
              <w:jc w:val="left"/>
              <w:rPr/>
            </w:pPr>
            <w:r>
              <w:rPr/>
              <w:t> </w:t>
            </w:r>
            <w:bookmarkStart w:id="1852" w:name="xdx_409_eus-gaap--AociLiabilityForFuture"/>
            <w:bookmarkEnd w:id="1852"/>
          </w:p>
        </w:tc>
      </w:tr>
      <w:tr>
        <w:trPr/>
        <w:tc>
          <w:tcPr>
            <w:tcW w:w="5240" w:type="dxa"/>
            <w:tcBorders/>
            <w:shd w:fill="CCEEFF" w:val="clear"/>
            <w:vAlign w:val="center"/>
          </w:tcPr>
          <w:p>
            <w:pPr>
              <w:pStyle w:val="TableContents"/>
              <w:bidi w:val="0"/>
              <w:spacing w:before="0" w:after="283"/>
              <w:jc w:val="left"/>
              <w:rPr/>
            </w:pPr>
            <w:r>
              <w:rPr/>
              <w:t>Effect of changes in discount rate assumptions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(4,092,345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(1,782,680</w:t>
            </w:r>
          </w:p>
        </w:tc>
        <w:tc>
          <w:tcPr>
            <w:tcW w:w="110" w:type="dxa"/>
            <w:tcBorders/>
            <w:shd w:fill="CCEEFF" w:val="clear"/>
            <w:vAlign w:val="center"/>
          </w:tcPr>
          <w:p>
            <w:pPr>
              <w:pStyle w:val="TableContents"/>
              <w:bidi w:val="0"/>
              <w:spacing w:before="0" w:after="283"/>
              <w:jc w:val="left"/>
              <w:rPr/>
            </w:pPr>
            <w:r>
              <w:rPr/>
              <w:t>)</w:t>
            </w:r>
            <w:bookmarkStart w:id="1853" w:name="xdx_408_eus-gaap--LiabilityForFuturePoli"/>
            <w:bookmarkEnd w:id="1853"/>
          </w:p>
        </w:tc>
      </w:tr>
      <w:tr>
        <w:trPr/>
        <w:tc>
          <w:tcPr>
            <w:tcW w:w="524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242,462,862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254,547,376</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u w:val="single"/>
              </w:rPr>
            </w:pPr>
            <w:r>
              <w:rPr>
                <w:u w:val="single"/>
              </w:rPr>
              <w:t>Present Value of Expected Future Policy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54" w:name="xdx_40A_eus-gaap--LiabilityForFuturePoli"/>
            <w:bookmarkEnd w:id="1854"/>
          </w:p>
        </w:tc>
      </w:tr>
      <w:tr>
        <w:trPr/>
        <w:tc>
          <w:tcPr>
            <w:tcW w:w="524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831,839,700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800,812,826</w:t>
            </w:r>
          </w:p>
        </w:tc>
        <w:tc>
          <w:tcPr>
            <w:tcW w:w="110" w:type="dxa"/>
            <w:tcBorders/>
            <w:shd w:fill="CCEEFF" w:val="clear"/>
            <w:vAlign w:val="center"/>
          </w:tcPr>
          <w:p>
            <w:pPr>
              <w:pStyle w:val="TableContents"/>
              <w:bidi w:val="0"/>
              <w:spacing w:before="0" w:after="283"/>
              <w:jc w:val="left"/>
              <w:rPr/>
            </w:pPr>
            <w:r>
              <w:rPr/>
              <w:t> </w:t>
            </w:r>
            <w:bookmarkStart w:id="1855" w:name="xdx_40E_eus-gaap--LiabilityForFuturePoli"/>
            <w:bookmarkEnd w:id="1855"/>
          </w:p>
        </w:tc>
      </w:tr>
      <w:tr>
        <w:trPr/>
        <w:tc>
          <w:tcPr>
            <w:tcW w:w="5240" w:type="dxa"/>
            <w:tcBorders/>
            <w:shd w:fill="FFFFFF" w:val="clear"/>
            <w:vAlign w:val="center"/>
          </w:tcPr>
          <w:p>
            <w:pPr>
              <w:pStyle w:val="TableContents"/>
              <w:bidi w:val="0"/>
              <w:spacing w:before="0" w:after="283"/>
              <w:jc w:val="left"/>
              <w:rPr/>
            </w:pPr>
            <w:r>
              <w:rPr/>
              <w:t>Beginning balance at original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867,177,517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858,516,933</w:t>
            </w:r>
          </w:p>
        </w:tc>
        <w:tc>
          <w:tcPr>
            <w:tcW w:w="110" w:type="dxa"/>
            <w:tcBorders/>
            <w:shd w:fill="FFFFFF" w:val="clear"/>
            <w:vAlign w:val="center"/>
          </w:tcPr>
          <w:p>
            <w:pPr>
              <w:pStyle w:val="TableContents"/>
              <w:bidi w:val="0"/>
              <w:spacing w:before="0" w:after="283"/>
              <w:jc w:val="left"/>
              <w:rPr/>
            </w:pPr>
            <w:r>
              <w:rPr/>
              <w:t> </w:t>
            </w:r>
            <w:bookmarkStart w:id="1856" w:name="xdx_40F_eus-gaap--LiabilityForFuturePoli"/>
            <w:bookmarkEnd w:id="1856"/>
          </w:p>
        </w:tc>
      </w:tr>
      <w:tr>
        <w:trPr/>
        <w:tc>
          <w:tcPr>
            <w:tcW w:w="5240" w:type="dxa"/>
            <w:tcBorders/>
            <w:shd w:fill="CCEEFF" w:val="clear"/>
            <w:vAlign w:val="center"/>
          </w:tcPr>
          <w:p>
            <w:pPr>
              <w:pStyle w:val="TableContents"/>
              <w:bidi w:val="0"/>
              <w:spacing w:before="0" w:after="283"/>
              <w:jc w:val="left"/>
              <w:rPr/>
            </w:pPr>
            <w:r>
              <w:rPr/>
              <w:t>Effect of changes in cash flow assumptions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57" w:name="xdx_401_eus-gaap--LiabilityForFuturePoli"/>
            <w:bookmarkEnd w:id="1857"/>
          </w:p>
        </w:tc>
      </w:tr>
      <w:tr>
        <w:trPr/>
        <w:tc>
          <w:tcPr>
            <w:tcW w:w="5240" w:type="dxa"/>
            <w:tcBorders/>
            <w:shd w:fill="FFFFFF" w:val="clear"/>
            <w:vAlign w:val="center"/>
          </w:tcPr>
          <w:p>
            <w:pPr>
              <w:pStyle w:val="TableContents"/>
              <w:bidi w:val="0"/>
              <w:spacing w:before="0" w:after="283"/>
              <w:jc w:val="left"/>
              <w:rPr/>
            </w:pPr>
            <w:r>
              <w:rPr/>
              <w:t xml:space="preserve">Effect of actual variances from expected experience </w:t>
            </w:r>
            <w:bookmarkStart w:id="1858" w:name="xdx_F46_zCQgw5Mx7bx"/>
            <w:bookmarkEnd w:id="1858"/>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(6,967,515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(6,646,425</w:t>
            </w:r>
          </w:p>
        </w:tc>
        <w:tc>
          <w:tcPr>
            <w:tcW w:w="110" w:type="dxa"/>
            <w:tcBorders/>
            <w:shd w:fill="FFFFFF" w:val="clear"/>
            <w:vAlign w:val="center"/>
          </w:tcPr>
          <w:p>
            <w:pPr>
              <w:pStyle w:val="TableContents"/>
              <w:bidi w:val="0"/>
              <w:spacing w:before="0" w:after="283"/>
              <w:jc w:val="left"/>
              <w:rPr/>
            </w:pPr>
            <w:r>
              <w:rPr/>
              <w:t>)</w:t>
            </w:r>
            <w:bookmarkStart w:id="1859" w:name="xdx_401_eus-gaap--LiabilityForFuturePoli"/>
            <w:bookmarkEnd w:id="1859"/>
          </w:p>
        </w:tc>
      </w:tr>
      <w:tr>
        <w:trPr/>
        <w:tc>
          <w:tcPr>
            <w:tcW w:w="5240" w:type="dxa"/>
            <w:tcBorders/>
            <w:shd w:fill="CCEEFF" w:val="clear"/>
            <w:vAlign w:val="center"/>
          </w:tcPr>
          <w:p>
            <w:pPr>
              <w:pStyle w:val="TableContents"/>
              <w:bidi w:val="0"/>
              <w:spacing w:before="0" w:after="283"/>
              <w:jc w:val="left"/>
              <w:rPr/>
            </w:pPr>
            <w:r>
              <w:rPr/>
              <w:t>Adjusted beginning of year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860,210,002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851,870,508</w:t>
            </w:r>
          </w:p>
        </w:tc>
        <w:tc>
          <w:tcPr>
            <w:tcW w:w="110" w:type="dxa"/>
            <w:tcBorders/>
            <w:shd w:fill="CCEEFF" w:val="clear"/>
            <w:vAlign w:val="center"/>
          </w:tcPr>
          <w:p>
            <w:pPr>
              <w:pStyle w:val="TableContents"/>
              <w:bidi w:val="0"/>
              <w:spacing w:before="0" w:after="283"/>
              <w:jc w:val="left"/>
              <w:rPr/>
            </w:pPr>
            <w:r>
              <w:rPr/>
              <w:t> </w:t>
            </w:r>
            <w:bookmarkStart w:id="1860" w:name="xdx_40D_eus-gaap--LiabilityForFuturePoli"/>
            <w:bookmarkEnd w:id="1860"/>
          </w:p>
        </w:tc>
      </w:tr>
      <w:tr>
        <w:trPr/>
        <w:tc>
          <w:tcPr>
            <w:tcW w:w="5240" w:type="dxa"/>
            <w:tcBorders/>
            <w:shd w:fill="FFFFFF" w:val="clear"/>
            <w:vAlign w:val="center"/>
          </w:tcPr>
          <w:p>
            <w:pPr>
              <w:pStyle w:val="TableContents"/>
              <w:bidi w:val="0"/>
              <w:spacing w:before="0" w:after="283"/>
              <w:jc w:val="left"/>
              <w:rPr/>
            </w:pPr>
            <w:r>
              <w:rPr/>
              <w:t>Issuances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24,609,755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26,382,636</w:t>
            </w:r>
          </w:p>
        </w:tc>
        <w:tc>
          <w:tcPr>
            <w:tcW w:w="110" w:type="dxa"/>
            <w:tcBorders/>
            <w:shd w:fill="FFFFFF" w:val="clear"/>
            <w:vAlign w:val="center"/>
          </w:tcPr>
          <w:p>
            <w:pPr>
              <w:pStyle w:val="TableContents"/>
              <w:bidi w:val="0"/>
              <w:spacing w:before="0" w:after="283"/>
              <w:jc w:val="left"/>
              <w:rPr/>
            </w:pPr>
            <w:r>
              <w:rPr/>
              <w:t> </w:t>
            </w:r>
            <w:bookmarkStart w:id="1861" w:name="xdx_400_eus-gaap--LiabilityForFuturePoli"/>
            <w:bookmarkEnd w:id="1861"/>
          </w:p>
        </w:tc>
      </w:tr>
      <w:tr>
        <w:trPr/>
        <w:tc>
          <w:tcPr>
            <w:tcW w:w="5240" w:type="dxa"/>
            <w:tcBorders/>
            <w:shd w:fill="CCEEFF" w:val="clear"/>
            <w:vAlign w:val="center"/>
          </w:tcPr>
          <w:p>
            <w:pPr>
              <w:pStyle w:val="TableContents"/>
              <w:bidi w:val="0"/>
              <w:spacing w:before="0" w:after="283"/>
              <w:jc w:val="left"/>
              <w:rPr/>
            </w:pPr>
            <w:r>
              <w:rPr/>
              <w:t>Interest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20,776,434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20,629,718</w:t>
            </w:r>
          </w:p>
        </w:tc>
        <w:tc>
          <w:tcPr>
            <w:tcW w:w="110" w:type="dxa"/>
            <w:tcBorders/>
            <w:shd w:fill="CCEEFF" w:val="clear"/>
            <w:vAlign w:val="center"/>
          </w:tcPr>
          <w:p>
            <w:pPr>
              <w:pStyle w:val="TableContents"/>
              <w:bidi w:val="0"/>
              <w:spacing w:before="0" w:after="283"/>
              <w:jc w:val="left"/>
              <w:rPr/>
            </w:pPr>
            <w:r>
              <w:rPr/>
              <w:t> </w:t>
            </w:r>
            <w:bookmarkStart w:id="1862" w:name="xdx_401_eus-gaap--LiabilityForFuturePoli"/>
            <w:bookmarkEnd w:id="1862"/>
          </w:p>
        </w:tc>
      </w:tr>
      <w:tr>
        <w:trPr/>
        <w:tc>
          <w:tcPr>
            <w:tcW w:w="5240" w:type="dxa"/>
            <w:tcBorders/>
            <w:shd w:fill="FFFFFF" w:val="clear"/>
            <w:vAlign w:val="center"/>
          </w:tcPr>
          <w:p>
            <w:pPr>
              <w:pStyle w:val="TableContents"/>
              <w:bidi w:val="0"/>
              <w:spacing w:before="0" w:after="283"/>
              <w:jc w:val="left"/>
              <w:rPr/>
            </w:pPr>
            <w:r>
              <w:rPr/>
              <w:t>Benefit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(34,467,584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(34,214,879</w:t>
            </w:r>
          </w:p>
        </w:tc>
        <w:tc>
          <w:tcPr>
            <w:tcW w:w="110" w:type="dxa"/>
            <w:tcBorders/>
            <w:shd w:fill="FFFFFF" w:val="clear"/>
            <w:vAlign w:val="center"/>
          </w:tcPr>
          <w:p>
            <w:pPr>
              <w:pStyle w:val="TableContents"/>
              <w:bidi w:val="0"/>
              <w:spacing w:before="0" w:after="283"/>
              <w:jc w:val="left"/>
              <w:rPr/>
            </w:pPr>
            <w:r>
              <w:rPr/>
              <w:t>)</w:t>
            </w:r>
            <w:bookmarkStart w:id="1863" w:name="xdx_40B_eus-gaap--LiabilityForFuturePoli"/>
            <w:bookmarkEnd w:id="1863"/>
          </w:p>
        </w:tc>
      </w:tr>
      <w:tr>
        <w:trPr/>
        <w:tc>
          <w:tcPr>
            <w:tcW w:w="5240" w:type="dxa"/>
            <w:tcBorders/>
            <w:shd w:fill="CCEEFF" w:val="clear"/>
            <w:vAlign w:val="center"/>
          </w:tcPr>
          <w:p>
            <w:pPr>
              <w:pStyle w:val="TableContents"/>
              <w:bidi w:val="0"/>
              <w:spacing w:before="0" w:after="283"/>
              <w:jc w:val="left"/>
              <w:rPr/>
            </w:pPr>
            <w:r>
              <w:rPr/>
              <w:t>Ending balance at original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871,128,607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864,667,983</w:t>
            </w:r>
          </w:p>
        </w:tc>
        <w:tc>
          <w:tcPr>
            <w:tcW w:w="110" w:type="dxa"/>
            <w:tcBorders/>
            <w:shd w:fill="CCEEFF" w:val="clear"/>
            <w:vAlign w:val="center"/>
          </w:tcPr>
          <w:p>
            <w:pPr>
              <w:pStyle w:val="TableContents"/>
              <w:bidi w:val="0"/>
              <w:spacing w:before="0" w:after="283"/>
              <w:jc w:val="left"/>
              <w:rPr/>
            </w:pPr>
            <w:r>
              <w:rPr/>
              <w:t> </w:t>
            </w:r>
            <w:bookmarkStart w:id="1864" w:name="xdx_40E_eus-gaap--AociLiabilityForFuture"/>
            <w:bookmarkEnd w:id="1864"/>
          </w:p>
        </w:tc>
      </w:tr>
      <w:tr>
        <w:trPr/>
        <w:tc>
          <w:tcPr>
            <w:tcW w:w="5240" w:type="dxa"/>
            <w:tcBorders/>
            <w:shd w:fill="FFFFFF" w:val="clear"/>
            <w:vAlign w:val="center"/>
          </w:tcPr>
          <w:p>
            <w:pPr>
              <w:pStyle w:val="TableContents"/>
              <w:bidi w:val="0"/>
              <w:spacing w:before="0" w:after="283"/>
              <w:jc w:val="left"/>
              <w:rPr/>
            </w:pPr>
            <w:r>
              <w:rPr/>
              <w:t>Effect of changes in discount rate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(52,452,413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(43,363,232</w:t>
            </w:r>
          </w:p>
        </w:tc>
        <w:tc>
          <w:tcPr>
            <w:tcW w:w="110" w:type="dxa"/>
            <w:tcBorders/>
            <w:shd w:fill="FFFFFF" w:val="clear"/>
            <w:vAlign w:val="center"/>
          </w:tcPr>
          <w:p>
            <w:pPr>
              <w:pStyle w:val="TableContents"/>
              <w:bidi w:val="0"/>
              <w:spacing w:before="0" w:after="283"/>
              <w:jc w:val="left"/>
              <w:rPr/>
            </w:pPr>
            <w:r>
              <w:rPr/>
              <w:t>)</w:t>
            </w:r>
            <w:bookmarkStart w:id="1865" w:name="xdx_403_eus-gaap--LiabilityForFuturePoli"/>
            <w:bookmarkEnd w:id="1865"/>
          </w:p>
        </w:tc>
      </w:tr>
      <w:tr>
        <w:trPr/>
        <w:tc>
          <w:tcPr>
            <w:tcW w:w="5240" w:type="dxa"/>
            <w:tcBorders/>
            <w:shd w:fill="CCEEFF" w:val="clear"/>
            <w:vAlign w:val="center"/>
          </w:tcPr>
          <w:p>
            <w:pPr>
              <w:pStyle w:val="TableContents"/>
              <w:bidi w:val="0"/>
              <w:spacing w:before="0" w:after="283"/>
              <w:jc w:val="left"/>
              <w:rPr/>
            </w:pPr>
            <w:r>
              <w:rPr/>
              <w:t>Balance,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818,676,194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821,304,751</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6" w:name="xdx_401_ecustom--LiabilityForFuturePolic"/>
            <w:bookmarkEnd w:id="1866"/>
          </w:p>
        </w:tc>
      </w:tr>
      <w:tr>
        <w:trPr/>
        <w:tc>
          <w:tcPr>
            <w:tcW w:w="5240" w:type="dxa"/>
            <w:tcBorders/>
            <w:shd w:fill="CCEEFF" w:val="clear"/>
            <w:vAlign w:val="center"/>
          </w:tcPr>
          <w:p>
            <w:pPr>
              <w:pStyle w:val="TableContents"/>
              <w:bidi w:val="0"/>
              <w:spacing w:before="0" w:after="283"/>
              <w:jc w:val="left"/>
              <w:rPr/>
            </w:pPr>
            <w:r>
              <w:rPr/>
              <w:t>Net liability for future policy benefits, pre-flooring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576,205,399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566,700,902</w:t>
            </w:r>
          </w:p>
        </w:tc>
        <w:tc>
          <w:tcPr>
            <w:tcW w:w="110" w:type="dxa"/>
            <w:tcBorders/>
            <w:shd w:fill="CCEEFF" w:val="clear"/>
            <w:vAlign w:val="center"/>
          </w:tcPr>
          <w:p>
            <w:pPr>
              <w:pStyle w:val="TableContents"/>
              <w:bidi w:val="0"/>
              <w:spacing w:before="0" w:after="283"/>
              <w:jc w:val="left"/>
              <w:rPr/>
            </w:pPr>
            <w:r>
              <w:rPr/>
              <w:t> </w:t>
            </w:r>
            <w:bookmarkStart w:id="1867" w:name="xdx_407_ecustom--LiabilityForFuturePolic"/>
            <w:bookmarkEnd w:id="1867"/>
          </w:p>
        </w:tc>
      </w:tr>
      <w:tr>
        <w:trPr/>
        <w:tc>
          <w:tcPr>
            <w:tcW w:w="5240" w:type="dxa"/>
            <w:tcBorders/>
            <w:shd w:fill="FFFFFF" w:val="clear"/>
            <w:vAlign w:val="center"/>
          </w:tcPr>
          <w:p>
            <w:pPr>
              <w:pStyle w:val="TableContents"/>
              <w:bidi w:val="0"/>
              <w:spacing w:before="0" w:after="283"/>
              <w:jc w:val="left"/>
              <w:rPr/>
            </w:pPr>
            <w:r>
              <w:rPr/>
              <w:t>Flooring impact,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56,473</w:t>
            </w:r>
          </w:p>
        </w:tc>
        <w:tc>
          <w:tcPr>
            <w:tcW w:w="110" w:type="dxa"/>
            <w:tcBorders/>
            <w:shd w:fill="FFFFFF" w:val="clear"/>
            <w:vAlign w:val="center"/>
          </w:tcPr>
          <w:p>
            <w:pPr>
              <w:pStyle w:val="TableContents"/>
              <w:bidi w:val="0"/>
              <w:spacing w:before="0" w:after="283"/>
              <w:jc w:val="left"/>
              <w:rPr/>
            </w:pPr>
            <w:r>
              <w:rPr/>
              <w:t> </w:t>
            </w:r>
            <w:bookmarkStart w:id="1868" w:name="xdx_409_eus-gaap--LiabilityForFuturePoli"/>
            <w:bookmarkEnd w:id="1868"/>
          </w:p>
        </w:tc>
      </w:tr>
      <w:tr>
        <w:trPr/>
        <w:tc>
          <w:tcPr>
            <w:tcW w:w="5240" w:type="dxa"/>
            <w:tcBorders/>
            <w:shd w:fill="CCEEFF" w:val="clear"/>
            <w:vAlign w:val="center"/>
          </w:tcPr>
          <w:p>
            <w:pPr>
              <w:pStyle w:val="TableContents"/>
              <w:bidi w:val="0"/>
              <w:spacing w:before="0" w:after="283"/>
              <w:jc w:val="left"/>
              <w:rPr/>
            </w:pPr>
            <w:r>
              <w:rPr/>
              <w:t>Net liability for future policy benefits, post-flooring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576,213,332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566,757,375</w:t>
            </w:r>
          </w:p>
        </w:tc>
        <w:tc>
          <w:tcPr>
            <w:tcW w:w="110" w:type="dxa"/>
            <w:tcBorders/>
            <w:shd w:fill="CCEEFF" w:val="clear"/>
            <w:vAlign w:val="center"/>
          </w:tcPr>
          <w:p>
            <w:pPr>
              <w:pStyle w:val="TableContents"/>
              <w:bidi w:val="0"/>
              <w:spacing w:before="0" w:after="283"/>
              <w:jc w:val="left"/>
              <w:rPr/>
            </w:pPr>
            <w:r>
              <w:rPr/>
              <w:t> </w:t>
            </w:r>
            <w:bookmarkStart w:id="1869" w:name="xdx_407_eus-gaap--LiabilityForFuturePoli"/>
            <w:bookmarkEnd w:id="1869"/>
          </w:p>
        </w:tc>
      </w:tr>
      <w:tr>
        <w:trPr/>
        <w:tc>
          <w:tcPr>
            <w:tcW w:w="5240" w:type="dxa"/>
            <w:tcBorders/>
            <w:shd w:fill="FFFFFF" w:val="clear"/>
            <w:vAlign w:val="center"/>
          </w:tcPr>
          <w:p>
            <w:pPr>
              <w:pStyle w:val="TableContents"/>
              <w:bidi w:val="0"/>
              <w:spacing w:before="0" w:after="283"/>
              <w:jc w:val="left"/>
              <w:rPr/>
            </w:pPr>
            <w:r>
              <w:rPr/>
              <w:t>Less: Receivable from reinsurers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8,997,782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9,217,915</w:t>
            </w:r>
          </w:p>
        </w:tc>
        <w:tc>
          <w:tcPr>
            <w:tcW w:w="110" w:type="dxa"/>
            <w:tcBorders/>
            <w:shd w:fill="FFFFFF" w:val="clear"/>
            <w:vAlign w:val="center"/>
          </w:tcPr>
          <w:p>
            <w:pPr>
              <w:pStyle w:val="TableContents"/>
              <w:bidi w:val="0"/>
              <w:spacing w:before="0" w:after="283"/>
              <w:jc w:val="left"/>
              <w:rPr/>
            </w:pPr>
            <w:r>
              <w:rPr/>
              <w:t> </w:t>
            </w:r>
            <w:bookmarkStart w:id="1870" w:name="xdx_402_eus-gaap--LiabilityForFuturePoli"/>
            <w:bookmarkEnd w:id="1870"/>
          </w:p>
        </w:tc>
      </w:tr>
      <w:tr>
        <w:trPr/>
        <w:tc>
          <w:tcPr>
            <w:tcW w:w="5240" w:type="dxa"/>
            <w:tcBorders/>
            <w:shd w:fill="CCEEFF" w:val="clear"/>
            <w:vAlign w:val="center"/>
          </w:tcPr>
          <w:p>
            <w:pPr>
              <w:pStyle w:val="TableContents"/>
              <w:bidi w:val="0"/>
              <w:spacing w:before="0" w:after="283"/>
              <w:jc w:val="left"/>
              <w:rPr/>
            </w:pPr>
            <w:r>
              <w:rPr/>
              <w:t>Net liability for future policy benefits, after reinsurance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567,215,550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557,539,460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right"/>
              <w:rPr>
                <w:rFonts w:ascii="Times New Roman;Times;Serif" w:hAnsi="Times New Roman;Times;Serif"/>
                <w:sz w:val="20"/>
              </w:rPr>
            </w:pPr>
            <w:bookmarkStart w:id="1871" w:name="xdx_F0C_zWjw0Lzb5XV6"/>
            <w:bookmarkEnd w:id="1871"/>
            <w:r>
              <w:rPr>
                <w:rFonts w:ascii="Times New Roman;Times;Serif" w:hAnsi="Times New Roman;Times;Serif"/>
                <w:sz w:val="20"/>
              </w:rPr>
              <w:t>(1)</w:t>
            </w:r>
          </w:p>
        </w:tc>
        <w:tc>
          <w:tcPr>
            <w:tcW w:w="9971" w:type="dxa"/>
            <w:tcBorders/>
            <w:vAlign w:val="center"/>
          </w:tcPr>
          <w:p>
            <w:pPr>
              <w:pStyle w:val="TableContents"/>
              <w:bidi w:val="0"/>
              <w:spacing w:before="0" w:after="283"/>
              <w:jc w:val="both"/>
              <w:rPr>
                <w:rFonts w:ascii="Times New Roman;Times;Serif" w:hAnsi="Times New Roman;Times;Serif"/>
                <w:sz w:val="20"/>
              </w:rPr>
            </w:pPr>
            <w:bookmarkStart w:id="1872" w:name="xdx_F13_z4JAPVEkn6Ih"/>
            <w:bookmarkEnd w:id="1872"/>
            <w:r>
              <w:rPr>
                <w:rFonts w:ascii="Times New Roman;Times;Serif" w:hAnsi="Times New Roman;Times;Serif"/>
                <w:sz w:val="20"/>
              </w:rPr>
              <w:t>For the three and six months ended June 30, 2026, and 2025, the net effect of actual variances from expected experience was primarily due to lapses. Actual mortality and surrenders were close to expected.</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right"/>
              <w:rPr>
                <w:rFonts w:ascii="Times New Roman;Times;Serif" w:hAnsi="Times New Roman;Times;Serif"/>
                <w:sz w:val="20"/>
              </w:rPr>
            </w:pPr>
            <w:bookmarkStart w:id="1873" w:name="xdx_F06_zNG6tbXABc6l"/>
            <w:bookmarkEnd w:id="1873"/>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bookmarkStart w:id="1874" w:name="xdx_F16_zep2067kyLEg"/>
            <w:bookmarkEnd w:id="1874"/>
            <w:r>
              <w:rPr>
                <w:rFonts w:ascii="Times New Roman;Times;Serif" w:hAnsi="Times New Roman;Times;Serif"/>
                <w:sz w:val="20"/>
              </w:rPr>
              <w:t>Net premiums collected represent the portion of gross premiums collected from policyholders that is used to fund expected benefit payments.</w:t>
            </w:r>
          </w:p>
        </w:tc>
      </w:tr>
    </w:tbl>
    <w:p>
      <w:pPr>
        <w:pStyle w:val="TextBody"/>
        <w:bidi w:val="0"/>
        <w:spacing w:before="0" w:after="0"/>
        <w:jc w:val="left"/>
        <w:rPr>
          <w:caps w:val="false"/>
          <w:smallCaps w:val="false"/>
        </w:rPr>
      </w:pPr>
      <w:bookmarkStart w:id="1875" w:name="xdx_8A8_zKenXhaopgH7"/>
      <w:bookmarkEnd w:id="187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Future Policy Benefits and Unpaid Claims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76" w:name="xdx_890_ecustom--ScheduleOfAmountOfUndis"/>
      <w:bookmarkEnd w:id="1876"/>
      <w:r>
        <w:rPr>
          <w:rFonts w:ascii="Times New Roman;Times;Serif" w:hAnsi="Times New Roman;Times;Serif"/>
          <w:b w:val="false"/>
          <w:i w:val="false"/>
          <w:caps w:val="false"/>
          <w:smallCaps w:val="false"/>
          <w:sz w:val="20"/>
        </w:rPr>
        <w:t>The following table summarizes the amount of undiscounted and discounted expected gross premiums and expected future benefit payments for traditional and limited-payment life:</w:t>
      </w:r>
    </w:p>
    <w:p>
      <w:pPr>
        <w:pStyle w:val="TextBody"/>
        <w:bidi w:val="0"/>
        <w:spacing w:before="0" w:after="0"/>
        <w:ind w:left="0" w:right="0" w:hanging="0"/>
        <w:jc w:val="both"/>
        <w:rPr>
          <w:caps w:val="false"/>
          <w:smallCaps w:val="false"/>
        </w:rPr>
      </w:pPr>
      <w:r>
        <w:rPr>
          <w:caps w:val="false"/>
          <w:smallCaps w:val="false"/>
        </w:rPr>
        <w:t> </w:t>
      </w:r>
      <w:bookmarkStart w:id="1877" w:name="xdx_8B1_zAA5Z89KzKBd"/>
      <w:bookmarkEnd w:id="1877"/>
      <w:r>
        <w:rPr>
          <w:rFonts w:ascii="Times New Roman;Times;Serif" w:hAnsi="Times New Roman;Times;Serif"/>
          <w:b w:val="false"/>
          <w:i w:val="false"/>
          <w:caps w:val="false"/>
          <w:smallCaps w:val="false"/>
          <w:sz w:val="20"/>
        </w:rPr>
        <w:t>Schedule of Amount of Undiscounted and Discounted Expected Gross Premiums and Expected Future Benefit Payments</w:t>
      </w:r>
    </w:p>
    <w:tbl>
      <w:tblPr>
        <w:tblW w:w="10045" w:type="dxa"/>
        <w:jc w:val="left"/>
        <w:tblInd w:w="0" w:type="dxa"/>
        <w:tblLayout w:type="fixed"/>
        <w:tblCellMar>
          <w:top w:w="0" w:type="dxa"/>
          <w:left w:w="0" w:type="dxa"/>
          <w:bottom w:w="0" w:type="dxa"/>
          <w:right w:w="0" w:type="dxa"/>
        </w:tblCellMar>
      </w:tblPr>
      <w:tblGrid>
        <w:gridCol w:w="6710"/>
        <w:gridCol w:w="60"/>
        <w:gridCol w:w="140"/>
        <w:gridCol w:w="1400"/>
        <w:gridCol w:w="60"/>
        <w:gridCol w:w="60"/>
        <w:gridCol w:w="140"/>
        <w:gridCol w:w="1400"/>
        <w:gridCol w:w="75"/>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8" w:name="xdx_49A_20260630__srt--ProductOrServiceA"/>
            <w:bookmarkEnd w:id="1878"/>
          </w:p>
        </w:tc>
        <w:tc>
          <w:tcPr>
            <w:tcW w:w="15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9" w:name="xdx_49B_20250630__srt--ProductOrServiceA"/>
            <w:bookmarkEnd w:id="1879"/>
          </w:p>
        </w:tc>
        <w:tc>
          <w:tcPr>
            <w:tcW w:w="15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1880" w:name="xdx_408_eus-gaap--LiabilityForFuturePoli"/>
            <w:bookmarkEnd w:id="1880"/>
          </w:p>
        </w:tc>
      </w:tr>
      <w:tr>
        <w:trPr/>
        <w:tc>
          <w:tcPr>
            <w:tcW w:w="6710" w:type="dxa"/>
            <w:tcBorders/>
            <w:shd w:fill="CCEEFF" w:val="clear"/>
            <w:vAlign w:val="center"/>
          </w:tcPr>
          <w:p>
            <w:pPr>
              <w:pStyle w:val="TableContents"/>
              <w:bidi w:val="0"/>
              <w:spacing w:before="0" w:after="283"/>
              <w:jc w:val="left"/>
              <w:rPr/>
            </w:pPr>
            <w:r>
              <w:rPr/>
              <w:t>Undiscounted expected future benefit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1,930,940,323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1,933,878,976</w:t>
            </w:r>
          </w:p>
        </w:tc>
        <w:tc>
          <w:tcPr>
            <w:tcW w:w="75" w:type="dxa"/>
            <w:tcBorders/>
            <w:shd w:fill="CCEEFF" w:val="clear"/>
            <w:vAlign w:val="center"/>
          </w:tcPr>
          <w:p>
            <w:pPr>
              <w:pStyle w:val="TableContents"/>
              <w:bidi w:val="0"/>
              <w:spacing w:before="0" w:after="283"/>
              <w:jc w:val="left"/>
              <w:rPr/>
            </w:pPr>
            <w:r>
              <w:rPr/>
              <w:t> </w:t>
            </w:r>
            <w:bookmarkStart w:id="1881" w:name="xdx_409_ecustom--LiabilityForFuturePolic"/>
            <w:bookmarkEnd w:id="1881"/>
          </w:p>
        </w:tc>
      </w:tr>
      <w:tr>
        <w:trPr/>
        <w:tc>
          <w:tcPr>
            <w:tcW w:w="6710" w:type="dxa"/>
            <w:tcBorders/>
            <w:shd w:fill="FFFFFF" w:val="clear"/>
            <w:vAlign w:val="center"/>
          </w:tcPr>
          <w:p>
            <w:pPr>
              <w:pStyle w:val="TableContents"/>
              <w:bidi w:val="0"/>
              <w:spacing w:before="0" w:after="283"/>
              <w:jc w:val="left"/>
              <w:rPr/>
            </w:pPr>
            <w:r>
              <w:rPr/>
              <w:t>Discounted expected future benefit payments (at original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871,128,607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864,667,984</w:t>
            </w:r>
          </w:p>
        </w:tc>
        <w:tc>
          <w:tcPr>
            <w:tcW w:w="75" w:type="dxa"/>
            <w:tcBorders/>
            <w:shd w:fill="FFFFFF" w:val="clear"/>
            <w:vAlign w:val="center"/>
          </w:tcPr>
          <w:p>
            <w:pPr>
              <w:pStyle w:val="TableContents"/>
              <w:bidi w:val="0"/>
              <w:spacing w:before="0" w:after="283"/>
              <w:jc w:val="left"/>
              <w:rPr/>
            </w:pPr>
            <w:r>
              <w:rPr/>
              <w:t> </w:t>
            </w:r>
            <w:bookmarkStart w:id="1882" w:name="xdx_40C_ecustom--LiabilityForFuturePolic"/>
            <w:bookmarkEnd w:id="1882"/>
          </w:p>
        </w:tc>
      </w:tr>
      <w:tr>
        <w:trPr/>
        <w:tc>
          <w:tcPr>
            <w:tcW w:w="6710" w:type="dxa"/>
            <w:tcBorders/>
            <w:shd w:fill="CCEEFF" w:val="clear"/>
            <w:vAlign w:val="center"/>
          </w:tcPr>
          <w:p>
            <w:pPr>
              <w:pStyle w:val="TableContents"/>
              <w:bidi w:val="0"/>
              <w:spacing w:before="0" w:after="283"/>
              <w:jc w:val="left"/>
              <w:rPr/>
            </w:pPr>
            <w:r>
              <w:rPr/>
              <w:t>Discounted expected future benefit payments (at current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818,676,194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821,304,751</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83" w:name="xdx_401_eus-gaap--LiabilityForFuturePoli"/>
            <w:bookmarkEnd w:id="1883"/>
          </w:p>
        </w:tc>
      </w:tr>
      <w:tr>
        <w:trPr/>
        <w:tc>
          <w:tcPr>
            <w:tcW w:w="6710" w:type="dxa"/>
            <w:tcBorders/>
            <w:shd w:fill="CCEEFF" w:val="clear"/>
            <w:vAlign w:val="center"/>
          </w:tcPr>
          <w:p>
            <w:pPr>
              <w:pStyle w:val="TableContents"/>
              <w:bidi w:val="0"/>
              <w:spacing w:before="0" w:after="283"/>
              <w:jc w:val="left"/>
              <w:rPr/>
            </w:pPr>
            <w:r>
              <w:rPr/>
              <w:t>Undiscounted expected future gross premiums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806,178,110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832,796,284</w:t>
            </w:r>
          </w:p>
        </w:tc>
        <w:tc>
          <w:tcPr>
            <w:tcW w:w="75" w:type="dxa"/>
            <w:tcBorders/>
            <w:shd w:fill="CCEEFF" w:val="clear"/>
            <w:vAlign w:val="center"/>
          </w:tcPr>
          <w:p>
            <w:pPr>
              <w:pStyle w:val="TableContents"/>
              <w:bidi w:val="0"/>
              <w:spacing w:before="0" w:after="283"/>
              <w:jc w:val="left"/>
              <w:rPr/>
            </w:pPr>
            <w:r>
              <w:rPr/>
              <w:t> </w:t>
            </w:r>
            <w:bookmarkStart w:id="1884" w:name="xdx_405_ecustom--LiabilityForFuturePolic"/>
            <w:bookmarkEnd w:id="1884"/>
          </w:p>
        </w:tc>
      </w:tr>
      <w:tr>
        <w:trPr/>
        <w:tc>
          <w:tcPr>
            <w:tcW w:w="6710" w:type="dxa"/>
            <w:tcBorders/>
            <w:shd w:fill="FFFFFF" w:val="clear"/>
            <w:vAlign w:val="center"/>
          </w:tcPr>
          <w:p>
            <w:pPr>
              <w:pStyle w:val="TableContents"/>
              <w:bidi w:val="0"/>
              <w:spacing w:before="0" w:after="283"/>
              <w:jc w:val="left"/>
              <w:rPr/>
            </w:pPr>
            <w:r>
              <w:rPr/>
              <w:t>Discounted expected future gross premiums (at original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540,083,057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556,610,277</w:t>
            </w:r>
          </w:p>
        </w:tc>
        <w:tc>
          <w:tcPr>
            <w:tcW w:w="75" w:type="dxa"/>
            <w:tcBorders/>
            <w:shd w:fill="FFFFFF" w:val="clear"/>
            <w:vAlign w:val="center"/>
          </w:tcPr>
          <w:p>
            <w:pPr>
              <w:pStyle w:val="TableContents"/>
              <w:bidi w:val="0"/>
              <w:spacing w:before="0" w:after="283"/>
              <w:jc w:val="left"/>
              <w:rPr/>
            </w:pPr>
            <w:r>
              <w:rPr/>
              <w:t> </w:t>
            </w:r>
            <w:bookmarkStart w:id="1885" w:name="xdx_403_eus-gaap--LiabilityForFuturePoli"/>
            <w:bookmarkEnd w:id="1885"/>
          </w:p>
        </w:tc>
      </w:tr>
      <w:tr>
        <w:trPr/>
        <w:tc>
          <w:tcPr>
            <w:tcW w:w="6710" w:type="dxa"/>
            <w:tcBorders/>
            <w:shd w:fill="CCEEFF" w:val="clear"/>
            <w:vAlign w:val="center"/>
          </w:tcPr>
          <w:p>
            <w:pPr>
              <w:pStyle w:val="TableContents"/>
              <w:bidi w:val="0"/>
              <w:spacing w:before="0" w:after="283"/>
              <w:jc w:val="left"/>
              <w:rPr/>
            </w:pPr>
            <w:r>
              <w:rPr/>
              <w:t>Discounted expected future gross premiums (at current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531,118,711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552,739,259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86" w:name="xdx_8A6_zTPG8BckBpc4"/>
      <w:bookmarkEnd w:id="18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87" w:name="xdx_893_ecustom--ScheduleOfGrossPremiums"/>
      <w:bookmarkEnd w:id="1887"/>
      <w:r>
        <w:rPr>
          <w:rFonts w:ascii="Times New Roman;Times;Serif" w:hAnsi="Times New Roman;Times;Serif"/>
          <w:b w:val="false"/>
          <w:i w:val="false"/>
          <w:caps w:val="false"/>
          <w:smallCaps w:val="false"/>
          <w:sz w:val="20"/>
        </w:rPr>
        <w:t>The following table summarizes the amount of gross premiums and interest accretion recognized in insurance premiums and other considerations and policyholder benefits and claims, respectively, in the condensed consolidated statements of earnings for traditional and limited-payment life:</w:t>
      </w:r>
    </w:p>
    <w:p>
      <w:pPr>
        <w:pStyle w:val="TextBody"/>
        <w:bidi w:val="0"/>
        <w:spacing w:before="0" w:after="0"/>
        <w:ind w:left="0" w:right="0" w:hanging="0"/>
        <w:jc w:val="both"/>
        <w:rPr>
          <w:caps w:val="false"/>
          <w:smallCaps w:val="false"/>
        </w:rPr>
      </w:pPr>
      <w:r>
        <w:rPr>
          <w:caps w:val="false"/>
          <w:smallCaps w:val="false"/>
        </w:rPr>
        <w:t> </w:t>
      </w:r>
      <w:bookmarkStart w:id="1888" w:name="xdx_8BD_ziLbsWESBye1"/>
      <w:bookmarkEnd w:id="1888"/>
      <w:r>
        <w:rPr>
          <w:rFonts w:ascii="Times New Roman;Times;Serif" w:hAnsi="Times New Roman;Times;Serif"/>
          <w:b w:val="false"/>
          <w:i w:val="false"/>
          <w:caps w:val="false"/>
          <w:smallCaps w:val="false"/>
          <w:sz w:val="20"/>
        </w:rPr>
        <w:t>Schedule of Gross Premiums and Interest Accretion</w:t>
      </w:r>
    </w:p>
    <w:tbl>
      <w:tblPr>
        <w:tblW w:w="4419" w:type="dxa"/>
        <w:jc w:val="left"/>
        <w:tblInd w:w="0" w:type="dxa"/>
        <w:tblLayout w:type="fixed"/>
        <w:tblCellMar>
          <w:top w:w="0" w:type="dxa"/>
          <w:left w:w="0" w:type="dxa"/>
          <w:bottom w:w="0" w:type="dxa"/>
          <w:right w:w="0" w:type="dxa"/>
        </w:tblCellMar>
      </w:tblPr>
      <w:tblGrid>
        <w:gridCol w:w="1640"/>
        <w:gridCol w:w="60"/>
        <w:gridCol w:w="142"/>
        <w:gridCol w:w="1119"/>
        <w:gridCol w:w="61"/>
        <w:gridCol w:w="61"/>
        <w:gridCol w:w="142"/>
        <w:gridCol w:w="1119"/>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9" w:name="xdx_498_20260101__20260630__srt--Product"/>
            <w:bookmarkEnd w:id="1889"/>
          </w:p>
        </w:tc>
        <w:tc>
          <w:tcPr>
            <w:tcW w:w="126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890" w:name="xdx_49A_20250101__20250630__srt--Product"/>
            <w:bookmarkEnd w:id="1890"/>
          </w:p>
        </w:tc>
        <w:tc>
          <w:tcPr>
            <w:tcW w:w="126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1891" w:name="xdx_403_eus-gaap--LiabilityForFuturePoli"/>
            <w:bookmarkEnd w:id="1891"/>
          </w:p>
        </w:tc>
      </w:tr>
      <w:tr>
        <w:trPr/>
        <w:tc>
          <w:tcPr>
            <w:tcW w:w="1640" w:type="dxa"/>
            <w:tcBorders/>
            <w:shd w:fill="CCEEFF" w:val="clear"/>
            <w:vAlign w:val="center"/>
          </w:tcPr>
          <w:p>
            <w:pPr>
              <w:pStyle w:val="TableContents"/>
              <w:bidi w:val="0"/>
              <w:spacing w:before="0" w:after="283"/>
              <w:jc w:val="left"/>
              <w:rPr/>
            </w:pPr>
            <w:r>
              <w:rPr/>
              <w:t>Gross premiums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57,326,570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59,480,517</w:t>
            </w:r>
          </w:p>
        </w:tc>
        <w:tc>
          <w:tcPr>
            <w:tcW w:w="75" w:type="dxa"/>
            <w:tcBorders/>
            <w:shd w:fill="CCEEFF" w:val="clear"/>
            <w:vAlign w:val="center"/>
          </w:tcPr>
          <w:p>
            <w:pPr>
              <w:pStyle w:val="TableContents"/>
              <w:bidi w:val="0"/>
              <w:spacing w:before="0" w:after="283"/>
              <w:jc w:val="left"/>
              <w:rPr/>
            </w:pPr>
            <w:r>
              <w:rPr/>
              <w:t> </w:t>
            </w:r>
            <w:bookmarkStart w:id="1892" w:name="xdx_407_eus-gaap--LiabilityForFuturePoli"/>
            <w:bookmarkEnd w:id="1892"/>
          </w:p>
        </w:tc>
      </w:tr>
      <w:tr>
        <w:trPr/>
        <w:tc>
          <w:tcPr>
            <w:tcW w:w="1640" w:type="dxa"/>
            <w:tcBorders/>
            <w:shd w:fill="FFFFFF" w:val="clear"/>
            <w:vAlign w:val="center"/>
          </w:tcPr>
          <w:p>
            <w:pPr>
              <w:pStyle w:val="TableContents"/>
              <w:bidi w:val="0"/>
              <w:spacing w:before="0" w:after="283"/>
              <w:jc w:val="left"/>
              <w:rPr/>
            </w:pPr>
            <w:r>
              <w:rPr/>
              <w:t>Interest accretion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19" w:type="dxa"/>
            <w:tcBorders/>
            <w:shd w:fill="FFFFFF" w:val="clear"/>
            <w:vAlign w:val="center"/>
          </w:tcPr>
          <w:p>
            <w:pPr>
              <w:pStyle w:val="TableContents"/>
              <w:bidi w:val="0"/>
              <w:spacing w:before="0" w:after="283"/>
              <w:jc w:val="right"/>
              <w:rPr/>
            </w:pPr>
            <w:r>
              <w:rPr/>
              <w:t>14,912,006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19" w:type="dxa"/>
            <w:tcBorders/>
            <w:shd w:fill="FFFFFF" w:val="clear"/>
            <w:vAlign w:val="center"/>
          </w:tcPr>
          <w:p>
            <w:pPr>
              <w:pStyle w:val="TableContents"/>
              <w:bidi w:val="0"/>
              <w:spacing w:before="0" w:after="283"/>
              <w:jc w:val="right"/>
              <w:rPr/>
            </w:pPr>
            <w:r>
              <w:rPr/>
              <w:t>14,465,409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93" w:name="xdx_8AF_zvdm3IADgBvb"/>
      <w:bookmarkEnd w:id="18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4" w:name="xdx_894_ecustom--ScheduleOfWeightedAvera"/>
      <w:bookmarkEnd w:id="1894"/>
      <w:r>
        <w:rPr>
          <w:rFonts w:ascii="Times New Roman;Times;Serif" w:hAnsi="Times New Roman;Times;Serif"/>
          <w:b w:val="false"/>
          <w:i w:val="false"/>
          <w:caps w:val="false"/>
          <w:smallCaps w:val="false"/>
          <w:sz w:val="20"/>
        </w:rPr>
        <w:t>The following table summarizes the weighted-average interest rates for traditional and limited-payment life:</w:t>
      </w:r>
    </w:p>
    <w:p>
      <w:pPr>
        <w:pStyle w:val="TextBody"/>
        <w:bidi w:val="0"/>
        <w:spacing w:before="0" w:after="0"/>
        <w:ind w:left="0" w:right="0" w:hanging="0"/>
        <w:jc w:val="both"/>
        <w:rPr>
          <w:caps w:val="false"/>
          <w:smallCaps w:val="false"/>
        </w:rPr>
      </w:pPr>
      <w:r>
        <w:rPr>
          <w:caps w:val="false"/>
          <w:smallCaps w:val="false"/>
        </w:rPr>
        <w:t> </w:t>
      </w:r>
      <w:bookmarkStart w:id="1895" w:name="xdx_8B2_zrIP0O57cXl8"/>
      <w:bookmarkEnd w:id="1895"/>
      <w:r>
        <w:rPr>
          <w:rFonts w:ascii="Times New Roman;Times;Serif" w:hAnsi="Times New Roman;Times;Serif"/>
          <w:b w:val="false"/>
          <w:i w:val="false"/>
          <w:caps w:val="false"/>
          <w:smallCaps w:val="false"/>
          <w:sz w:val="20"/>
        </w:rPr>
        <w:t>Schedule of Weighted-average Interest Rates</w:t>
      </w:r>
    </w:p>
    <w:tbl>
      <w:tblPr>
        <w:tblW w:w="3732" w:type="dxa"/>
        <w:jc w:val="left"/>
        <w:tblInd w:w="0" w:type="dxa"/>
        <w:tblLayout w:type="fixed"/>
        <w:tblCellMar>
          <w:top w:w="0" w:type="dxa"/>
          <w:left w:w="0" w:type="dxa"/>
          <w:bottom w:w="0" w:type="dxa"/>
          <w:right w:w="0" w:type="dxa"/>
        </w:tblCellMar>
      </w:tblPr>
      <w:tblGrid>
        <w:gridCol w:w="2045"/>
        <w:gridCol w:w="60"/>
        <w:gridCol w:w="65"/>
        <w:gridCol w:w="483"/>
        <w:gridCol w:w="236"/>
        <w:gridCol w:w="65"/>
        <w:gridCol w:w="65"/>
        <w:gridCol w:w="483"/>
        <w:gridCol w:w="23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6" w:name="xdx_496_20260630__srt--ProductOrServiceA"/>
            <w:bookmarkEnd w:id="1896"/>
          </w:p>
        </w:tc>
        <w:tc>
          <w:tcPr>
            <w:tcW w:w="548"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23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1897" w:name="xdx_49E_20250630__srt--ProductOrServiceA"/>
            <w:bookmarkEnd w:id="1897"/>
          </w:p>
        </w:tc>
        <w:tc>
          <w:tcPr>
            <w:tcW w:w="54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6"/>
            <w:tcBorders>
              <w:bottom w:val="single" w:sz="8" w:space="0" w:color="000000"/>
            </w:tcBorders>
            <w:tcMar>
              <w:bottom w:w="28" w:type="dxa"/>
            </w:tcMar>
            <w:vAlign w:val="center"/>
          </w:tcPr>
          <w:p>
            <w:pPr>
              <w:pStyle w:val="TableContents"/>
              <w:bidi w:val="0"/>
              <w:spacing w:before="0" w:after="283"/>
              <w:jc w:val="center"/>
              <w:rPr/>
            </w:pPr>
            <w:r>
              <w:rPr/>
              <w:t>As of June 30,</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23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30" w:type="dxa"/>
            <w:tcBorders/>
            <w:vAlign w:val="center"/>
          </w:tcPr>
          <w:p>
            <w:pPr>
              <w:pStyle w:val="TableContents"/>
              <w:bidi w:val="0"/>
              <w:spacing w:before="0" w:after="283"/>
              <w:jc w:val="left"/>
              <w:rPr/>
            </w:pPr>
            <w:r>
              <w:rPr/>
              <w:t> </w:t>
            </w:r>
            <w:bookmarkStart w:id="1898" w:name="xdx_402_eus-gaap--LiabilityForFuturePoli"/>
            <w:bookmarkEnd w:id="1898"/>
          </w:p>
        </w:tc>
      </w:tr>
      <w:tr>
        <w:trPr/>
        <w:tc>
          <w:tcPr>
            <w:tcW w:w="2045" w:type="dxa"/>
            <w:tcBorders/>
            <w:shd w:fill="CCEEFF" w:val="clear"/>
            <w:vAlign w:val="center"/>
          </w:tcPr>
          <w:p>
            <w:pPr>
              <w:pStyle w:val="TableContents"/>
              <w:bidi w:val="0"/>
              <w:spacing w:before="0" w:after="283"/>
              <w:jc w:val="left"/>
              <w:rPr/>
            </w:pPr>
            <w:r>
              <w:rPr/>
              <w:t>Interest accretion rate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right"/>
              <w:rPr/>
            </w:pPr>
            <w:r>
              <w:rPr/>
              <w:t>4.90</w:t>
            </w:r>
          </w:p>
        </w:tc>
        <w:tc>
          <w:tcPr>
            <w:tcW w:w="236"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right"/>
              <w:rPr/>
            </w:pPr>
            <w:r>
              <w:rPr/>
              <w:t>4.90</w:t>
            </w:r>
          </w:p>
        </w:tc>
        <w:tc>
          <w:tcPr>
            <w:tcW w:w="230" w:type="dxa"/>
            <w:tcBorders/>
            <w:shd w:fill="CCEEFF" w:val="clear"/>
            <w:vAlign w:val="center"/>
          </w:tcPr>
          <w:p>
            <w:pPr>
              <w:pStyle w:val="TableContents"/>
              <w:bidi w:val="0"/>
              <w:spacing w:before="0" w:after="283"/>
              <w:jc w:val="left"/>
              <w:rPr/>
            </w:pPr>
            <w:r>
              <w:rPr/>
              <w:t>%</w:t>
            </w:r>
            <w:bookmarkStart w:id="1899" w:name="xdx_404_eus-gaap--LiabilityForFuturePoli"/>
            <w:bookmarkEnd w:id="1899"/>
          </w:p>
        </w:tc>
      </w:tr>
      <w:tr>
        <w:trPr/>
        <w:tc>
          <w:tcPr>
            <w:tcW w:w="2045" w:type="dxa"/>
            <w:tcBorders/>
            <w:shd w:fill="FFFFFF" w:val="clear"/>
            <w:vAlign w:val="center"/>
          </w:tcPr>
          <w:p>
            <w:pPr>
              <w:pStyle w:val="TableContents"/>
              <w:bidi w:val="0"/>
              <w:spacing w:before="0" w:after="283"/>
              <w:jc w:val="left"/>
              <w:rPr/>
            </w:pPr>
            <w:r>
              <w:rPr/>
              <w:t>Current discount rate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right"/>
              <w:rPr/>
            </w:pPr>
            <w:r>
              <w:rPr/>
              <w:t>5.60</w:t>
            </w:r>
          </w:p>
        </w:tc>
        <w:tc>
          <w:tcPr>
            <w:tcW w:w="236"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right"/>
              <w:rPr/>
            </w:pPr>
            <w:r>
              <w:rPr/>
              <w:t>5.50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900" w:name="xdx_8AE_zirQ4q5mmTia"/>
      <w:bookmarkEnd w:id="190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01" w:name="xdx_893_ecustom--ScheduleOfWeightedAvera"/>
      <w:bookmarkEnd w:id="1901"/>
      <w:r>
        <w:rPr>
          <w:rFonts w:ascii="Times New Roman;Times;Serif" w:hAnsi="Times New Roman;Times;Serif"/>
          <w:b w:val="false"/>
          <w:i w:val="false"/>
          <w:caps w:val="false"/>
          <w:smallCaps w:val="false"/>
          <w:sz w:val="20"/>
        </w:rPr>
        <w:t>The following table summarizes the weighted-average duration of the liability for traditional and limited-payment life:</w:t>
      </w:r>
    </w:p>
    <w:p>
      <w:pPr>
        <w:pStyle w:val="TextBody"/>
        <w:bidi w:val="0"/>
        <w:spacing w:before="0" w:after="0"/>
        <w:ind w:left="0" w:right="0" w:hanging="0"/>
        <w:jc w:val="left"/>
        <w:rPr>
          <w:caps w:val="false"/>
          <w:smallCaps w:val="false"/>
        </w:rPr>
      </w:pPr>
      <w:r>
        <w:rPr>
          <w:caps w:val="false"/>
          <w:smallCaps w:val="false"/>
        </w:rPr>
        <w:t> </w:t>
      </w:r>
      <w:bookmarkStart w:id="1902" w:name="xdx_8B9_z7wprjKUI1n7"/>
      <w:bookmarkEnd w:id="1902"/>
      <w:r>
        <w:rPr>
          <w:rFonts w:ascii="Times New Roman;Times;Serif" w:hAnsi="Times New Roman;Times;Serif"/>
          <w:b w:val="false"/>
          <w:i w:val="false"/>
          <w:caps w:val="false"/>
          <w:smallCaps w:val="false"/>
          <w:sz w:val="20"/>
        </w:rPr>
        <w:t>Schedule of Weighted Average Duration of the Liability</w:t>
      </w:r>
    </w:p>
    <w:tbl>
      <w:tblPr>
        <w:tblW w:w="6981" w:type="dxa"/>
        <w:jc w:val="left"/>
        <w:tblInd w:w="0" w:type="dxa"/>
        <w:tblLayout w:type="fixed"/>
        <w:tblCellMar>
          <w:top w:w="0" w:type="dxa"/>
          <w:left w:w="0" w:type="dxa"/>
          <w:bottom w:w="0" w:type="dxa"/>
          <w:right w:w="0" w:type="dxa"/>
        </w:tblCellMar>
      </w:tblPr>
      <w:tblGrid>
        <w:gridCol w:w="5450"/>
        <w:gridCol w:w="60"/>
        <w:gridCol w:w="110"/>
        <w:gridCol w:w="478"/>
        <w:gridCol w:w="110"/>
        <w:gridCol w:w="110"/>
        <w:gridCol w:w="110"/>
        <w:gridCol w:w="478"/>
        <w:gridCol w:w="75"/>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6"/>
            <w:tcBorders>
              <w:bottom w:val="single" w:sz="8" w:space="0" w:color="000000"/>
            </w:tcBorders>
            <w:tcMar>
              <w:bottom w:w="28" w:type="dxa"/>
            </w:tcMar>
            <w:vAlign w:val="center"/>
          </w:tcPr>
          <w:p>
            <w:pPr>
              <w:pStyle w:val="TableContents"/>
              <w:bidi w:val="0"/>
              <w:spacing w:before="0" w:after="283"/>
              <w:jc w:val="center"/>
              <w:rPr/>
            </w:pPr>
            <w:r>
              <w:rPr/>
              <w:t>As of June 30,</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Duration of the liability in years (at original discount rate)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bookmarkStart w:id="1903" w:name="xdx_90B_eus-gaap--LiabilityForFuturePoli"/>
            <w:bookmarkEnd w:id="1903"/>
            <w:r>
              <w:rPr/>
              <w:t>15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bookmarkStart w:id="1904" w:name="xdx_906_eus-gaap--LiabilityForFuturePoli"/>
            <w:bookmarkEnd w:id="1904"/>
            <w:r>
              <w:rPr/>
              <w:t>15</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Duration of the liability in years (at current discount rate)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bookmarkStart w:id="1905" w:name="xdx_905_eus-gaap--LiabilityForFuturePoli"/>
            <w:bookmarkEnd w:id="1905"/>
            <w:r>
              <w:rPr/>
              <w:t>13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bookmarkStart w:id="1906" w:name="xdx_90F_eus-gaap--LiabilityForFuturePoli"/>
            <w:bookmarkEnd w:id="1906"/>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07" w:name="xdx_8A7_zOMkdtJGTuAi"/>
      <w:bookmarkEnd w:id="19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Adverse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respectively, there were no material impacts to net earnings for traditional and limited-payment life, where net premiums exceeded gross premiums for certain issue-year cohorts.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Future Policy Benefits and Unpaid Claims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Profit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08" w:name="xdx_898_ecustom--ScheduleOfBalancesOfAnd"/>
      <w:bookmarkEnd w:id="1908"/>
      <w:r>
        <w:rPr>
          <w:rFonts w:ascii="Times New Roman;Times;Serif" w:hAnsi="Times New Roman;Times;Serif"/>
          <w:b w:val="false"/>
          <w:i w:val="false"/>
          <w:caps w:val="false"/>
          <w:smallCaps w:val="false"/>
          <w:sz w:val="20"/>
        </w:rPr>
        <w:t>The following table summarizes the balances of and changes in deferred profit liability for traditional and limited-payment life:</w:t>
      </w:r>
    </w:p>
    <w:p>
      <w:pPr>
        <w:pStyle w:val="TextBody"/>
        <w:bidi w:val="0"/>
        <w:spacing w:before="0" w:after="0"/>
        <w:ind w:left="0" w:right="0" w:hanging="0"/>
        <w:jc w:val="left"/>
        <w:rPr>
          <w:caps w:val="false"/>
          <w:smallCaps w:val="false"/>
        </w:rPr>
      </w:pPr>
      <w:r>
        <w:rPr>
          <w:caps w:val="false"/>
          <w:smallCaps w:val="false"/>
        </w:rPr>
        <w:t> </w:t>
      </w:r>
      <w:bookmarkStart w:id="1909" w:name="xdx_8B6_zOVBgVVcIIk2"/>
      <w:bookmarkEnd w:id="1909"/>
      <w:r>
        <w:rPr>
          <w:rFonts w:ascii="Times New Roman;Times;Serif" w:hAnsi="Times New Roman;Times;Serif"/>
          <w:b w:val="false"/>
          <w:i w:val="false"/>
          <w:caps w:val="false"/>
          <w:smallCaps w:val="false"/>
          <w:sz w:val="20"/>
        </w:rPr>
        <w:t>Schedule of Balances of and Changes in Deferred Profit Liability for Traditional and Limited- Payment Life</w:t>
      </w:r>
    </w:p>
    <w:tbl>
      <w:tblPr>
        <w:tblW w:w="8285" w:type="dxa"/>
        <w:jc w:val="left"/>
        <w:tblInd w:w="0" w:type="dxa"/>
        <w:tblLayout w:type="fixed"/>
        <w:tblCellMar>
          <w:top w:w="0" w:type="dxa"/>
          <w:left w:w="0" w:type="dxa"/>
          <w:bottom w:w="0" w:type="dxa"/>
          <w:right w:w="0" w:type="dxa"/>
        </w:tblCellMar>
      </w:tblPr>
      <w:tblGrid>
        <w:gridCol w:w="5240"/>
        <w:gridCol w:w="60"/>
        <w:gridCol w:w="140"/>
        <w:gridCol w:w="1220"/>
        <w:gridCol w:w="95"/>
        <w:gridCol w:w="60"/>
        <w:gridCol w:w="140"/>
        <w:gridCol w:w="1220"/>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0" w:name="xdx_491_20260101__20260630__srt--Product"/>
            <w:bookmarkEnd w:id="1910"/>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1" w:name="xdx_49D_20250101__20250630__srt--Product"/>
            <w:bookmarkEnd w:id="1911"/>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bookmarkStart w:id="1912" w:name="xdx_401_eus-gaap--LiabilityForFuturePoli"/>
            <w:bookmarkEnd w:id="1912"/>
          </w:p>
        </w:tc>
      </w:tr>
      <w:tr>
        <w:trPr/>
        <w:tc>
          <w:tcPr>
            <w:tcW w:w="524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205,802,774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192,278,993</w:t>
            </w:r>
          </w:p>
        </w:tc>
        <w:tc>
          <w:tcPr>
            <w:tcW w:w="110" w:type="dxa"/>
            <w:tcBorders/>
            <w:shd w:fill="CCEEFF" w:val="clear"/>
            <w:vAlign w:val="center"/>
          </w:tcPr>
          <w:p>
            <w:pPr>
              <w:pStyle w:val="TableContents"/>
              <w:bidi w:val="0"/>
              <w:spacing w:before="0" w:after="283"/>
              <w:jc w:val="left"/>
              <w:rPr/>
            </w:pPr>
            <w:r>
              <w:rPr/>
              <w:t> </w:t>
            </w:r>
            <w:bookmarkStart w:id="1913" w:name="xdx_401_eus-gaap--LiabilityForFuturePoli"/>
            <w:bookmarkEnd w:id="1913"/>
          </w:p>
        </w:tc>
      </w:tr>
      <w:tr>
        <w:trPr/>
        <w:tc>
          <w:tcPr>
            <w:tcW w:w="5240" w:type="dxa"/>
            <w:tcBorders/>
            <w:shd w:fill="FFFFFF" w:val="clear"/>
            <w:vAlign w:val="center"/>
          </w:tcPr>
          <w:p>
            <w:pPr>
              <w:pStyle w:val="TableContents"/>
              <w:bidi w:val="0"/>
              <w:spacing w:before="0" w:after="283"/>
              <w:jc w:val="left"/>
              <w:rPr/>
            </w:pPr>
            <w:r>
              <w:rPr/>
              <w:t xml:space="preserve">Effect of actual variances from expected experience </w:t>
            </w:r>
            <w:bookmarkStart w:id="1914" w:name="xdx_F48_zp0obYsQyYhh"/>
            <w:bookmarkEnd w:id="1914"/>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(1,663,002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(2,328,599</w:t>
            </w:r>
          </w:p>
        </w:tc>
        <w:tc>
          <w:tcPr>
            <w:tcW w:w="110" w:type="dxa"/>
            <w:tcBorders/>
            <w:shd w:fill="FFFFFF" w:val="clear"/>
            <w:vAlign w:val="center"/>
          </w:tcPr>
          <w:p>
            <w:pPr>
              <w:pStyle w:val="TableContents"/>
              <w:bidi w:val="0"/>
              <w:spacing w:before="0" w:after="283"/>
              <w:jc w:val="left"/>
              <w:rPr/>
            </w:pPr>
            <w:r>
              <w:rPr/>
              <w:t>)</w:t>
            </w:r>
            <w:bookmarkStart w:id="1915" w:name="xdx_405_eus-gaap--LiabilityForFuturePoli"/>
            <w:bookmarkEnd w:id="1915"/>
          </w:p>
        </w:tc>
      </w:tr>
      <w:tr>
        <w:trPr/>
        <w:tc>
          <w:tcPr>
            <w:tcW w:w="5240" w:type="dxa"/>
            <w:tcBorders/>
            <w:shd w:fill="CCEEFF" w:val="clear"/>
            <w:vAlign w:val="center"/>
          </w:tcPr>
          <w:p>
            <w:pPr>
              <w:pStyle w:val="TableContents"/>
              <w:bidi w:val="0"/>
              <w:spacing w:before="0" w:after="283"/>
              <w:jc w:val="left"/>
              <w:rPr/>
            </w:pPr>
            <w:r>
              <w:rPr/>
              <w:t>Adjusted balance,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204,139,772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189,950,394</w:t>
            </w:r>
          </w:p>
        </w:tc>
        <w:tc>
          <w:tcPr>
            <w:tcW w:w="110" w:type="dxa"/>
            <w:tcBorders/>
            <w:shd w:fill="CCEEFF" w:val="clear"/>
            <w:vAlign w:val="center"/>
          </w:tcPr>
          <w:p>
            <w:pPr>
              <w:pStyle w:val="TableContents"/>
              <w:bidi w:val="0"/>
              <w:spacing w:before="0" w:after="283"/>
              <w:jc w:val="left"/>
              <w:rPr/>
            </w:pPr>
            <w:r>
              <w:rPr/>
              <w:t> </w:t>
            </w:r>
            <w:bookmarkStart w:id="1916" w:name="xdx_403_ecustom--LiabilityForFuturePolic"/>
            <w:bookmarkEnd w:id="1916"/>
          </w:p>
        </w:tc>
      </w:tr>
      <w:tr>
        <w:trPr/>
        <w:tc>
          <w:tcPr>
            <w:tcW w:w="5240" w:type="dxa"/>
            <w:tcBorders/>
            <w:shd w:fill="FFFFFF" w:val="clear"/>
            <w:vAlign w:val="center"/>
          </w:tcPr>
          <w:p>
            <w:pPr>
              <w:pStyle w:val="TableContents"/>
              <w:bidi w:val="0"/>
              <w:spacing w:before="0" w:after="283"/>
              <w:jc w:val="left"/>
              <w:rPr/>
            </w:pPr>
            <w:r>
              <w:rPr/>
              <w:t>Profits deferred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32,131,982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33,489,827</w:t>
            </w:r>
          </w:p>
        </w:tc>
        <w:tc>
          <w:tcPr>
            <w:tcW w:w="110" w:type="dxa"/>
            <w:tcBorders/>
            <w:shd w:fill="FFFFFF" w:val="clear"/>
            <w:vAlign w:val="center"/>
          </w:tcPr>
          <w:p>
            <w:pPr>
              <w:pStyle w:val="TableContents"/>
              <w:bidi w:val="0"/>
              <w:spacing w:before="0" w:after="283"/>
              <w:jc w:val="left"/>
              <w:rPr/>
            </w:pPr>
            <w:r>
              <w:rPr/>
              <w:t> </w:t>
            </w:r>
            <w:bookmarkStart w:id="1917" w:name="xdx_406_eus-gaap--LiabilityForFuturePoli"/>
            <w:bookmarkEnd w:id="1917"/>
          </w:p>
        </w:tc>
      </w:tr>
      <w:tr>
        <w:trPr/>
        <w:tc>
          <w:tcPr>
            <w:tcW w:w="5240" w:type="dxa"/>
            <w:tcBorders/>
            <w:shd w:fill="CCEEFF" w:val="clear"/>
            <w:vAlign w:val="center"/>
          </w:tcPr>
          <w:p>
            <w:pPr>
              <w:pStyle w:val="TableContents"/>
              <w:bidi w:val="0"/>
              <w:spacing w:before="0" w:after="283"/>
              <w:jc w:val="left"/>
              <w:rPr/>
            </w:pPr>
            <w:r>
              <w:rPr/>
              <w:t>Interest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5,143,805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4,829,075</w:t>
            </w:r>
          </w:p>
        </w:tc>
        <w:tc>
          <w:tcPr>
            <w:tcW w:w="110" w:type="dxa"/>
            <w:tcBorders/>
            <w:shd w:fill="CCEEFF" w:val="clear"/>
            <w:vAlign w:val="center"/>
          </w:tcPr>
          <w:p>
            <w:pPr>
              <w:pStyle w:val="TableContents"/>
              <w:bidi w:val="0"/>
              <w:spacing w:before="0" w:after="283"/>
              <w:jc w:val="left"/>
              <w:rPr/>
            </w:pPr>
            <w:r>
              <w:rPr/>
              <w:t> </w:t>
            </w:r>
            <w:bookmarkStart w:id="1918" w:name="xdx_407_ecustom--LiabilityForFuturePolic"/>
            <w:bookmarkEnd w:id="1918"/>
          </w:p>
        </w:tc>
      </w:tr>
      <w:tr>
        <w:trPr/>
        <w:tc>
          <w:tcPr>
            <w:tcW w:w="5240"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(29,994,930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(29,412,087</w:t>
            </w:r>
          </w:p>
        </w:tc>
        <w:tc>
          <w:tcPr>
            <w:tcW w:w="110" w:type="dxa"/>
            <w:tcBorders/>
            <w:shd w:fill="FFFFFF" w:val="clear"/>
            <w:vAlign w:val="center"/>
          </w:tcPr>
          <w:p>
            <w:pPr>
              <w:pStyle w:val="TableContents"/>
              <w:bidi w:val="0"/>
              <w:spacing w:before="0" w:after="283"/>
              <w:jc w:val="left"/>
              <w:rPr/>
            </w:pPr>
            <w:r>
              <w:rPr/>
              <w:t>)</w:t>
            </w:r>
            <w:bookmarkStart w:id="1919" w:name="xdx_406_eus-gaap--LiabilityForFuturePoli"/>
            <w:bookmarkEnd w:id="1919"/>
          </w:p>
        </w:tc>
      </w:tr>
      <w:tr>
        <w:trPr/>
        <w:tc>
          <w:tcPr>
            <w:tcW w:w="524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20" w:name="xdx_40B_eus-gaap--LiabilityForFuturePoli"/>
            <w:bookmarkEnd w:id="1920"/>
          </w:p>
        </w:tc>
      </w:tr>
      <w:tr>
        <w:trPr/>
        <w:tc>
          <w:tcPr>
            <w:tcW w:w="524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211,420,629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198,857,209</w:t>
            </w:r>
          </w:p>
        </w:tc>
        <w:tc>
          <w:tcPr>
            <w:tcW w:w="110" w:type="dxa"/>
            <w:tcBorders/>
            <w:shd w:fill="FFFFFF" w:val="clear"/>
            <w:vAlign w:val="center"/>
          </w:tcPr>
          <w:p>
            <w:pPr>
              <w:pStyle w:val="TableContents"/>
              <w:bidi w:val="0"/>
              <w:spacing w:before="0" w:after="283"/>
              <w:jc w:val="left"/>
              <w:rPr/>
            </w:pPr>
            <w:r>
              <w:rPr/>
              <w:t> </w:t>
            </w:r>
            <w:bookmarkStart w:id="1921" w:name="xdx_405_eus-gaap--LiabilityForFuturePoli"/>
            <w:bookmarkEnd w:id="1921"/>
          </w:p>
        </w:tc>
      </w:tr>
      <w:tr>
        <w:trPr/>
        <w:tc>
          <w:tcPr>
            <w:tcW w:w="5240" w:type="dxa"/>
            <w:tcBorders/>
            <w:shd w:fill="CCEEFF" w:val="clear"/>
            <w:vAlign w:val="center"/>
          </w:tcPr>
          <w:p>
            <w:pPr>
              <w:pStyle w:val="TableContents"/>
              <w:bidi w:val="0"/>
              <w:spacing w:before="0" w:after="283"/>
              <w:jc w:val="left"/>
              <w:rPr/>
            </w:pPr>
            <w:r>
              <w:rPr/>
              <w:t>Less: Receivable from reinsurers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963,513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1,001,393</w:t>
            </w:r>
          </w:p>
        </w:tc>
        <w:tc>
          <w:tcPr>
            <w:tcW w:w="110" w:type="dxa"/>
            <w:tcBorders/>
            <w:shd w:fill="CCEEFF" w:val="clear"/>
            <w:vAlign w:val="center"/>
          </w:tcPr>
          <w:p>
            <w:pPr>
              <w:pStyle w:val="TableContents"/>
              <w:bidi w:val="0"/>
              <w:spacing w:before="0" w:after="283"/>
              <w:jc w:val="left"/>
              <w:rPr/>
            </w:pPr>
            <w:r>
              <w:rPr/>
              <w:t> </w:t>
            </w:r>
            <w:bookmarkStart w:id="1922" w:name="xdx_400_eus-gaap--LiabilityForFuturePoli"/>
            <w:bookmarkEnd w:id="1922"/>
          </w:p>
        </w:tc>
      </w:tr>
      <w:tr>
        <w:trPr/>
        <w:tc>
          <w:tcPr>
            <w:tcW w:w="5240" w:type="dxa"/>
            <w:tcBorders/>
            <w:shd w:fill="FFFFFF" w:val="clear"/>
            <w:vAlign w:val="center"/>
          </w:tcPr>
          <w:p>
            <w:pPr>
              <w:pStyle w:val="TableContents"/>
              <w:bidi w:val="0"/>
              <w:spacing w:before="0" w:after="283"/>
              <w:jc w:val="left"/>
              <w:rPr/>
            </w:pPr>
            <w:r>
              <w:rPr/>
              <w:t>Deferred profit liability, net of reinsurance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210,457,116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197,855,816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right"/>
              <w:rPr/>
            </w:pPr>
            <w:bookmarkStart w:id="1923" w:name="xdx_F05_zhwTkETJspA2"/>
            <w:bookmarkEnd w:id="1923"/>
            <w:r>
              <w:rPr/>
              <w:t>(1)</w:t>
            </w:r>
            <w:bookmarkStart w:id="1924" w:name="xdx_F13_zjKy4nKxxdif"/>
            <w:bookmarkEnd w:id="1924"/>
          </w:p>
        </w:tc>
        <w:tc>
          <w:tcPr>
            <w:tcW w:w="9939" w:type="dxa"/>
            <w:tcBorders/>
            <w:vAlign w:val="center"/>
          </w:tcPr>
          <w:p>
            <w:pPr>
              <w:pStyle w:val="TableContents"/>
              <w:bidi w:val="0"/>
              <w:spacing w:before="0" w:after="283"/>
              <w:jc w:val="both"/>
              <w:rPr/>
            </w:pPr>
            <w:r>
              <w:rPr/>
              <w:t>For the three and six months ended June 30, 2026, and 2025, the net effect of actual variances from expected experience was primarily due to lapses. Actual mortality and surrenders were close to expected.</w:t>
            </w:r>
          </w:p>
        </w:tc>
      </w:tr>
    </w:tbl>
    <w:p>
      <w:pPr>
        <w:pStyle w:val="TextBody"/>
        <w:bidi w:val="0"/>
        <w:spacing w:before="0" w:after="0"/>
        <w:ind w:left="0" w:right="0" w:hanging="0"/>
        <w:jc w:val="left"/>
        <w:rPr>
          <w:caps w:val="false"/>
          <w:smallCaps w:val="false"/>
        </w:rPr>
      </w:pPr>
      <w:bookmarkStart w:id="1925" w:name="xdx_8AE_zNdCaAyiXBo5"/>
      <w:bookmarkEnd w:id="192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Unpaid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6" w:name="xdx_893_eus-gaap--ScheduleOfLiabilityFor"/>
      <w:bookmarkEnd w:id="1926"/>
      <w:r>
        <w:rPr>
          <w:rFonts w:ascii="Times New Roman;Times;Serif" w:hAnsi="Times New Roman;Times;Serif"/>
          <w:b w:val="false"/>
          <w:i w:val="false"/>
          <w:caps w:val="false"/>
          <w:smallCaps w:val="false"/>
          <w:sz w:val="20"/>
        </w:rPr>
        <w:t>The following table provides a roll forward of the Company’s liability for reported but unpaid claims and incurred but not reported claims, net of the related receivable from reinsurers.</w:t>
      </w:r>
    </w:p>
    <w:p>
      <w:pPr>
        <w:pStyle w:val="TextBody"/>
        <w:bidi w:val="0"/>
        <w:spacing w:before="0" w:after="0"/>
        <w:ind w:left="0" w:right="0" w:hanging="0"/>
        <w:jc w:val="left"/>
        <w:rPr>
          <w:caps w:val="false"/>
          <w:smallCaps w:val="false"/>
        </w:rPr>
      </w:pPr>
      <w:r>
        <w:rPr>
          <w:caps w:val="false"/>
          <w:smallCaps w:val="false"/>
        </w:rPr>
        <w:t> </w:t>
      </w:r>
      <w:bookmarkStart w:id="1927" w:name="xdx_8B5_z4pTRzZM78K"/>
      <w:bookmarkEnd w:id="1927"/>
      <w:r>
        <w:rPr>
          <w:rFonts w:ascii="Times New Roman;Times;Serif" w:hAnsi="Times New Roman;Times;Serif"/>
          <w:b w:val="false"/>
          <w:i w:val="false"/>
          <w:caps w:val="false"/>
          <w:smallCaps w:val="false"/>
          <w:sz w:val="20"/>
        </w:rPr>
        <w:t>Schedule of Liability for Reported but Unpaid Claims and Incurred but not Reported Claims</w:t>
      </w:r>
    </w:p>
    <w:tbl>
      <w:tblPr>
        <w:tblW w:w="10044" w:type="dxa"/>
        <w:jc w:val="left"/>
        <w:tblInd w:w="0" w:type="dxa"/>
        <w:tblLayout w:type="fixed"/>
        <w:tblCellMar>
          <w:top w:w="0" w:type="dxa"/>
          <w:left w:w="0" w:type="dxa"/>
          <w:bottom w:w="0" w:type="dxa"/>
          <w:right w:w="0" w:type="dxa"/>
        </w:tblCellMar>
      </w:tblPr>
      <w:tblGrid>
        <w:gridCol w:w="2960"/>
        <w:gridCol w:w="60"/>
        <w:gridCol w:w="140"/>
        <w:gridCol w:w="1175"/>
        <w:gridCol w:w="95"/>
        <w:gridCol w:w="290"/>
        <w:gridCol w:w="140"/>
        <w:gridCol w:w="1055"/>
        <w:gridCol w:w="290"/>
        <w:gridCol w:w="60"/>
        <w:gridCol w:w="308"/>
        <w:gridCol w:w="1661"/>
        <w:gridCol w:w="95"/>
        <w:gridCol w:w="290"/>
        <w:gridCol w:w="140"/>
        <w:gridCol w:w="117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Life</w:t>
            </w:r>
          </w:p>
        </w:tc>
        <w:tc>
          <w:tcPr>
            <w:tcW w:w="95"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Annuities</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9" w:type="dxa"/>
            <w:gridSpan w:val="2"/>
            <w:tcBorders>
              <w:bottom w:val="single" w:sz="8" w:space="0" w:color="000000"/>
            </w:tcBorders>
            <w:tcMar>
              <w:bottom w:w="28" w:type="dxa"/>
            </w:tcMar>
            <w:vAlign w:val="center"/>
          </w:tcPr>
          <w:p>
            <w:pPr>
              <w:pStyle w:val="TableContents"/>
              <w:bidi w:val="0"/>
              <w:spacing w:before="0" w:after="283"/>
              <w:jc w:val="center"/>
              <w:rPr/>
            </w:pPr>
            <w:r>
              <w:rPr/>
              <w:t>Accident and Health</w:t>
            </w:r>
          </w:p>
        </w:tc>
        <w:tc>
          <w:tcPr>
            <w:tcW w:w="95"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center"/>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28" w:name="xdx_984_eus-gaap--LiabilityForUnpaidClai"/>
            <w:bookmarkEnd w:id="1928"/>
          </w:p>
        </w:tc>
        <w:tc>
          <w:tcPr>
            <w:tcW w:w="1175" w:type="dxa"/>
            <w:tcBorders/>
            <w:shd w:fill="CCEEFF" w:val="clear"/>
            <w:vAlign w:val="center"/>
          </w:tcPr>
          <w:p>
            <w:pPr>
              <w:pStyle w:val="TableContents"/>
              <w:bidi w:val="0"/>
              <w:spacing w:before="0" w:after="283"/>
              <w:jc w:val="right"/>
              <w:rPr/>
            </w:pPr>
            <w:r>
              <w:rPr/>
              <w:t>6,941,791</w:t>
            </w:r>
          </w:p>
        </w:tc>
        <w:tc>
          <w:tcPr>
            <w:tcW w:w="9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29" w:name="xdx_988_eus-gaap--LiabilityForUnpaidClai"/>
            <w:bookmarkEnd w:id="1929"/>
          </w:p>
        </w:tc>
        <w:tc>
          <w:tcPr>
            <w:tcW w:w="1055" w:type="dxa"/>
            <w:tcBorders/>
            <w:shd w:fill="CCEEFF" w:val="clear"/>
            <w:vAlign w:val="center"/>
          </w:tcPr>
          <w:p>
            <w:pPr>
              <w:pStyle w:val="TableContents"/>
              <w:bidi w:val="0"/>
              <w:spacing w:before="0" w:after="283"/>
              <w:jc w:val="right"/>
              <w:rPr/>
            </w:pPr>
            <w:r>
              <w:rPr/>
              <w:t>302,843</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1930" w:name="xdx_980_eus-gaap--LiabilityForUnpaidClai"/>
            <w:bookmarkEnd w:id="1930"/>
          </w:p>
        </w:tc>
        <w:tc>
          <w:tcPr>
            <w:tcW w:w="1661" w:type="dxa"/>
            <w:tcBorders/>
            <w:shd w:fill="CCEEFF" w:val="clear"/>
            <w:vAlign w:val="center"/>
          </w:tcPr>
          <w:p>
            <w:pPr>
              <w:pStyle w:val="TableContents"/>
              <w:bidi w:val="0"/>
              <w:spacing w:before="0" w:after="283"/>
              <w:jc w:val="right"/>
              <w:rPr/>
            </w:pPr>
            <w:r>
              <w:rPr/>
              <w:t>17,000</w:t>
            </w:r>
          </w:p>
        </w:tc>
        <w:tc>
          <w:tcPr>
            <w:tcW w:w="9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31" w:name="xdx_98F_eus-gaap--LiabilityForUnpaidClai"/>
            <w:bookmarkEnd w:id="1931"/>
          </w:p>
        </w:tc>
        <w:tc>
          <w:tcPr>
            <w:tcW w:w="1175" w:type="dxa"/>
            <w:tcBorders/>
            <w:shd w:fill="CCEEFF" w:val="clear"/>
            <w:vAlign w:val="center"/>
          </w:tcPr>
          <w:p>
            <w:pPr>
              <w:pStyle w:val="TableContents"/>
              <w:bidi w:val="0"/>
              <w:spacing w:before="0" w:after="283"/>
              <w:jc w:val="right"/>
              <w:rPr/>
            </w:pPr>
            <w:r>
              <w:rPr/>
              <w:t>7,261,634</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32" w:name="xdx_987_ecustom--PolicyholderDeathBenefi"/>
            <w:bookmarkEnd w:id="1932"/>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30,576,460</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(1)</w:t>
            </w:r>
          </w:p>
        </w:tc>
        <w:tc>
          <w:tcPr>
            <w:tcW w:w="140" w:type="dxa"/>
            <w:tcBorders/>
            <w:shd w:fill="FFFFFF" w:val="clear"/>
            <w:vAlign w:val="center"/>
          </w:tcPr>
          <w:p>
            <w:pPr>
              <w:pStyle w:val="TableContents"/>
              <w:bidi w:val="0"/>
              <w:spacing w:before="0" w:after="283"/>
              <w:jc w:val="left"/>
              <w:rPr/>
            </w:pPr>
            <w:r>
              <w:rPr/>
              <w:t> </w:t>
            </w:r>
            <w:bookmarkStart w:id="1933" w:name="xdx_987_eus-gaap--LiabilityForFuturePoli"/>
            <w:bookmarkEnd w:id="1933"/>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6,369,120</w:t>
            </w:r>
          </w:p>
        </w:tc>
        <w:tc>
          <w:tcPr>
            <w:tcW w:w="290"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bookmarkStart w:id="1934" w:name="xdx_98B_eus-gaap--PolicyholderBenefitsAn"/>
            <w:bookmarkEnd w:id="1934"/>
          </w:p>
        </w:tc>
        <w:tc>
          <w:tcPr>
            <w:tcW w:w="1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71,625</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(3)</w:t>
            </w:r>
          </w:p>
        </w:tc>
        <w:tc>
          <w:tcPr>
            <w:tcW w:w="140" w:type="dxa"/>
            <w:tcBorders/>
            <w:shd w:fill="FFFFFF" w:val="clear"/>
            <w:vAlign w:val="center"/>
          </w:tcPr>
          <w:p>
            <w:pPr>
              <w:pStyle w:val="TableContents"/>
              <w:bidi w:val="0"/>
              <w:spacing w:before="0" w:after="283"/>
              <w:jc w:val="left"/>
              <w:rPr/>
            </w:pPr>
            <w:r>
              <w:rPr/>
              <w:t> </w:t>
            </w:r>
            <w:bookmarkStart w:id="1935" w:name="xdx_985_eus-gaap--LiabilityForUnpaidClai"/>
            <w:bookmarkEnd w:id="1935"/>
          </w:p>
        </w:tc>
        <w:tc>
          <w:tcPr>
            <w:tcW w:w="1175" w:type="dxa"/>
            <w:tcBorders/>
            <w:shd w:fill="FFFFFF" w:val="clear"/>
            <w:vAlign w:val="center"/>
          </w:tcPr>
          <w:p>
            <w:pPr>
              <w:pStyle w:val="TableContents"/>
              <w:bidi w:val="0"/>
              <w:spacing w:before="0" w:after="283"/>
              <w:jc w:val="right"/>
              <w:rPr/>
            </w:pPr>
            <w:r>
              <w:rPr/>
              <w:t>37,017,205</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Settled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6" w:name="xdx_98E_eus-gaap--PaymentsForLossesAndLo"/>
            <w:bookmarkEnd w:id="1936"/>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(31,556,777</w:t>
            </w:r>
          </w:p>
        </w:tc>
        <w:tc>
          <w:tcPr>
            <w:tcW w:w="95"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7" w:name="xdx_984_eus-gaap--PaymentsForLossesAndLo"/>
            <w:bookmarkEnd w:id="193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(6,332,455</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8" w:name="xdx_98E_eus-gaap--PaymentsForLossesAndLo"/>
            <w:bookmarkEnd w:id="1938"/>
          </w:p>
        </w:tc>
        <w:tc>
          <w:tcPr>
            <w:tcW w:w="1661" w:type="dxa"/>
            <w:tcBorders>
              <w:bottom w:val="single" w:sz="8" w:space="0" w:color="000000"/>
            </w:tcBorders>
            <w:shd w:fill="CCEEFF" w:val="clear"/>
            <w:tcMar>
              <w:bottom w:w="28" w:type="dxa"/>
            </w:tcMar>
            <w:vAlign w:val="center"/>
          </w:tcPr>
          <w:p>
            <w:pPr>
              <w:pStyle w:val="TableContents"/>
              <w:bidi w:val="0"/>
              <w:spacing w:before="0" w:after="283"/>
              <w:jc w:val="right"/>
              <w:rPr/>
            </w:pPr>
            <w:r>
              <w:rPr/>
              <w:t>(71,625</w:t>
            </w:r>
          </w:p>
        </w:tc>
        <w:tc>
          <w:tcPr>
            <w:tcW w:w="95"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9" w:name="xdx_98F_eus-gaap--PaymentsForLossesAndLo"/>
            <w:bookmarkEnd w:id="1939"/>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(37,960,857</w:t>
            </w:r>
          </w:p>
        </w:tc>
        <w:tc>
          <w:tcPr>
            <w:tcW w:w="11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40" w:name="xdx_984_eus-gaap--LiabilityForUnpaidClai"/>
            <w:bookmarkEnd w:id="1940"/>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5,961,474</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41" w:name="xdx_983_eus-gaap--LiabilityForUnpaidClai"/>
            <w:bookmarkEnd w:id="194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339,508</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42" w:name="xdx_980_eus-gaap--LiabilityForUnpaidClai"/>
            <w:bookmarkEnd w:id="1942"/>
          </w:p>
        </w:tc>
        <w:tc>
          <w:tcPr>
            <w:tcW w:w="1661" w:type="dxa"/>
            <w:tcBorders>
              <w:bottom w:val="double" w:sz="6" w:space="0" w:color="000000"/>
            </w:tcBorders>
            <w:shd w:fill="FFFFFF" w:val="clear"/>
            <w:tcMar>
              <w:bottom w:w="28" w:type="dxa"/>
            </w:tcMar>
            <w:vAlign w:val="center"/>
          </w:tcPr>
          <w:p>
            <w:pPr>
              <w:pStyle w:val="TableContents"/>
              <w:bidi w:val="0"/>
              <w:spacing w:before="0" w:after="283"/>
              <w:jc w:val="right"/>
              <w:rPr/>
            </w:pPr>
            <w:r>
              <w:rPr/>
              <w:t>17,000</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43" w:name="xdx_98E_eus-gaap--LiabilityForUnpaidClai"/>
            <w:bookmarkEnd w:id="1943"/>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6,317,982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900" w:type="dxa"/>
        <w:jc w:val="left"/>
        <w:tblInd w:w="0" w:type="dxa"/>
        <w:tblLayout w:type="fixed"/>
        <w:tblCellMar>
          <w:top w:w="0" w:type="dxa"/>
          <w:left w:w="0" w:type="dxa"/>
          <w:bottom w:w="0" w:type="dxa"/>
          <w:right w:w="0" w:type="dxa"/>
        </w:tblCellMar>
      </w:tblPr>
      <w:tblGrid>
        <w:gridCol w:w="2960"/>
        <w:gridCol w:w="60"/>
        <w:gridCol w:w="140"/>
        <w:gridCol w:w="1175"/>
        <w:gridCol w:w="95"/>
        <w:gridCol w:w="290"/>
        <w:gridCol w:w="140"/>
        <w:gridCol w:w="1055"/>
        <w:gridCol w:w="290"/>
        <w:gridCol w:w="60"/>
        <w:gridCol w:w="140"/>
        <w:gridCol w:w="1685"/>
        <w:gridCol w:w="95"/>
        <w:gridCol w:w="290"/>
        <w:gridCol w:w="140"/>
        <w:gridCol w:w="1175"/>
        <w:gridCol w:w="110"/>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Life</w:t>
            </w:r>
          </w:p>
        </w:tc>
        <w:tc>
          <w:tcPr>
            <w:tcW w:w="95" w:type="dxa"/>
            <w:tcBorders/>
            <w:shd w:fill="FFFFFF" w:val="clear"/>
            <w:vAlign w:val="center"/>
          </w:tcPr>
          <w:p>
            <w:pPr>
              <w:pStyle w:val="TableContents"/>
              <w:bidi w:val="0"/>
              <w:spacing w:before="0" w:after="283"/>
              <w:jc w:val="center"/>
              <w:rPr/>
            </w:pPr>
            <w:r>
              <w:rPr/>
              <w:t> </w:t>
            </w:r>
          </w:p>
        </w:tc>
        <w:tc>
          <w:tcPr>
            <w:tcW w:w="29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Annuities</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Accident and Health</w:t>
            </w:r>
          </w:p>
        </w:tc>
        <w:tc>
          <w:tcPr>
            <w:tcW w:w="95" w:type="dxa"/>
            <w:tcBorders/>
            <w:shd w:fill="FFFFFF" w:val="clear"/>
            <w:vAlign w:val="center"/>
          </w:tcPr>
          <w:p>
            <w:pPr>
              <w:pStyle w:val="TableContents"/>
              <w:bidi w:val="0"/>
              <w:spacing w:before="0" w:after="283"/>
              <w:jc w:val="center"/>
              <w:rPr/>
            </w:pPr>
            <w:r>
              <w:rPr/>
              <w:t> </w:t>
            </w:r>
          </w:p>
        </w:tc>
        <w:tc>
          <w:tcPr>
            <w:tcW w:w="29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110" w:type="dxa"/>
            <w:tcBorders/>
            <w:shd w:fill="FFFFFF" w:val="clear"/>
            <w:vAlign w:val="center"/>
          </w:tcPr>
          <w:p>
            <w:pPr>
              <w:pStyle w:val="TableContents"/>
              <w:bidi w:val="0"/>
              <w:spacing w:before="0" w:after="283"/>
              <w:jc w:val="center"/>
              <w:rPr/>
            </w:pPr>
            <w:r>
              <w:rPr/>
              <w:t> </w:t>
            </w:r>
          </w:p>
        </w:tc>
      </w:tr>
      <w:tr>
        <w:trPr/>
        <w:tc>
          <w:tcPr>
            <w:tcW w:w="296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44" w:name="xdx_98B_eus-gaap--LiabilityForUnpaidClai"/>
            <w:bookmarkEnd w:id="1944"/>
          </w:p>
        </w:tc>
        <w:tc>
          <w:tcPr>
            <w:tcW w:w="1175" w:type="dxa"/>
            <w:tcBorders/>
            <w:shd w:fill="CCEEFF" w:val="clear"/>
            <w:vAlign w:val="center"/>
          </w:tcPr>
          <w:p>
            <w:pPr>
              <w:pStyle w:val="TableContents"/>
              <w:bidi w:val="0"/>
              <w:spacing w:before="0" w:after="283"/>
              <w:jc w:val="right"/>
              <w:rPr/>
            </w:pPr>
            <w:r>
              <w:rPr/>
              <w:t>6,363,243</w:t>
            </w:r>
          </w:p>
        </w:tc>
        <w:tc>
          <w:tcPr>
            <w:tcW w:w="9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45" w:name="xdx_985_eus-gaap--LiabilityForUnpaidClai"/>
            <w:bookmarkEnd w:id="1945"/>
          </w:p>
        </w:tc>
        <w:tc>
          <w:tcPr>
            <w:tcW w:w="1055" w:type="dxa"/>
            <w:tcBorders/>
            <w:shd w:fill="CCEEFF" w:val="clear"/>
            <w:vAlign w:val="center"/>
          </w:tcPr>
          <w:p>
            <w:pPr>
              <w:pStyle w:val="TableContents"/>
              <w:bidi w:val="0"/>
              <w:spacing w:before="0" w:after="283"/>
              <w:jc w:val="right"/>
              <w:rPr/>
            </w:pPr>
            <w:r>
              <w:rPr/>
              <w:t>255,480</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46" w:name="xdx_980_eus-gaap--LiabilityForUnpaidClai"/>
            <w:bookmarkEnd w:id="1946"/>
          </w:p>
        </w:tc>
        <w:tc>
          <w:tcPr>
            <w:tcW w:w="1685" w:type="dxa"/>
            <w:tcBorders/>
            <w:shd w:fill="CCEEFF" w:val="clear"/>
            <w:vAlign w:val="center"/>
          </w:tcPr>
          <w:p>
            <w:pPr>
              <w:pStyle w:val="TableContents"/>
              <w:bidi w:val="0"/>
              <w:spacing w:before="0" w:after="283"/>
              <w:jc w:val="right"/>
              <w:rPr/>
            </w:pPr>
            <w:r>
              <w:rPr/>
              <w:t>17,000</w:t>
            </w:r>
          </w:p>
        </w:tc>
        <w:tc>
          <w:tcPr>
            <w:tcW w:w="9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47" w:name="xdx_98D_eus-gaap--LiabilityForUnpaidClai"/>
            <w:bookmarkEnd w:id="1947"/>
          </w:p>
        </w:tc>
        <w:tc>
          <w:tcPr>
            <w:tcW w:w="1175" w:type="dxa"/>
            <w:tcBorders/>
            <w:shd w:fill="CCEEFF" w:val="clear"/>
            <w:vAlign w:val="center"/>
          </w:tcPr>
          <w:p>
            <w:pPr>
              <w:pStyle w:val="TableContents"/>
              <w:bidi w:val="0"/>
              <w:spacing w:before="0" w:after="283"/>
              <w:jc w:val="right"/>
              <w:rPr/>
            </w:pPr>
            <w:r>
              <w:rPr/>
              <w:t>6,635,723</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48" w:name="xdx_98D_ecustom--PolicyholderDeathBenefi"/>
            <w:bookmarkEnd w:id="1948"/>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31,067,103</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pPr>
            <w:r>
              <w:rPr/>
              <w:t>(1)</w:t>
            </w:r>
          </w:p>
        </w:tc>
        <w:tc>
          <w:tcPr>
            <w:tcW w:w="140" w:type="dxa"/>
            <w:tcBorders/>
            <w:shd w:fill="FFFFFF" w:val="clear"/>
            <w:vAlign w:val="center"/>
          </w:tcPr>
          <w:p>
            <w:pPr>
              <w:pStyle w:val="TableContents"/>
              <w:bidi w:val="0"/>
              <w:spacing w:before="0" w:after="283"/>
              <w:jc w:val="left"/>
              <w:rPr/>
            </w:pPr>
            <w:r>
              <w:rPr/>
              <w:t> </w:t>
            </w:r>
            <w:bookmarkStart w:id="1949" w:name="xdx_980_eus-gaap--LiabilityForFuturePoli"/>
            <w:bookmarkEnd w:id="1949"/>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6,696,820</w:t>
            </w:r>
          </w:p>
        </w:tc>
        <w:tc>
          <w:tcPr>
            <w:tcW w:w="290"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50" w:name="xdx_980_eus-gaap--PolicyholderBenefitsAn"/>
            <w:bookmarkEnd w:id="1950"/>
          </w:p>
        </w:tc>
        <w:tc>
          <w:tcPr>
            <w:tcW w:w="16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(3)</w:t>
            </w:r>
          </w:p>
        </w:tc>
        <w:tc>
          <w:tcPr>
            <w:tcW w:w="140" w:type="dxa"/>
            <w:tcBorders/>
            <w:shd w:fill="FFFFFF" w:val="clear"/>
            <w:vAlign w:val="center"/>
          </w:tcPr>
          <w:p>
            <w:pPr>
              <w:pStyle w:val="TableContents"/>
              <w:bidi w:val="0"/>
              <w:spacing w:before="0" w:after="283"/>
              <w:jc w:val="left"/>
              <w:rPr/>
            </w:pPr>
            <w:r>
              <w:rPr/>
              <w:t> </w:t>
            </w:r>
            <w:bookmarkStart w:id="1951" w:name="xdx_987_eus-gaap--LiabilityForUnpaidClai"/>
            <w:bookmarkEnd w:id="1951"/>
          </w:p>
        </w:tc>
        <w:tc>
          <w:tcPr>
            <w:tcW w:w="1175" w:type="dxa"/>
            <w:tcBorders/>
            <w:shd w:fill="FFFFFF" w:val="clear"/>
            <w:vAlign w:val="center"/>
          </w:tcPr>
          <w:p>
            <w:pPr>
              <w:pStyle w:val="TableContents"/>
              <w:bidi w:val="0"/>
              <w:spacing w:before="0" w:after="283"/>
              <w:jc w:val="right"/>
              <w:rPr/>
            </w:pPr>
            <w:r>
              <w:rPr/>
              <w:t>37,764,584</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Settled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2" w:name="xdx_980_eus-gaap--PaymentsForLossesAndLo"/>
            <w:bookmarkEnd w:id="1952"/>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(30,729,487</w:t>
            </w:r>
          </w:p>
        </w:tc>
        <w:tc>
          <w:tcPr>
            <w:tcW w:w="95"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3" w:name="xdx_98B_eus-gaap--PaymentsForLossesAndLo"/>
            <w:bookmarkEnd w:id="1953"/>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(6,711,229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4" w:name="xdx_983_eus-gaap--PaymentsForLossesAndLo"/>
            <w:bookmarkEnd w:id="1954"/>
          </w:p>
        </w:tc>
        <w:tc>
          <w:tcPr>
            <w:tcW w:w="1685" w:type="dxa"/>
            <w:tcBorders>
              <w:bottom w:val="single" w:sz="8" w:space="0" w:color="000000"/>
            </w:tcBorders>
            <w:shd w:fill="CCEEFF" w:val="clear"/>
            <w:tcMar>
              <w:bottom w:w="28" w:type="dxa"/>
            </w:tcMar>
            <w:vAlign w:val="center"/>
          </w:tcPr>
          <w:p>
            <w:pPr>
              <w:pStyle w:val="TableContents"/>
              <w:bidi w:val="0"/>
              <w:spacing w:before="0" w:after="283"/>
              <w:jc w:val="right"/>
              <w:rPr/>
            </w:pPr>
            <w:r>
              <w:rPr/>
              <w:t>(661</w:t>
            </w:r>
          </w:p>
        </w:tc>
        <w:tc>
          <w:tcPr>
            <w:tcW w:w="95"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5" w:name="xdx_980_eus-gaap--PaymentsForLossesAndLo"/>
            <w:bookmarkEnd w:id="1955"/>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(37,441,377</w:t>
            </w:r>
          </w:p>
        </w:tc>
        <w:tc>
          <w:tcPr>
            <w:tcW w:w="11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56" w:name="xdx_98E_eus-gaap--LiabilityForUnpaidClai"/>
            <w:bookmarkEnd w:id="195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6,700,859</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57" w:name="xdx_98B_eus-gaap--LiabilityForUnpaidClai"/>
            <w:bookmarkEnd w:id="195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241,071</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58" w:name="xdx_988_eus-gaap--LiabilityForUnpaidClai"/>
            <w:bookmarkEnd w:id="1958"/>
          </w:p>
        </w:tc>
        <w:tc>
          <w:tcPr>
            <w:tcW w:w="1685" w:type="dxa"/>
            <w:tcBorders>
              <w:bottom w:val="double" w:sz="6" w:space="0" w:color="000000"/>
            </w:tcBorders>
            <w:shd w:fill="FFFFFF" w:val="clear"/>
            <w:tcMar>
              <w:bottom w:w="28" w:type="dxa"/>
            </w:tcMar>
            <w:vAlign w:val="center"/>
          </w:tcPr>
          <w:p>
            <w:pPr>
              <w:pStyle w:val="TableContents"/>
              <w:bidi w:val="0"/>
              <w:spacing w:before="0" w:after="283"/>
              <w:jc w:val="right"/>
              <w:rPr/>
            </w:pPr>
            <w:r>
              <w:rPr/>
              <w:t>17,000</w:t>
            </w:r>
          </w:p>
        </w:tc>
        <w:tc>
          <w:tcPr>
            <w:tcW w:w="9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959" w:name="xdx_986_eus-gaap--LiabilityForUnpaidClai"/>
            <w:bookmarkEnd w:id="195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6,958,930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960" w:name="xdx_F05_zrbMUSKbufn6"/>
            <w:bookmarkEnd w:id="1960"/>
            <w:r>
              <w:rPr>
                <w:rFonts w:ascii="Times New Roman;Times;Serif" w:hAnsi="Times New Roman;Times;Serif"/>
                <w:sz w:val="20"/>
              </w:rPr>
              <w:t>(1)</w:t>
            </w:r>
          </w:p>
        </w:tc>
        <w:tc>
          <w:tcPr>
            <w:tcW w:w="8075" w:type="dxa"/>
            <w:tcBorders/>
            <w:vAlign w:val="center"/>
          </w:tcPr>
          <w:p>
            <w:pPr>
              <w:pStyle w:val="TableContents"/>
              <w:bidi w:val="0"/>
              <w:spacing w:before="0" w:after="283"/>
              <w:jc w:val="both"/>
              <w:rPr>
                <w:rFonts w:ascii="Times New Roman;Times;Serif" w:hAnsi="Times New Roman;Times;Serif"/>
                <w:sz w:val="20"/>
              </w:rPr>
            </w:pPr>
            <w:bookmarkStart w:id="1961" w:name="xdx_F1C_zaP1HERItbga"/>
            <w:bookmarkEnd w:id="1961"/>
            <w:r>
              <w:rPr>
                <w:rFonts w:ascii="Times New Roman;Times;Serif" w:hAnsi="Times New Roman;Times;Serif"/>
                <w:sz w:val="20"/>
              </w:rPr>
              <w:t>Included in policyholder benefits and claims on the condensed consolidated statements of earnings</w:t>
            </w:r>
          </w:p>
        </w:tc>
      </w:tr>
    </w:tbl>
    <w:tbl>
      <w:tblPr>
        <w:tblW w:w="3985" w:type="dxa"/>
        <w:jc w:val="left"/>
        <w:tblInd w:w="0" w:type="dxa"/>
        <w:tblLayout w:type="fixed"/>
        <w:tblCellMar>
          <w:top w:w="0" w:type="dxa"/>
          <w:left w:w="0" w:type="dxa"/>
          <w:bottom w:w="0" w:type="dxa"/>
          <w:right w:w="0" w:type="dxa"/>
        </w:tblCellMar>
      </w:tblPr>
      <w:tblGrid>
        <w:gridCol w:w="260"/>
        <w:gridCol w:w="372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962" w:name="xdx_F04_zD1231m4uIdk"/>
            <w:bookmarkEnd w:id="1962"/>
            <w:r>
              <w:rPr>
                <w:rFonts w:ascii="Times New Roman;Times;Serif" w:hAnsi="Times New Roman;Times;Serif"/>
                <w:sz w:val="20"/>
              </w:rPr>
              <w:t>(2)</w:t>
            </w:r>
          </w:p>
        </w:tc>
        <w:tc>
          <w:tcPr>
            <w:tcW w:w="3725" w:type="dxa"/>
            <w:tcBorders/>
            <w:vAlign w:val="center"/>
          </w:tcPr>
          <w:p>
            <w:pPr>
              <w:pStyle w:val="TableContents"/>
              <w:bidi w:val="0"/>
              <w:spacing w:before="0" w:after="283"/>
              <w:jc w:val="both"/>
              <w:rPr>
                <w:rFonts w:ascii="Times New Roman;Times;Serif" w:hAnsi="Times New Roman;Times;Serif"/>
                <w:sz w:val="20"/>
              </w:rPr>
            </w:pPr>
            <w:bookmarkStart w:id="1963" w:name="xdx_F11_zc2PfXZNEiIa"/>
            <w:bookmarkEnd w:id="1963"/>
            <w:r>
              <w:rPr>
                <w:rFonts w:ascii="Times New Roman;Times;Serif" w:hAnsi="Times New Roman;Times;Serif"/>
                <w:sz w:val="20"/>
              </w:rPr>
              <w:t>Released from policyholder account balances</w:t>
            </w:r>
          </w:p>
        </w:tc>
      </w:tr>
    </w:tbl>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964" w:name="xdx_F05_zSuRlgnZI3Kh"/>
            <w:bookmarkEnd w:id="1964"/>
            <w:r>
              <w:rPr>
                <w:rFonts w:ascii="Times New Roman;Times;Serif" w:hAnsi="Times New Roman;Times;Serif"/>
                <w:sz w:val="20"/>
              </w:rPr>
              <w:t>(3)</w:t>
            </w:r>
          </w:p>
        </w:tc>
        <w:tc>
          <w:tcPr>
            <w:tcW w:w="8075" w:type="dxa"/>
            <w:tcBorders/>
            <w:vAlign w:val="center"/>
          </w:tcPr>
          <w:p>
            <w:pPr>
              <w:pStyle w:val="TableContents"/>
              <w:bidi w:val="0"/>
              <w:spacing w:before="0" w:after="283"/>
              <w:jc w:val="both"/>
              <w:rPr>
                <w:rFonts w:ascii="Times New Roman;Times;Serif" w:hAnsi="Times New Roman;Times;Serif"/>
                <w:sz w:val="20"/>
              </w:rPr>
            </w:pPr>
            <w:bookmarkStart w:id="1965" w:name="xdx_F1A_zhyCICKDX5u1"/>
            <w:bookmarkEnd w:id="1965"/>
            <w:r>
              <w:rPr>
                <w:rFonts w:ascii="Times New Roman;Times;Serif" w:hAnsi="Times New Roman;Times;Serif"/>
                <w:sz w:val="20"/>
              </w:rPr>
              <w:t>Included in policyholder benefits and claims on the condensed consolidated statements of earnings</w:t>
            </w:r>
          </w:p>
        </w:tc>
      </w:tr>
    </w:tbl>
    <w:p>
      <w:pPr>
        <w:pStyle w:val="TextBody"/>
        <w:bidi w:val="0"/>
        <w:spacing w:before="0" w:after="0"/>
        <w:ind w:left="0" w:right="0" w:hanging="0"/>
        <w:jc w:val="left"/>
        <w:rPr>
          <w:caps w:val="false"/>
          <w:smallCaps w:val="false"/>
        </w:rPr>
      </w:pPr>
      <w:bookmarkStart w:id="1966" w:name="xdx_8A6_zUvfDkkU74b3"/>
      <w:bookmarkEnd w:id="196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67" w:name="xdx_80A_eus-gaap--LongDurationInsuranceC"/>
      <w:bookmarkEnd w:id="1967"/>
      <w:r>
        <w:rPr>
          <w:rFonts w:ascii="Times New Roman;Times;Serif" w:hAnsi="Times New Roman;Times;Serif"/>
          <w:b w:val="false"/>
          <w:i w:val="false"/>
          <w:caps w:val="false"/>
          <w:smallCaps w:val="false"/>
          <w:sz w:val="20"/>
        </w:rPr>
        <w:t xml:space="preserve">11) </w:t>
      </w:r>
      <w:bookmarkStart w:id="1968" w:name="xdx_820_zF4GudbnjyM5"/>
      <w:bookmarkStart w:id="1969" w:name="sp_006"/>
      <w:bookmarkEnd w:id="1968"/>
      <w:bookmarkEnd w:id="1969"/>
      <w:r>
        <w:rPr>
          <w:rFonts w:ascii="Times New Roman;Times;Serif" w:hAnsi="Times New Roman;Times;Serif"/>
          <w:b w:val="false"/>
          <w:i w:val="false"/>
          <w:caps w:val="false"/>
          <w:smallCaps w:val="false"/>
          <w:sz w:val="20"/>
          <w:u w:val="single"/>
        </w:rPr>
        <w:t>Policyholder Account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liabilities for policyholder account balances, which are generally equal to the account value, and which include interest credited.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70" w:name="xdx_89C_ecustom--ScheduleOfReconciliatio"/>
      <w:bookmarkEnd w:id="1970"/>
      <w:r>
        <w:rPr>
          <w:rFonts w:ascii="Times New Roman;Times;Serif" w:hAnsi="Times New Roman;Times;Serif"/>
          <w:b w:val="false"/>
          <w:i w:val="false"/>
          <w:caps w:val="false"/>
          <w:smallCaps w:val="false"/>
          <w:sz w:val="20"/>
        </w:rPr>
        <w:t>The following table provides a reconciliation of policyholder account balances and the related receivable from reinsurers to the condensed consolidated balance sheets.</w:t>
      </w:r>
    </w:p>
    <w:p>
      <w:pPr>
        <w:pStyle w:val="TextBody"/>
        <w:bidi w:val="0"/>
        <w:spacing w:before="0" w:after="0"/>
        <w:ind w:left="0" w:right="0" w:hanging="0"/>
        <w:jc w:val="left"/>
        <w:rPr>
          <w:caps w:val="false"/>
          <w:smallCaps w:val="false"/>
        </w:rPr>
      </w:pPr>
      <w:r>
        <w:rPr>
          <w:caps w:val="false"/>
          <w:smallCaps w:val="false"/>
        </w:rPr>
        <w:t> </w:t>
      </w:r>
      <w:bookmarkStart w:id="1971" w:name="xdx_8BD_zoSAJ0KPyR96"/>
      <w:bookmarkEnd w:id="1971"/>
      <w:r>
        <w:rPr>
          <w:rFonts w:ascii="Times New Roman;Times;Serif" w:hAnsi="Times New Roman;Times;Serif"/>
          <w:b w:val="false"/>
          <w:i w:val="false"/>
          <w:caps w:val="false"/>
          <w:smallCaps w:val="false"/>
          <w:sz w:val="20"/>
        </w:rPr>
        <w:t>Schedule of Reconciliation of Policyholder Account Balances and the Related Receivable from Reinsurers to the Consolidated Balance Sheets </w:t>
      </w:r>
    </w:p>
    <w:tbl>
      <w:tblPr>
        <w:tblW w:w="7984" w:type="dxa"/>
        <w:jc w:val="left"/>
        <w:tblInd w:w="0" w:type="dxa"/>
        <w:tblLayout w:type="fixed"/>
        <w:tblCellMar>
          <w:top w:w="0" w:type="dxa"/>
          <w:left w:w="0" w:type="dxa"/>
          <w:bottom w:w="0" w:type="dxa"/>
          <w:right w:w="0" w:type="dxa"/>
        </w:tblCellMar>
      </w:tblPr>
      <w:tblGrid>
        <w:gridCol w:w="4475"/>
        <w:gridCol w:w="60"/>
        <w:gridCol w:w="140"/>
        <w:gridCol w:w="1220"/>
        <w:gridCol w:w="60"/>
        <w:gridCol w:w="60"/>
        <w:gridCol w:w="195"/>
        <w:gridCol w:w="1699"/>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2" w:name="xdx_496_20260630_zNjmKc81Dvlb"/>
            <w:bookmarkEnd w:id="1972"/>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3" w:name="xdx_499_20251231_z6UVZQTiIk49"/>
            <w:bookmarkEnd w:id="1973"/>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bookmarkStart w:id="1974" w:name="xdx_400_eus-gaap--PolicyholderFunds_iI_h"/>
            <w:bookmarkEnd w:id="1974"/>
          </w:p>
        </w:tc>
      </w:tr>
      <w:tr>
        <w:trPr/>
        <w:tc>
          <w:tcPr>
            <w:tcW w:w="4475" w:type="dxa"/>
            <w:tcBorders/>
            <w:shd w:fill="CCEEFF" w:val="clear"/>
            <w:vAlign w:val="center"/>
          </w:tcPr>
          <w:p>
            <w:pPr>
              <w:pStyle w:val="TableContents"/>
              <w:bidi w:val="0"/>
              <w:spacing w:before="0" w:after="283"/>
              <w:jc w:val="left"/>
              <w:rPr/>
            </w:pPr>
            <w:r>
              <w:rPr/>
              <w:t>Policyholder account balances - fixed annuities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102,529,346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699" w:type="dxa"/>
            <w:tcBorders/>
            <w:shd w:fill="CCEEFF" w:val="clear"/>
            <w:vAlign w:val="center"/>
          </w:tcPr>
          <w:p>
            <w:pPr>
              <w:pStyle w:val="TableContents"/>
              <w:bidi w:val="0"/>
              <w:spacing w:before="0" w:after="283"/>
              <w:jc w:val="right"/>
              <w:rPr/>
            </w:pPr>
            <w:r>
              <w:rPr/>
              <w:t>104,233,454</w:t>
            </w:r>
          </w:p>
        </w:tc>
        <w:tc>
          <w:tcPr>
            <w:tcW w:w="75" w:type="dxa"/>
            <w:tcBorders/>
            <w:shd w:fill="CCEEFF" w:val="clear"/>
            <w:vAlign w:val="center"/>
          </w:tcPr>
          <w:p>
            <w:pPr>
              <w:pStyle w:val="TableContents"/>
              <w:bidi w:val="0"/>
              <w:spacing w:before="0" w:after="283"/>
              <w:jc w:val="left"/>
              <w:rPr/>
            </w:pPr>
            <w:r>
              <w:rPr/>
              <w:t> </w:t>
            </w:r>
            <w:bookmarkStart w:id="1975" w:name="xdx_409_eus-gaap--PolicyholderContractDe"/>
            <w:bookmarkEnd w:id="1975"/>
          </w:p>
        </w:tc>
      </w:tr>
      <w:tr>
        <w:trPr/>
        <w:tc>
          <w:tcPr>
            <w:tcW w:w="4475" w:type="dxa"/>
            <w:tcBorders/>
            <w:shd w:fill="FFFFFF" w:val="clear"/>
            <w:vAlign w:val="center"/>
          </w:tcPr>
          <w:p>
            <w:pPr>
              <w:pStyle w:val="TableContents"/>
              <w:bidi w:val="0"/>
              <w:spacing w:before="0" w:after="283"/>
              <w:jc w:val="left"/>
              <w:rPr/>
            </w:pPr>
            <w:r>
              <w:rPr/>
              <w:t>Deferred profit liability - fixed annuities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506,582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546,802</w:t>
            </w:r>
          </w:p>
        </w:tc>
        <w:tc>
          <w:tcPr>
            <w:tcW w:w="75" w:type="dxa"/>
            <w:tcBorders/>
            <w:shd w:fill="FFFFFF" w:val="clear"/>
            <w:vAlign w:val="center"/>
          </w:tcPr>
          <w:p>
            <w:pPr>
              <w:pStyle w:val="TableContents"/>
              <w:bidi w:val="0"/>
              <w:spacing w:before="0" w:after="283"/>
              <w:jc w:val="left"/>
              <w:rPr/>
            </w:pPr>
            <w:r>
              <w:rPr/>
              <w:t> </w:t>
            </w:r>
            <w:bookmarkStart w:id="1976" w:name="xdx_40A_eus-gaap--PolicyholderFunds_iI_h"/>
            <w:bookmarkEnd w:id="1976"/>
          </w:p>
        </w:tc>
      </w:tr>
      <w:tr>
        <w:trPr/>
        <w:tc>
          <w:tcPr>
            <w:tcW w:w="4475" w:type="dxa"/>
            <w:tcBorders/>
            <w:shd w:fill="CCEEFF" w:val="clear"/>
            <w:vAlign w:val="center"/>
          </w:tcPr>
          <w:p>
            <w:pPr>
              <w:pStyle w:val="TableContents"/>
              <w:bidi w:val="0"/>
              <w:spacing w:before="0" w:after="283"/>
              <w:jc w:val="left"/>
              <w:rPr/>
            </w:pPr>
            <w:r>
              <w:rPr/>
              <w:t>Policyholder account balances - universal life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34,990,504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35,825,494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77" w:name="xdx_400_eus-gaap--PolicyholderFunds_iI_z"/>
            <w:bookmarkEnd w:id="1977"/>
          </w:p>
        </w:tc>
      </w:tr>
      <w:tr>
        <w:trPr/>
        <w:tc>
          <w:tcPr>
            <w:tcW w:w="4475" w:type="dxa"/>
            <w:tcBorders/>
            <w:shd w:fill="CCEEFF" w:val="clear"/>
            <w:vAlign w:val="center"/>
          </w:tcPr>
          <w:p>
            <w:pPr>
              <w:pStyle w:val="TableContents"/>
              <w:bidi w:val="0"/>
              <w:spacing w:before="0" w:after="283"/>
              <w:jc w:val="left"/>
              <w:rPr/>
            </w:pPr>
            <w:r>
              <w:rPr/>
              <w:t>Gross policyholder account balances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138,026,432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pPr>
            <w:r>
              <w:rPr/>
              <w:t>140,605,750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u w:val="single"/>
              </w:rPr>
            </w:pPr>
            <w:r>
              <w:rPr>
                <w:u w:val="single"/>
              </w:rPr>
              <w:t>Receivable from reinsurers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78" w:name="xdx_408_ecustom--PolicyholderFundsReceiv"/>
            <w:bookmarkEnd w:id="1978"/>
          </w:p>
        </w:tc>
      </w:tr>
      <w:tr>
        <w:trPr/>
        <w:tc>
          <w:tcPr>
            <w:tcW w:w="4475" w:type="dxa"/>
            <w:tcBorders/>
            <w:shd w:fill="CCEEFF" w:val="clear"/>
            <w:vAlign w:val="center"/>
          </w:tcPr>
          <w:p>
            <w:pPr>
              <w:pStyle w:val="TableContents"/>
              <w:bidi w:val="0"/>
              <w:spacing w:before="0" w:after="283"/>
              <w:jc w:val="left"/>
              <w:rPr/>
            </w:pPr>
            <w:r>
              <w:rPr/>
              <w:t>Policyholder account balances - fixed annuities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2,725,873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3,275,247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79" w:name="xdx_407_ecustom--PolicyholderFundsReceiv"/>
            <w:bookmarkEnd w:id="1979"/>
          </w:p>
        </w:tc>
      </w:tr>
      <w:tr>
        <w:trPr/>
        <w:tc>
          <w:tcPr>
            <w:tcW w:w="4475" w:type="dxa"/>
            <w:tcBorders/>
            <w:shd w:fill="CCEEFF" w:val="clear"/>
            <w:vAlign w:val="center"/>
          </w:tcPr>
          <w:p>
            <w:pPr>
              <w:pStyle w:val="TableContents"/>
              <w:bidi w:val="0"/>
              <w:spacing w:before="0" w:after="283"/>
              <w:jc w:val="left"/>
              <w:rPr/>
            </w:pPr>
            <w:r>
              <w:rPr/>
              <w:t>Total receivable from reinsurers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2,725,873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9" w:type="dxa"/>
            <w:tcBorders>
              <w:bottom w:val="single" w:sz="8" w:space="0" w:color="000000"/>
            </w:tcBorders>
            <w:shd w:fill="CCEEFF" w:val="clear"/>
            <w:tcMar>
              <w:bottom w:w="28" w:type="dxa"/>
            </w:tcMar>
            <w:vAlign w:val="center"/>
          </w:tcPr>
          <w:p>
            <w:pPr>
              <w:pStyle w:val="TableContents"/>
              <w:bidi w:val="0"/>
              <w:spacing w:before="0" w:after="283"/>
              <w:jc w:val="right"/>
              <w:rPr/>
            </w:pPr>
            <w:r>
              <w:rPr/>
              <w:t>3,275,247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80" w:name="xdx_40E_ecustom--PolicyholderFundsNet_iI"/>
            <w:bookmarkEnd w:id="1980"/>
          </w:p>
        </w:tc>
      </w:tr>
      <w:tr>
        <w:trPr/>
        <w:tc>
          <w:tcPr>
            <w:tcW w:w="4475" w:type="dxa"/>
            <w:tcBorders/>
            <w:shd w:fill="CCEEFF" w:val="clear"/>
            <w:vAlign w:val="center"/>
          </w:tcPr>
          <w:p>
            <w:pPr>
              <w:pStyle w:val="TableContents"/>
              <w:bidi w:val="0"/>
              <w:spacing w:before="0" w:after="283"/>
              <w:jc w:val="left"/>
              <w:rPr/>
            </w:pPr>
            <w:r>
              <w:rPr/>
              <w:t>Net policyholder account balances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135,300,559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6" w:space="0" w:color="000000"/>
            </w:tcBorders>
            <w:shd w:fill="CCEEFF" w:val="clear"/>
            <w:tcMar>
              <w:bottom w:w="28" w:type="dxa"/>
            </w:tcMar>
            <w:vAlign w:val="center"/>
          </w:tcPr>
          <w:p>
            <w:pPr>
              <w:pStyle w:val="TableContents"/>
              <w:bidi w:val="0"/>
              <w:spacing w:before="0" w:after="283"/>
              <w:jc w:val="right"/>
              <w:rPr/>
            </w:pPr>
            <w:r>
              <w:rPr/>
              <w:t>137,330,503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81" w:name="xdx_8AE_zHXg0M78oQG6"/>
      <w:bookmarkEnd w:id="19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82" w:name="xdx_89B_eus-gaap--PolicyholderAccountBal"/>
      <w:bookmarkEnd w:id="1982"/>
      <w:r>
        <w:rPr>
          <w:rFonts w:ascii="Times New Roman;Times;Serif" w:hAnsi="Times New Roman;Times;Serif"/>
          <w:b w:val="false"/>
          <w:i w:val="false"/>
          <w:caps w:val="false"/>
          <w:smallCaps w:val="false"/>
          <w:sz w:val="20"/>
        </w:rPr>
        <w:t>The following table summarizes the balances and changes in policyholder account balances for the lines of business indicated:</w:t>
      </w:r>
    </w:p>
    <w:p>
      <w:pPr>
        <w:pStyle w:val="TextBody"/>
        <w:bidi w:val="0"/>
        <w:spacing w:before="0" w:after="0"/>
        <w:ind w:left="0" w:right="0" w:hanging="0"/>
        <w:jc w:val="left"/>
        <w:rPr>
          <w:caps w:val="false"/>
          <w:smallCaps w:val="false"/>
        </w:rPr>
      </w:pPr>
      <w:r>
        <w:rPr>
          <w:caps w:val="false"/>
          <w:smallCaps w:val="false"/>
        </w:rPr>
        <w:t> </w:t>
      </w:r>
      <w:bookmarkStart w:id="1983" w:name="xdx_8B6_zGtO4E0tDVvh"/>
      <w:bookmarkEnd w:id="1983"/>
      <w:r>
        <w:rPr>
          <w:rFonts w:ascii="Times New Roman;Times;Serif" w:hAnsi="Times New Roman;Times;Serif"/>
          <w:b w:val="false"/>
          <w:i w:val="false"/>
          <w:caps w:val="false"/>
          <w:smallCaps w:val="false"/>
          <w:sz w:val="20"/>
        </w:rPr>
        <w:t>Schedule of Balances and Changes in Policyholder Account Balances </w:t>
      </w:r>
    </w:p>
    <w:tbl>
      <w:tblPr>
        <w:tblW w:w="10205" w:type="dxa"/>
        <w:jc w:val="left"/>
        <w:tblInd w:w="0" w:type="dxa"/>
        <w:tblLayout w:type="fixed"/>
        <w:tblCellMar>
          <w:top w:w="0" w:type="dxa"/>
          <w:left w:w="0" w:type="dxa"/>
          <w:bottom w:w="0" w:type="dxa"/>
          <w:right w:w="0" w:type="dxa"/>
        </w:tblCellMar>
      </w:tblPr>
      <w:tblGrid>
        <w:gridCol w:w="3437"/>
        <w:gridCol w:w="60"/>
        <w:gridCol w:w="141"/>
        <w:gridCol w:w="1238"/>
        <w:gridCol w:w="217"/>
        <w:gridCol w:w="60"/>
        <w:gridCol w:w="141"/>
        <w:gridCol w:w="1300"/>
        <w:gridCol w:w="215"/>
        <w:gridCol w:w="60"/>
        <w:gridCol w:w="141"/>
        <w:gridCol w:w="1238"/>
        <w:gridCol w:w="217"/>
        <w:gridCol w:w="60"/>
        <w:gridCol w:w="141"/>
        <w:gridCol w:w="1300"/>
        <w:gridCol w:w="239"/>
      </w:tblGrid>
      <w:tr>
        <w:trPr/>
        <w:tc>
          <w:tcPr>
            <w:tcW w:w="343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984" w:name="xdx_49F_20260101__20260630__srt--Product"/>
            <w:bookmarkEnd w:id="1984"/>
          </w:p>
        </w:tc>
        <w:tc>
          <w:tcPr>
            <w:tcW w:w="12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2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985" w:name="xdx_491_20260101__20260630__srt--Product"/>
            <w:bookmarkEnd w:id="1985"/>
          </w:p>
        </w:tc>
        <w:tc>
          <w:tcPr>
            <w:tcW w:w="13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Fixed Annuities</w:t>
            </w:r>
          </w:p>
        </w:tc>
        <w:tc>
          <w:tcPr>
            <w:tcW w:w="2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986" w:name="xdx_49B_20250101__20250630__srt--Product"/>
            <w:bookmarkEnd w:id="1986"/>
          </w:p>
        </w:tc>
        <w:tc>
          <w:tcPr>
            <w:tcW w:w="12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2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987" w:name="xdx_491_20250101__20250630__srt--Product"/>
            <w:bookmarkEnd w:id="1987"/>
          </w:p>
        </w:tc>
        <w:tc>
          <w:tcPr>
            <w:tcW w:w="13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Fixed Annuities</w:t>
            </w:r>
          </w:p>
        </w:tc>
        <w:tc>
          <w:tcPr>
            <w:tcW w:w="239" w:type="dxa"/>
            <w:tcBorders/>
            <w:shd w:fill="FFFFFF" w:val="clear"/>
            <w:vAlign w:val="center"/>
          </w:tcPr>
          <w:p>
            <w:pPr>
              <w:pStyle w:val="TableContents"/>
              <w:bidi w:val="0"/>
              <w:spacing w:before="0" w:after="283"/>
              <w:jc w:val="center"/>
              <w:rPr/>
            </w:pPr>
            <w:r>
              <w:rPr/>
              <w:t> </w:t>
            </w:r>
          </w:p>
        </w:tc>
      </w:tr>
      <w:tr>
        <w:trPr/>
        <w:tc>
          <w:tcPr>
            <w:tcW w:w="34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97"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97"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 2025</w:t>
            </w:r>
          </w:p>
        </w:tc>
        <w:tc>
          <w:tcPr>
            <w:tcW w:w="239" w:type="dxa"/>
            <w:tcBorders/>
            <w:vAlign w:val="center"/>
          </w:tcPr>
          <w:p>
            <w:pPr>
              <w:pStyle w:val="TableContents"/>
              <w:bidi w:val="0"/>
              <w:spacing w:before="0" w:after="283"/>
              <w:jc w:val="center"/>
              <w:rPr/>
            </w:pPr>
            <w:r>
              <w:rPr/>
              <w:t> </w:t>
            </w:r>
          </w:p>
        </w:tc>
      </w:tr>
      <w:tr>
        <w:trPr/>
        <w:tc>
          <w:tcPr>
            <w:tcW w:w="343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2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Fixed Annuities</w:t>
            </w:r>
          </w:p>
        </w:tc>
        <w:tc>
          <w:tcPr>
            <w:tcW w:w="2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Universal Life</w:t>
            </w:r>
          </w:p>
        </w:tc>
        <w:tc>
          <w:tcPr>
            <w:tcW w:w="2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Fixed Annuities</w:t>
            </w:r>
          </w:p>
        </w:tc>
        <w:tc>
          <w:tcPr>
            <w:tcW w:w="239" w:type="dxa"/>
            <w:tcBorders/>
            <w:shd w:fill="FFFFFF" w:val="clear"/>
            <w:vAlign w:val="center"/>
          </w:tcPr>
          <w:p>
            <w:pPr>
              <w:pStyle w:val="TableContents"/>
              <w:bidi w:val="0"/>
              <w:spacing w:before="0" w:after="283"/>
              <w:jc w:val="center"/>
              <w:rPr/>
            </w:pPr>
            <w:r>
              <w:rPr/>
              <w:t> </w:t>
            </w:r>
            <w:bookmarkStart w:id="1988" w:name="xdx_400_eus-gaap--PolicyholderFunds_iS_z"/>
            <w:bookmarkEnd w:id="1988"/>
          </w:p>
        </w:tc>
      </w:tr>
      <w:tr>
        <w:trPr/>
        <w:tc>
          <w:tcPr>
            <w:tcW w:w="3437"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35,825,494</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104,233,454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37,091,230</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105,088,621</w:t>
            </w:r>
          </w:p>
        </w:tc>
        <w:tc>
          <w:tcPr>
            <w:tcW w:w="239" w:type="dxa"/>
            <w:tcBorders/>
            <w:shd w:fill="CCEEFF" w:val="clear"/>
            <w:vAlign w:val="center"/>
          </w:tcPr>
          <w:p>
            <w:pPr>
              <w:pStyle w:val="TableContents"/>
              <w:bidi w:val="0"/>
              <w:spacing w:before="0" w:after="283"/>
              <w:jc w:val="left"/>
              <w:rPr/>
            </w:pPr>
            <w:r>
              <w:rPr/>
              <w:t> </w:t>
            </w:r>
            <w:bookmarkStart w:id="1989" w:name="xdx_402_eus-gaap--PolicyholderAccountBal"/>
            <w:bookmarkEnd w:id="1989"/>
          </w:p>
        </w:tc>
      </w:tr>
      <w:tr>
        <w:trPr/>
        <w:tc>
          <w:tcPr>
            <w:tcW w:w="3437"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656,762</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4,517,967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684,549</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5,546,355</w:t>
            </w:r>
          </w:p>
        </w:tc>
        <w:tc>
          <w:tcPr>
            <w:tcW w:w="239" w:type="dxa"/>
            <w:tcBorders/>
            <w:shd w:fill="FFFFFF" w:val="clear"/>
            <w:vAlign w:val="center"/>
          </w:tcPr>
          <w:p>
            <w:pPr>
              <w:pStyle w:val="TableContents"/>
              <w:bidi w:val="0"/>
              <w:spacing w:before="0" w:after="283"/>
              <w:jc w:val="left"/>
              <w:rPr/>
            </w:pPr>
            <w:r>
              <w:rPr/>
              <w:t> </w:t>
            </w:r>
            <w:bookmarkStart w:id="1990" w:name="xdx_403_eus-gaap--InterestCreditedToPoli"/>
            <w:bookmarkEnd w:id="1990"/>
          </w:p>
        </w:tc>
      </w:tr>
      <w:tr>
        <w:trPr/>
        <w:tc>
          <w:tcPr>
            <w:tcW w:w="3437" w:type="dxa"/>
            <w:tcBorders/>
            <w:shd w:fill="CCEEFF" w:val="clear"/>
            <w:vAlign w:val="center"/>
          </w:tcPr>
          <w:p>
            <w:pPr>
              <w:pStyle w:val="TableContents"/>
              <w:bidi w:val="0"/>
              <w:spacing w:before="0" w:after="283"/>
              <w:jc w:val="left"/>
              <w:rPr/>
            </w:pPr>
            <w:r>
              <w:rPr/>
              <w:t>Interest credited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891,634</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1,518,387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836,413</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1,531,110</w:t>
            </w:r>
          </w:p>
        </w:tc>
        <w:tc>
          <w:tcPr>
            <w:tcW w:w="239" w:type="dxa"/>
            <w:tcBorders/>
            <w:shd w:fill="CCEEFF" w:val="clear"/>
            <w:vAlign w:val="center"/>
          </w:tcPr>
          <w:p>
            <w:pPr>
              <w:pStyle w:val="TableContents"/>
              <w:bidi w:val="0"/>
              <w:spacing w:before="0" w:after="283"/>
              <w:jc w:val="left"/>
              <w:rPr/>
            </w:pPr>
            <w:r>
              <w:rPr/>
              <w:t> </w:t>
            </w:r>
            <w:bookmarkStart w:id="1991" w:name="xdx_40F_eus-gaap--PolicyholderAccountBal"/>
            <w:bookmarkEnd w:id="1991"/>
          </w:p>
        </w:tc>
      </w:tr>
      <w:tr>
        <w:trPr/>
        <w:tc>
          <w:tcPr>
            <w:tcW w:w="3437" w:type="dxa"/>
            <w:tcBorders/>
            <w:shd w:fill="FFFFFF" w:val="clear"/>
            <w:vAlign w:val="center"/>
          </w:tcPr>
          <w:p>
            <w:pPr>
              <w:pStyle w:val="TableContents"/>
              <w:bidi w:val="0"/>
              <w:spacing w:before="0" w:after="283"/>
              <w:jc w:val="left"/>
              <w:rPr/>
            </w:pPr>
            <w:r>
              <w:rPr/>
              <w:t xml:space="preserve">Policy charges </w:t>
            </w:r>
            <w:bookmarkStart w:id="1992" w:name="xdx_F47_zviRxkbRkQM"/>
            <w:bookmarkEnd w:id="1992"/>
            <w:r>
              <w:rPr/>
              <w:t>(1)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(1,181,073</w:t>
            </w:r>
          </w:p>
        </w:tc>
        <w:tc>
          <w:tcPr>
            <w:tcW w:w="21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(7,700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(1,140,891</w:t>
            </w:r>
          </w:p>
        </w:tc>
        <w:tc>
          <w:tcPr>
            <w:tcW w:w="21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(3,868</w:t>
            </w:r>
          </w:p>
        </w:tc>
        <w:tc>
          <w:tcPr>
            <w:tcW w:w="239" w:type="dxa"/>
            <w:tcBorders/>
            <w:shd w:fill="FFFFFF" w:val="clear"/>
            <w:vAlign w:val="center"/>
          </w:tcPr>
          <w:p>
            <w:pPr>
              <w:pStyle w:val="TableContents"/>
              <w:bidi w:val="0"/>
              <w:spacing w:before="0" w:after="283"/>
              <w:jc w:val="left"/>
              <w:rPr/>
            </w:pPr>
            <w:r>
              <w:rPr/>
              <w:t>)</w:t>
            </w:r>
            <w:bookmarkStart w:id="1993" w:name="xdx_401_eus-gaap--PolicyholderAccountBal"/>
            <w:bookmarkEnd w:id="1993"/>
          </w:p>
        </w:tc>
      </w:tr>
      <w:tr>
        <w:trPr/>
        <w:tc>
          <w:tcPr>
            <w:tcW w:w="3437" w:type="dxa"/>
            <w:tcBorders/>
            <w:shd w:fill="CCEEFF" w:val="clear"/>
            <w:vAlign w:val="center"/>
          </w:tcPr>
          <w:p>
            <w:pPr>
              <w:pStyle w:val="TableContents"/>
              <w:bidi w:val="0"/>
              <w:spacing w:before="0" w:after="283"/>
              <w:jc w:val="left"/>
              <w:rPr/>
            </w:pPr>
            <w:r>
              <w:rPr/>
              <w:t>Surrenders, withdrawals and benefit payments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(1,202,313</w:t>
            </w:r>
          </w:p>
        </w:tc>
        <w:tc>
          <w:tcPr>
            <w:tcW w:w="21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(7,732,762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(1,095,280</w:t>
            </w:r>
          </w:p>
        </w:tc>
        <w:tc>
          <w:tcPr>
            <w:tcW w:w="21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(7,326,469</w:t>
            </w:r>
          </w:p>
        </w:tc>
        <w:tc>
          <w:tcPr>
            <w:tcW w:w="239" w:type="dxa"/>
            <w:tcBorders/>
            <w:shd w:fill="CCEEFF" w:val="clear"/>
            <w:vAlign w:val="center"/>
          </w:tcPr>
          <w:p>
            <w:pPr>
              <w:pStyle w:val="TableContents"/>
              <w:bidi w:val="0"/>
              <w:spacing w:before="0" w:after="283"/>
              <w:jc w:val="left"/>
              <w:rPr/>
            </w:pPr>
            <w:r>
              <w:rPr/>
              <w:t>)</w:t>
            </w:r>
            <w:bookmarkStart w:id="1994" w:name="xdx_406_eus-gaap--PolicyholderFunds_iE_z"/>
            <w:bookmarkEnd w:id="1994"/>
          </w:p>
        </w:tc>
      </w:tr>
      <w:tr>
        <w:trPr/>
        <w:tc>
          <w:tcPr>
            <w:tcW w:w="3437"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34,990,504</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102,529,346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36,376,021</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104,835,749</w:t>
            </w:r>
          </w:p>
        </w:tc>
        <w:tc>
          <w:tcPr>
            <w:tcW w:w="239" w:type="dxa"/>
            <w:tcBorders/>
            <w:shd w:fill="FFFFFF" w:val="clear"/>
            <w:vAlign w:val="center"/>
          </w:tcPr>
          <w:p>
            <w:pPr>
              <w:pStyle w:val="TableContents"/>
              <w:bidi w:val="0"/>
              <w:spacing w:before="0" w:after="283"/>
              <w:jc w:val="left"/>
              <w:rPr/>
            </w:pPr>
            <w:r>
              <w:rPr/>
              <w:t> </w:t>
            </w:r>
            <w:bookmarkStart w:id="1995" w:name="xdx_402_ecustom--PolicyholderFundsReceiv"/>
            <w:bookmarkEnd w:id="1995"/>
          </w:p>
        </w:tc>
      </w:tr>
      <w:tr>
        <w:trPr/>
        <w:tc>
          <w:tcPr>
            <w:tcW w:w="3437" w:type="dxa"/>
            <w:tcBorders/>
            <w:shd w:fill="CCEEFF" w:val="clear"/>
            <w:vAlign w:val="center"/>
          </w:tcPr>
          <w:p>
            <w:pPr>
              <w:pStyle w:val="TableContents"/>
              <w:bidi w:val="0"/>
              <w:spacing w:before="0" w:after="283"/>
              <w:jc w:val="left"/>
              <w:rPr/>
            </w:pPr>
            <w:r>
              <w:rPr/>
              <w:t>Less: Receivable from reinsurers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2,725,873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3,473,439</w:t>
            </w:r>
          </w:p>
        </w:tc>
        <w:tc>
          <w:tcPr>
            <w:tcW w:w="239" w:type="dxa"/>
            <w:tcBorders/>
            <w:shd w:fill="CCEEFF" w:val="clear"/>
            <w:vAlign w:val="center"/>
          </w:tcPr>
          <w:p>
            <w:pPr>
              <w:pStyle w:val="TableContents"/>
              <w:bidi w:val="0"/>
              <w:spacing w:before="0" w:after="283"/>
              <w:jc w:val="left"/>
              <w:rPr/>
            </w:pPr>
            <w:r>
              <w:rPr/>
              <w:t> </w:t>
            </w:r>
            <w:bookmarkStart w:id="1996" w:name="xdx_40A_ecustom--PolicyholderFundsNetOfR"/>
            <w:bookmarkEnd w:id="1996"/>
          </w:p>
        </w:tc>
      </w:tr>
      <w:tr>
        <w:trPr/>
        <w:tc>
          <w:tcPr>
            <w:tcW w:w="3437" w:type="dxa"/>
            <w:tcBorders/>
            <w:shd w:fill="FFFFFF" w:val="clear"/>
            <w:vAlign w:val="center"/>
          </w:tcPr>
          <w:p>
            <w:pPr>
              <w:pStyle w:val="TableContents"/>
              <w:bidi w:val="0"/>
              <w:spacing w:before="0" w:after="283"/>
              <w:jc w:val="left"/>
              <w:rPr/>
            </w:pPr>
            <w:r>
              <w:rPr/>
              <w:t>Policyholder account balances, net of reinsurance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34,990,504</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99,803,473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36,376,021</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101,362,310</w:t>
            </w:r>
          </w:p>
        </w:tc>
        <w:tc>
          <w:tcPr>
            <w:tcW w:w="239" w:type="dxa"/>
            <w:tcBorders/>
            <w:shd w:fill="FFFFFF" w:val="clear"/>
            <w:vAlign w:val="center"/>
          </w:tcPr>
          <w:p>
            <w:pPr>
              <w:pStyle w:val="TableContents"/>
              <w:bidi w:val="0"/>
              <w:spacing w:before="0" w:after="283"/>
              <w:jc w:val="left"/>
              <w:rPr/>
            </w:pPr>
            <w:r>
              <w:rPr/>
              <w:t> </w:t>
            </w:r>
          </w:p>
        </w:tc>
      </w:tr>
      <w:tr>
        <w:trPr/>
        <w:tc>
          <w:tcPr>
            <w:tcW w:w="34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left"/>
              <w:rPr/>
            </w:pPr>
            <w:r>
              <w:rPr/>
              <w:t> </w:t>
            </w:r>
          </w:p>
        </w:tc>
      </w:tr>
      <w:tr>
        <w:trPr/>
        <w:tc>
          <w:tcPr>
            <w:tcW w:w="3437" w:type="dxa"/>
            <w:tcBorders/>
            <w:shd w:fill="FFFFFF" w:val="clear"/>
            <w:vAlign w:val="center"/>
          </w:tcPr>
          <w:p>
            <w:pPr>
              <w:pStyle w:val="TableContents"/>
              <w:bidi w:val="0"/>
              <w:spacing w:before="0" w:after="283"/>
              <w:jc w:val="left"/>
              <w:rPr/>
            </w:pPr>
            <w:r>
              <w:rPr/>
              <w:t>Weighted-average crediting rate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bookmarkStart w:id="1997" w:name="xdx_900_eus-gaap--PolicyholderAccountBal"/>
            <w:bookmarkEnd w:id="1997"/>
            <w:r>
              <w:rPr/>
              <w:t>4.16</w:t>
            </w:r>
          </w:p>
        </w:tc>
        <w:tc>
          <w:tcPr>
            <w:tcW w:w="21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1998" w:name="xdx_90A_eus-gaap--PolicyholderAccountBal"/>
            <w:bookmarkEnd w:id="1998"/>
            <w:r>
              <w:rPr/>
              <w:t>3.03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bookmarkStart w:id="1999" w:name="xdx_90B_eus-gaap--PolicyholderAccountBal"/>
            <w:bookmarkEnd w:id="1999"/>
            <w:r>
              <w:rPr/>
              <w:t>4.16</w:t>
            </w:r>
          </w:p>
        </w:tc>
        <w:tc>
          <w:tcPr>
            <w:tcW w:w="21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2000" w:name="xdx_90F_eus-gaap--PolicyholderAccountBal"/>
            <w:bookmarkEnd w:id="2000"/>
            <w:r>
              <w:rPr/>
              <w:t>3.03</w:t>
            </w:r>
          </w:p>
        </w:tc>
        <w:tc>
          <w:tcPr>
            <w:tcW w:w="239" w:type="dxa"/>
            <w:tcBorders/>
            <w:shd w:fill="FFFFFF" w:val="clear"/>
            <w:vAlign w:val="center"/>
          </w:tcPr>
          <w:p>
            <w:pPr>
              <w:pStyle w:val="TableContents"/>
              <w:bidi w:val="0"/>
              <w:spacing w:before="0" w:after="283"/>
              <w:jc w:val="left"/>
              <w:rPr/>
            </w:pPr>
            <w:r>
              <w:rPr/>
              <w:t>%</w:t>
            </w:r>
          </w:p>
        </w:tc>
      </w:tr>
      <w:tr>
        <w:trPr/>
        <w:tc>
          <w:tcPr>
            <w:tcW w:w="3437" w:type="dxa"/>
            <w:tcBorders/>
            <w:shd w:fill="CCEEFF" w:val="clear"/>
            <w:vAlign w:val="center"/>
          </w:tcPr>
          <w:p>
            <w:pPr>
              <w:pStyle w:val="TableContents"/>
              <w:bidi w:val="0"/>
              <w:spacing w:before="0" w:after="283"/>
              <w:jc w:val="left"/>
              <w:rPr/>
            </w:pPr>
            <w:r>
              <w:rPr/>
              <w:t>Net amount at risk (2)</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bookmarkStart w:id="2001" w:name="xdx_901_eus-gaap--PolicyholderAccountBal"/>
            <w:bookmarkEnd w:id="2001"/>
            <w:r>
              <w:rPr/>
              <w:t>128,734,920</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bookmarkStart w:id="2002" w:name="xdx_907_eus-gaap--PolicyholderAccountBal"/>
            <w:bookmarkEnd w:id="2002"/>
            <w:r>
              <w:rPr/>
              <w:t>135,397,796</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239" w:type="dxa"/>
            <w:tcBorders/>
            <w:shd w:fill="CCEEFF" w:val="clear"/>
            <w:vAlign w:val="center"/>
          </w:tcPr>
          <w:p>
            <w:pPr>
              <w:pStyle w:val="TableContents"/>
              <w:bidi w:val="0"/>
              <w:spacing w:before="0" w:after="283"/>
              <w:jc w:val="left"/>
              <w:rPr/>
            </w:pPr>
            <w:r>
              <w:rPr/>
              <w:t> </w:t>
            </w:r>
          </w:p>
        </w:tc>
      </w:tr>
      <w:tr>
        <w:trPr/>
        <w:tc>
          <w:tcPr>
            <w:tcW w:w="3437" w:type="dxa"/>
            <w:tcBorders/>
            <w:shd w:fill="FFFFFF" w:val="clear"/>
            <w:vAlign w:val="center"/>
          </w:tcPr>
          <w:p>
            <w:pPr>
              <w:pStyle w:val="TableContents"/>
              <w:bidi w:val="0"/>
              <w:spacing w:before="0" w:after="283"/>
              <w:jc w:val="left"/>
              <w:rPr/>
            </w:pPr>
            <w:r>
              <w:rPr/>
              <w:t>Cash surrender value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bookmarkStart w:id="2003" w:name="xdx_90B_eus-gaap--CashSurrenderValueDueP"/>
            <w:bookmarkEnd w:id="2003"/>
            <w:r>
              <w:rPr/>
              <w:t>34,990,504</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2004" w:name="xdx_905_eus-gaap--CashSurrenderValueDueP"/>
            <w:bookmarkEnd w:id="2004"/>
            <w:r>
              <w:rPr/>
              <w:t>102,046,772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bookmarkStart w:id="2005" w:name="xdx_90D_eus-gaap--CashSurrenderValueDueP"/>
            <w:bookmarkEnd w:id="2005"/>
            <w:r>
              <w:rPr/>
              <w:t>36,376,021</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2006" w:name="xdx_907_eus-gaap--CashSurrenderValueDueP"/>
            <w:bookmarkEnd w:id="2006"/>
            <w:r>
              <w:rPr/>
              <w:t>104,473,330</w:t>
            </w:r>
          </w:p>
        </w:tc>
        <w:tc>
          <w:tcPr>
            <w:tcW w:w="23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right"/>
              <w:rPr/>
            </w:pPr>
            <w:bookmarkStart w:id="2007" w:name="xdx_F0D_ztgRfpLACPG1"/>
            <w:bookmarkEnd w:id="2007"/>
            <w:r>
              <w:rPr/>
              <w:t>(1)</w:t>
            </w:r>
            <w:bookmarkStart w:id="2008" w:name="xdx_F19_zk1ENtmpEpD2"/>
            <w:bookmarkEnd w:id="2008"/>
          </w:p>
        </w:tc>
        <w:tc>
          <w:tcPr>
            <w:tcW w:w="9946" w:type="dxa"/>
            <w:tcBorders/>
            <w:vAlign w:val="center"/>
          </w:tcPr>
          <w:p>
            <w:pPr>
              <w:pStyle w:val="TableContents"/>
              <w:bidi w:val="0"/>
              <w:spacing w:before="0" w:after="283"/>
              <w:jc w:val="both"/>
              <w:rPr/>
            </w:pPr>
            <w:r>
              <w:rPr/>
              <w:t>Contracts included in the policyholder account balances are generally charged a premium and/or monthly assessments on the basis of the account balance. Included in premiums and other considerations on the consolidated statements of earnings.</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right"/>
              <w:rPr/>
            </w:pPr>
            <w:bookmarkStart w:id="2009" w:name="xdx_F04_zzfyNQTQPrai"/>
            <w:bookmarkEnd w:id="2009"/>
            <w:r>
              <w:rPr/>
              <w:t>(2)</w:t>
            </w:r>
            <w:bookmarkStart w:id="2010" w:name="xdx_F1D_zEO8A5Vys9X1"/>
            <w:bookmarkEnd w:id="2010"/>
          </w:p>
        </w:tc>
        <w:tc>
          <w:tcPr>
            <w:tcW w:w="9943" w:type="dxa"/>
            <w:tcBorders/>
            <w:vAlign w:val="center"/>
          </w:tcPr>
          <w:p>
            <w:pPr>
              <w:pStyle w:val="TableContents"/>
              <w:bidi w:val="0"/>
              <w:spacing w:before="0" w:after="283"/>
              <w:jc w:val="both"/>
              <w:rPr/>
            </w:pPr>
            <w:r>
              <w:rPr/>
              <w:t>For those guarantees of benefits that are payable in the event of death, the net amount at risk is generally defined as the current guaranteed minimum death benefit in excess of the current account balance at the balance sheet date</w:t>
            </w:r>
          </w:p>
        </w:tc>
      </w:tr>
    </w:tbl>
    <w:p>
      <w:pPr>
        <w:pStyle w:val="TextBody"/>
        <w:bidi w:val="0"/>
        <w:spacing w:before="0" w:after="0"/>
        <w:ind w:left="0" w:right="0" w:hanging="0"/>
        <w:jc w:val="left"/>
        <w:rPr>
          <w:caps w:val="false"/>
          <w:smallCaps w:val="false"/>
        </w:rPr>
      </w:pPr>
      <w:bookmarkStart w:id="2011" w:name="xdx_8A1_zFD7VCAg7xj"/>
      <w:bookmarkEnd w:id="201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Policyholder Account Balances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12" w:name="xdx_895_ecustom--ScheduleOfBalancesOfAnd"/>
      <w:bookmarkEnd w:id="2012"/>
      <w:r>
        <w:rPr>
          <w:rFonts w:ascii="Times New Roman;Times;Serif" w:hAnsi="Times New Roman;Times;Serif"/>
          <w:b w:val="false"/>
          <w:i w:val="false"/>
          <w:caps w:val="false"/>
          <w:smallCaps w:val="false"/>
          <w:sz w:val="20"/>
        </w:rPr>
        <w:t>The following table summarizes the balances of and changes in deferred profit liability for fixed annuities:</w:t>
      </w:r>
    </w:p>
    <w:p>
      <w:pPr>
        <w:pStyle w:val="TextBody"/>
        <w:bidi w:val="0"/>
        <w:spacing w:before="0" w:after="0"/>
        <w:ind w:left="0" w:right="0" w:hanging="0"/>
        <w:jc w:val="left"/>
        <w:rPr>
          <w:caps w:val="false"/>
          <w:smallCaps w:val="false"/>
        </w:rPr>
      </w:pPr>
      <w:r>
        <w:rPr>
          <w:caps w:val="false"/>
          <w:smallCaps w:val="false"/>
        </w:rPr>
        <w:t> </w:t>
      </w:r>
      <w:bookmarkStart w:id="2013" w:name="xdx_8B3_zPSAjLJ9IBXg"/>
      <w:bookmarkEnd w:id="2013"/>
      <w:r>
        <w:rPr>
          <w:rFonts w:ascii="Times New Roman;Times;Serif" w:hAnsi="Times New Roman;Times;Serif"/>
          <w:b w:val="false"/>
          <w:i w:val="false"/>
          <w:caps w:val="false"/>
          <w:smallCaps w:val="false"/>
          <w:sz w:val="20"/>
        </w:rPr>
        <w:t>Schedule of Balances of and Changes in Deferred Profit Liability for Fixed Annuities </w:t>
      </w:r>
    </w:p>
    <w:tbl>
      <w:tblPr>
        <w:tblW w:w="7720" w:type="dxa"/>
        <w:jc w:val="left"/>
        <w:tblInd w:w="0" w:type="dxa"/>
        <w:tblLayout w:type="fixed"/>
        <w:tblCellMar>
          <w:top w:w="0" w:type="dxa"/>
          <w:left w:w="0" w:type="dxa"/>
          <w:bottom w:w="0" w:type="dxa"/>
          <w:right w:w="0" w:type="dxa"/>
        </w:tblCellMar>
      </w:tblPr>
      <w:tblGrid>
        <w:gridCol w:w="4910"/>
        <w:gridCol w:w="60"/>
        <w:gridCol w:w="181"/>
        <w:gridCol w:w="1039"/>
        <w:gridCol w:w="123"/>
        <w:gridCol w:w="77"/>
        <w:gridCol w:w="181"/>
        <w:gridCol w:w="1039"/>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4" w:name="xdx_497_20260101__20260630__srt--Product"/>
            <w:bookmarkEnd w:id="2014"/>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2015" w:name="xdx_49B_20250101__20250630__srt--Product"/>
            <w:bookmarkEnd w:id="2015"/>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bookmarkStart w:id="2016" w:name="xdx_40F_eus-gaap--PolicyholderContractDe"/>
            <w:bookmarkEnd w:id="2016"/>
          </w:p>
        </w:tc>
      </w:tr>
      <w:tr>
        <w:trPr/>
        <w:tc>
          <w:tcPr>
            <w:tcW w:w="491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546,802</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627,465</w:t>
            </w:r>
          </w:p>
        </w:tc>
        <w:tc>
          <w:tcPr>
            <w:tcW w:w="110" w:type="dxa"/>
            <w:tcBorders/>
            <w:shd w:fill="CCEEFF" w:val="clear"/>
            <w:vAlign w:val="center"/>
          </w:tcPr>
          <w:p>
            <w:pPr>
              <w:pStyle w:val="TableContents"/>
              <w:bidi w:val="0"/>
              <w:spacing w:before="0" w:after="283"/>
              <w:jc w:val="left"/>
              <w:rPr/>
            </w:pPr>
            <w:r>
              <w:rPr/>
              <w:t> </w:t>
            </w:r>
            <w:bookmarkStart w:id="2017" w:name="xdx_404_eus-gaap--LiabilityForFuturePoli"/>
            <w:bookmarkEnd w:id="2017"/>
          </w:p>
        </w:tc>
      </w:tr>
      <w:tr>
        <w:trPr/>
        <w:tc>
          <w:tcPr>
            <w:tcW w:w="4910" w:type="dxa"/>
            <w:tcBorders/>
            <w:shd w:fill="FFFFFF" w:val="clear"/>
            <w:vAlign w:val="center"/>
          </w:tcPr>
          <w:p>
            <w:pPr>
              <w:pStyle w:val="TableContents"/>
              <w:bidi w:val="0"/>
              <w:spacing w:before="0" w:after="283"/>
              <w:jc w:val="left"/>
              <w:rPr/>
            </w:pPr>
            <w:r>
              <w:rPr/>
              <w:t>Effect of actual variances from expected experience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18" w:name="xdx_405_eus-gaap--PolicyholderContractDe"/>
            <w:bookmarkEnd w:id="2018"/>
          </w:p>
        </w:tc>
      </w:tr>
      <w:tr>
        <w:trPr/>
        <w:tc>
          <w:tcPr>
            <w:tcW w:w="4910" w:type="dxa"/>
            <w:tcBorders/>
            <w:shd w:fill="CCEEFF" w:val="clear"/>
            <w:vAlign w:val="center"/>
          </w:tcPr>
          <w:p>
            <w:pPr>
              <w:pStyle w:val="TableContents"/>
              <w:bidi w:val="0"/>
              <w:spacing w:before="0" w:after="283"/>
              <w:jc w:val="left"/>
              <w:rPr/>
            </w:pPr>
            <w:r>
              <w:rPr/>
              <w:t>Adjusted balance, beginning of period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546,802</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627,465</w:t>
            </w:r>
          </w:p>
        </w:tc>
        <w:tc>
          <w:tcPr>
            <w:tcW w:w="110" w:type="dxa"/>
            <w:tcBorders/>
            <w:shd w:fill="CCEEFF" w:val="clear"/>
            <w:vAlign w:val="center"/>
          </w:tcPr>
          <w:p>
            <w:pPr>
              <w:pStyle w:val="TableContents"/>
              <w:bidi w:val="0"/>
              <w:spacing w:before="0" w:after="283"/>
              <w:jc w:val="left"/>
              <w:rPr/>
            </w:pPr>
            <w:r>
              <w:rPr/>
              <w:t> </w:t>
            </w:r>
            <w:bookmarkStart w:id="2019" w:name="xdx_40E_ecustom--Policyholderfundsdeferr"/>
            <w:bookmarkEnd w:id="2019"/>
          </w:p>
        </w:tc>
      </w:tr>
      <w:tr>
        <w:trPr/>
        <w:tc>
          <w:tcPr>
            <w:tcW w:w="4910" w:type="dxa"/>
            <w:tcBorders/>
            <w:shd w:fill="FFFFFF" w:val="clear"/>
            <w:vAlign w:val="center"/>
          </w:tcPr>
          <w:p>
            <w:pPr>
              <w:pStyle w:val="TableContents"/>
              <w:bidi w:val="0"/>
              <w:spacing w:before="0" w:after="283"/>
              <w:jc w:val="left"/>
              <w:rPr/>
            </w:pPr>
            <w:r>
              <w:rPr/>
              <w:t>Profits deferred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20" w:name="xdx_409_ecustom--Policyholderfundsdeferr"/>
            <w:bookmarkEnd w:id="2020"/>
          </w:p>
        </w:tc>
      </w:tr>
      <w:tr>
        <w:trPr/>
        <w:tc>
          <w:tcPr>
            <w:tcW w:w="4910" w:type="dxa"/>
            <w:tcBorders/>
            <w:shd w:fill="CCEEFF" w:val="clear"/>
            <w:vAlign w:val="center"/>
          </w:tcPr>
          <w:p>
            <w:pPr>
              <w:pStyle w:val="TableContents"/>
              <w:bidi w:val="0"/>
              <w:spacing w:before="0" w:after="283"/>
              <w:jc w:val="left"/>
              <w:rPr/>
            </w:pPr>
            <w:r>
              <w:rPr/>
              <w:t>Interest accrual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21" w:name="xdx_40A_ecustom--Policyholderfundsdeferr"/>
            <w:bookmarkEnd w:id="2021"/>
          </w:p>
        </w:tc>
      </w:tr>
      <w:tr>
        <w:trPr/>
        <w:tc>
          <w:tcPr>
            <w:tcW w:w="4910"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(40,220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(41,149</w:t>
            </w:r>
          </w:p>
        </w:tc>
        <w:tc>
          <w:tcPr>
            <w:tcW w:w="110" w:type="dxa"/>
            <w:tcBorders/>
            <w:shd w:fill="FFFFFF" w:val="clear"/>
            <w:vAlign w:val="center"/>
          </w:tcPr>
          <w:p>
            <w:pPr>
              <w:pStyle w:val="TableContents"/>
              <w:bidi w:val="0"/>
              <w:spacing w:before="0" w:after="283"/>
              <w:jc w:val="left"/>
              <w:rPr/>
            </w:pPr>
            <w:r>
              <w:rPr/>
              <w:t>)</w:t>
            </w:r>
            <w:bookmarkStart w:id="2022" w:name="xdx_400_ecustom--Policyholderfundsdeferr"/>
            <w:bookmarkEnd w:id="2022"/>
          </w:p>
        </w:tc>
      </w:tr>
      <w:tr>
        <w:trPr/>
        <w:tc>
          <w:tcPr>
            <w:tcW w:w="491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23" w:name="xdx_406_eus-gaap--PolicyholderContractDe"/>
            <w:bookmarkEnd w:id="2023"/>
          </w:p>
        </w:tc>
      </w:tr>
      <w:tr>
        <w:trPr/>
        <w:tc>
          <w:tcPr>
            <w:tcW w:w="491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506,582</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586,316</w:t>
            </w:r>
          </w:p>
        </w:tc>
        <w:tc>
          <w:tcPr>
            <w:tcW w:w="110" w:type="dxa"/>
            <w:tcBorders/>
            <w:shd w:fill="FFFFFF" w:val="clear"/>
            <w:vAlign w:val="center"/>
          </w:tcPr>
          <w:p>
            <w:pPr>
              <w:pStyle w:val="TableContents"/>
              <w:bidi w:val="0"/>
              <w:spacing w:before="0" w:after="283"/>
              <w:jc w:val="left"/>
              <w:rPr/>
            </w:pPr>
            <w:r>
              <w:rPr/>
              <w:t> </w:t>
            </w:r>
            <w:bookmarkStart w:id="2024" w:name="xdx_40C_ecustom--PolicyholderfundsReinsu"/>
            <w:bookmarkEnd w:id="2024"/>
          </w:p>
        </w:tc>
      </w:tr>
      <w:tr>
        <w:trPr/>
        <w:tc>
          <w:tcPr>
            <w:tcW w:w="4910" w:type="dxa"/>
            <w:tcBorders/>
            <w:shd w:fill="CCEEFF" w:val="clear"/>
            <w:vAlign w:val="center"/>
          </w:tcPr>
          <w:p>
            <w:pPr>
              <w:pStyle w:val="TableContents"/>
              <w:bidi w:val="0"/>
              <w:spacing w:before="0" w:after="283"/>
              <w:jc w:val="left"/>
              <w:rPr/>
            </w:pPr>
            <w:r>
              <w:rPr/>
              <w:t>Less: Receivable from reinsurers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25" w:name="xdx_405_ecustom--PolicyholderfundsAfterR"/>
            <w:bookmarkEnd w:id="2025"/>
          </w:p>
        </w:tc>
      </w:tr>
      <w:tr>
        <w:trPr/>
        <w:tc>
          <w:tcPr>
            <w:tcW w:w="4910" w:type="dxa"/>
            <w:tcBorders/>
            <w:shd w:fill="FFFFFF" w:val="clear"/>
            <w:vAlign w:val="center"/>
          </w:tcPr>
          <w:p>
            <w:pPr>
              <w:pStyle w:val="TableContents"/>
              <w:bidi w:val="0"/>
              <w:spacing w:before="0" w:after="283"/>
              <w:jc w:val="left"/>
              <w:rPr/>
            </w:pPr>
            <w:r>
              <w:rPr/>
              <w:t>Deferred profit liability, net of reinsurance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506,582</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586,316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26" w:name="xdx_8A9_zXvxaNSUZ5Jb"/>
      <w:bookmarkEnd w:id="20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27" w:name="xdx_898_eus-gaap--PolicyholderAccountBal"/>
      <w:bookmarkEnd w:id="2027"/>
      <w:r>
        <w:rPr>
          <w:rFonts w:ascii="Times New Roman;Times;Serif" w:hAnsi="Times New Roman;Times;Serif"/>
          <w:b w:val="false"/>
          <w:i w:val="false"/>
          <w:caps w:val="false"/>
          <w:smallCaps w:val="false"/>
          <w:sz w:val="20"/>
        </w:rPr>
        <w:t>The balance of account values by range of guaranteed minimum crediting rates and the related range of difference, in basis points, between rates being credited to policyholders and the respective guaranteed minimums for the lines of business indicated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28" w:name="xdx_8BE_zVGxgTvAwNu9"/>
      <w:bookmarkEnd w:id="2028"/>
      <w:r>
        <w:rPr>
          <w:rFonts w:ascii="Times New Roman;Times;Serif" w:hAnsi="Times New Roman;Times;Serif"/>
          <w:b w:val="false"/>
          <w:i w:val="false"/>
          <w:caps w:val="false"/>
          <w:smallCaps w:val="false"/>
          <w:sz w:val="20"/>
        </w:rPr>
        <w:t>Schedule of Account Values by Range of Guaranteed Minimum Crediting Rates and the Related Range of Difference </w:t>
      </w:r>
    </w:p>
    <w:tbl>
      <w:tblPr>
        <w:tblW w:w="10205" w:type="dxa"/>
        <w:jc w:val="left"/>
        <w:tblInd w:w="0" w:type="dxa"/>
        <w:tblLayout w:type="fixed"/>
        <w:tblCellMar>
          <w:top w:w="0" w:type="dxa"/>
          <w:left w:w="0" w:type="dxa"/>
          <w:bottom w:w="28" w:type="dxa"/>
          <w:right w:w="0" w:type="dxa"/>
        </w:tblCellMar>
      </w:tblPr>
      <w:tblGrid>
        <w:gridCol w:w="1748"/>
        <w:gridCol w:w="60"/>
        <w:gridCol w:w="162"/>
        <w:gridCol w:w="1275"/>
        <w:gridCol w:w="60"/>
        <w:gridCol w:w="60"/>
        <w:gridCol w:w="187"/>
        <w:gridCol w:w="1473"/>
        <w:gridCol w:w="60"/>
        <w:gridCol w:w="60"/>
        <w:gridCol w:w="200"/>
        <w:gridCol w:w="1406"/>
        <w:gridCol w:w="60"/>
        <w:gridCol w:w="60"/>
        <w:gridCol w:w="221"/>
        <w:gridCol w:w="1553"/>
        <w:gridCol w:w="60"/>
        <w:gridCol w:w="60"/>
        <w:gridCol w:w="140"/>
        <w:gridCol w:w="1220"/>
        <w:gridCol w:w="80"/>
      </w:tblGrid>
      <w:tr>
        <w:trPr/>
        <w:tc>
          <w:tcPr>
            <w:tcW w:w="1748" w:type="dxa"/>
            <w:tcBorders>
              <w:bottom w:val="single" w:sz="8" w:space="0" w:color="000000"/>
            </w:tcBorders>
            <w:vAlign w:val="center"/>
          </w:tcPr>
          <w:p>
            <w:pPr>
              <w:pStyle w:val="TableContents"/>
              <w:bidi w:val="0"/>
              <w:spacing w:before="0" w:after="283"/>
              <w:jc w:val="left"/>
              <w:rPr/>
            </w:pPr>
            <w:r>
              <w:rPr/>
              <w:t>Range of Guaranteed Minimum Crediting Rate</w:t>
            </w:r>
          </w:p>
        </w:tc>
        <w:tc>
          <w:tcPr>
            <w:tcW w:w="60" w:type="dxa"/>
            <w:tcBorders/>
            <w:tcMar>
              <w:bottom w:w="0" w:type="dxa"/>
            </w:tcMar>
            <w:vAlign w:val="center"/>
          </w:tcPr>
          <w:p>
            <w:pPr>
              <w:pStyle w:val="TableContents"/>
              <w:bidi w:val="0"/>
              <w:spacing w:before="0" w:after="283"/>
              <w:jc w:val="center"/>
              <w:rPr/>
            </w:pPr>
            <w:r>
              <w:rPr/>
              <w:t> </w:t>
            </w:r>
            <w:bookmarkStart w:id="2029" w:name="xdx_496_20260630__us-gaap--PolicyholderA"/>
            <w:bookmarkEnd w:id="2029"/>
          </w:p>
        </w:tc>
        <w:tc>
          <w:tcPr>
            <w:tcW w:w="1437" w:type="dxa"/>
            <w:gridSpan w:val="2"/>
            <w:tcBorders>
              <w:bottom w:val="single" w:sz="8" w:space="0" w:color="000000"/>
            </w:tcBorders>
            <w:vAlign w:val="center"/>
          </w:tcPr>
          <w:p>
            <w:pPr>
              <w:pStyle w:val="TableContents"/>
              <w:bidi w:val="0"/>
              <w:spacing w:before="0" w:after="283"/>
              <w:jc w:val="center"/>
              <w:rPr/>
            </w:pPr>
            <w:r>
              <w:rPr/>
              <w:t>At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30" w:name="xdx_492_20260630__us-gaap--PolicyholderA"/>
            <w:bookmarkEnd w:id="2030"/>
          </w:p>
        </w:tc>
        <w:tc>
          <w:tcPr>
            <w:tcW w:w="1660" w:type="dxa"/>
            <w:gridSpan w:val="2"/>
            <w:tcBorders>
              <w:bottom w:val="single" w:sz="8" w:space="0" w:color="000000"/>
            </w:tcBorders>
            <w:vAlign w:val="center"/>
          </w:tcPr>
          <w:p>
            <w:pPr>
              <w:pStyle w:val="TableContents"/>
              <w:bidi w:val="0"/>
              <w:spacing w:before="0" w:after="283"/>
              <w:jc w:val="center"/>
              <w:rPr/>
            </w:pPr>
            <w:r>
              <w:rPr/>
              <w:t>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31" w:name="xdx_49C_20260630__us-gaap--PolicyholderA"/>
            <w:bookmarkEnd w:id="2031"/>
          </w:p>
        </w:tc>
        <w:tc>
          <w:tcPr>
            <w:tcW w:w="1606" w:type="dxa"/>
            <w:gridSpan w:val="2"/>
            <w:tcBorders>
              <w:bottom w:val="single" w:sz="8" w:space="0" w:color="000000"/>
            </w:tcBorders>
            <w:vAlign w:val="center"/>
          </w:tcPr>
          <w:p>
            <w:pPr>
              <w:pStyle w:val="TableContents"/>
              <w:bidi w:val="0"/>
              <w:spacing w:before="0" w:after="283"/>
              <w:jc w:val="center"/>
              <w:rPr/>
            </w:pPr>
            <w:r>
              <w:rPr/>
              <w:t>51-150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32" w:name="xdx_49E_20260630__us-gaap--PolicyholderA"/>
            <w:bookmarkEnd w:id="2032"/>
          </w:p>
        </w:tc>
        <w:tc>
          <w:tcPr>
            <w:tcW w:w="1774" w:type="dxa"/>
            <w:gridSpan w:val="2"/>
            <w:tcBorders>
              <w:bottom w:val="single" w:sz="8" w:space="0" w:color="000000"/>
            </w:tcBorders>
            <w:vAlign w:val="center"/>
          </w:tcPr>
          <w:p>
            <w:pPr>
              <w:pStyle w:val="TableContents"/>
              <w:bidi w:val="0"/>
              <w:spacing w:before="0" w:after="283"/>
              <w:jc w:val="center"/>
              <w:rPr/>
            </w:pPr>
            <w:r>
              <w:rPr/>
              <w:t>Greater than 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33" w:name="xdx_499_20260630_zLz3ujgFN2og"/>
            <w:bookmarkEnd w:id="2033"/>
          </w:p>
        </w:tc>
        <w:tc>
          <w:tcPr>
            <w:tcW w:w="1360" w:type="dxa"/>
            <w:gridSpan w:val="2"/>
            <w:tcBorders>
              <w:bottom w:val="single" w:sz="8" w:space="0" w:color="000000"/>
            </w:tcBorders>
            <w:vAlign w:val="center"/>
          </w:tcPr>
          <w:p>
            <w:pPr>
              <w:pStyle w:val="TableContents"/>
              <w:bidi w:val="0"/>
              <w:spacing w:before="0" w:after="283"/>
              <w:jc w:val="center"/>
              <w:rPr/>
            </w:pPr>
            <w:r>
              <w:rPr/>
              <w:t>Total</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317" w:type="dxa"/>
            <w:gridSpan w:val="18"/>
            <w:tcBorders>
              <w:bottom w:val="single" w:sz="8" w:space="0" w:color="000000"/>
            </w:tcBorders>
            <w:vAlign w:val="center"/>
          </w:tcPr>
          <w:p>
            <w:pPr>
              <w:pStyle w:val="TableContents"/>
              <w:bidi w:val="0"/>
              <w:spacing w:before="0" w:after="283"/>
              <w:jc w:val="center"/>
              <w:rPr/>
            </w:pPr>
            <w:r>
              <w:rPr/>
              <w:t>June 30, 2026</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bottom w:val="single" w:sz="8" w:space="0" w:color="000000"/>
            </w:tcBorders>
            <w:vAlign w:val="center"/>
          </w:tcPr>
          <w:p>
            <w:pPr>
              <w:pStyle w:val="TableContents"/>
              <w:bidi w:val="0"/>
              <w:spacing w:before="0" w:after="283"/>
              <w:jc w:val="left"/>
              <w:rPr/>
            </w:pPr>
            <w:r>
              <w:rPr/>
              <w:t>Range of Guaranteed Minimum Crediting Rate</w:t>
            </w:r>
          </w:p>
        </w:tc>
        <w:tc>
          <w:tcPr>
            <w:tcW w:w="60" w:type="dxa"/>
            <w:tcBorders/>
            <w:tcMar>
              <w:bottom w:w="0" w:type="dxa"/>
            </w:tcMar>
            <w:vAlign w:val="center"/>
          </w:tcPr>
          <w:p>
            <w:pPr>
              <w:pStyle w:val="TableContents"/>
              <w:bidi w:val="0"/>
              <w:spacing w:before="0" w:after="283"/>
              <w:jc w:val="center"/>
              <w:rPr/>
            </w:pPr>
            <w:r>
              <w:rPr/>
              <w:t> </w:t>
            </w:r>
          </w:p>
        </w:tc>
        <w:tc>
          <w:tcPr>
            <w:tcW w:w="1437" w:type="dxa"/>
            <w:gridSpan w:val="2"/>
            <w:tcBorders>
              <w:bottom w:val="single" w:sz="8" w:space="0" w:color="000000"/>
            </w:tcBorders>
            <w:vAlign w:val="center"/>
          </w:tcPr>
          <w:p>
            <w:pPr>
              <w:pStyle w:val="TableContents"/>
              <w:bidi w:val="0"/>
              <w:spacing w:before="0" w:after="283"/>
              <w:jc w:val="center"/>
              <w:rPr/>
            </w:pPr>
            <w:r>
              <w:rPr/>
              <w:t>At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60" w:type="dxa"/>
            <w:gridSpan w:val="2"/>
            <w:tcBorders>
              <w:bottom w:val="single" w:sz="8" w:space="0" w:color="000000"/>
            </w:tcBorders>
            <w:vAlign w:val="center"/>
          </w:tcPr>
          <w:p>
            <w:pPr>
              <w:pStyle w:val="TableContents"/>
              <w:bidi w:val="0"/>
              <w:spacing w:before="0" w:after="283"/>
              <w:jc w:val="center"/>
              <w:rPr/>
            </w:pPr>
            <w:r>
              <w:rPr/>
              <w:t>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6" w:type="dxa"/>
            <w:gridSpan w:val="2"/>
            <w:tcBorders>
              <w:bottom w:val="single" w:sz="8" w:space="0" w:color="000000"/>
            </w:tcBorders>
            <w:vAlign w:val="center"/>
          </w:tcPr>
          <w:p>
            <w:pPr>
              <w:pStyle w:val="TableContents"/>
              <w:bidi w:val="0"/>
              <w:spacing w:before="0" w:after="283"/>
              <w:jc w:val="center"/>
              <w:rPr/>
            </w:pPr>
            <w:r>
              <w:rPr/>
              <w:t>51-150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8" w:space="0" w:color="000000"/>
            </w:tcBorders>
            <w:vAlign w:val="center"/>
          </w:tcPr>
          <w:p>
            <w:pPr>
              <w:pStyle w:val="TableContents"/>
              <w:bidi w:val="0"/>
              <w:spacing w:before="0" w:after="283"/>
              <w:jc w:val="center"/>
              <w:rPr/>
            </w:pPr>
            <w:r>
              <w:rPr/>
              <w:t>Greater than 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8" w:space="0" w:color="000000"/>
            </w:tcBorders>
            <w:vAlign w:val="center"/>
          </w:tcPr>
          <w:p>
            <w:pPr>
              <w:pStyle w:val="TableContents"/>
              <w:bidi w:val="0"/>
              <w:spacing w:before="0" w:after="283"/>
              <w:jc w:val="center"/>
              <w:rPr/>
            </w:pPr>
            <w:r>
              <w:rPr/>
              <w:t>Total</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shd w:fill="CCEEFF" w:val="clear"/>
            <w:tcMar>
              <w:bottom w:w="0" w:type="dxa"/>
            </w:tcMar>
            <w:vAlign w:val="center"/>
          </w:tcPr>
          <w:p>
            <w:pPr>
              <w:pStyle w:val="TableContents"/>
              <w:bidi w:val="0"/>
              <w:spacing w:before="0" w:after="283"/>
              <w:jc w:val="left"/>
              <w:rPr>
                <w:u w:val="single"/>
              </w:rPr>
            </w:pPr>
            <w:r>
              <w:rPr>
                <w:u w:val="single"/>
              </w:rPr>
              <w:t>Universal Life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2034" w:name="xdx_407_eus-gaap--PolicyholderFunds_iI_h"/>
            <w:bookmarkEnd w:id="2034"/>
          </w:p>
        </w:tc>
      </w:tr>
      <w:tr>
        <w:trPr/>
        <w:tc>
          <w:tcPr>
            <w:tcW w:w="1748" w:type="dxa"/>
            <w:tcBorders/>
            <w:shd w:fill="FFFFFF" w:val="clear"/>
            <w:tcMar>
              <w:bottom w:w="0" w:type="dxa"/>
            </w:tcMar>
            <w:vAlign w:val="center"/>
          </w:tcPr>
          <w:p>
            <w:pPr>
              <w:pStyle w:val="TableContents"/>
              <w:bidi w:val="0"/>
              <w:spacing w:before="0" w:after="283"/>
              <w:jc w:val="left"/>
              <w:rPr/>
            </w:pPr>
            <w:r>
              <w:rPr/>
              <w:t>Less than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35" w:name="xdx_407_eus-gaap--PolicyholderFunds_iI_h"/>
            <w:bookmarkEnd w:id="2035"/>
          </w:p>
        </w:tc>
      </w:tr>
      <w:tr>
        <w:trPr/>
        <w:tc>
          <w:tcPr>
            <w:tcW w:w="1748" w:type="dxa"/>
            <w:tcBorders/>
            <w:shd w:fill="CCEEFF" w:val="clear"/>
            <w:tcMar>
              <w:bottom w:w="0" w:type="dxa"/>
            </w:tcMar>
            <w:vAlign w:val="center"/>
          </w:tcPr>
          <w:p>
            <w:pPr>
              <w:pStyle w:val="TableContents"/>
              <w:bidi w:val="0"/>
              <w:spacing w:before="0" w:after="283"/>
              <w:jc w:val="left"/>
              <w:rPr/>
            </w:pPr>
            <w:r>
              <w:rPr/>
              <w:t>1.00% - 1.99%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bookmarkStart w:id="2036" w:name="xdx_407_eus-gaap--PolicyholderFunds_iI_h"/>
            <w:bookmarkEnd w:id="2036"/>
          </w:p>
        </w:tc>
      </w:tr>
      <w:tr>
        <w:trPr/>
        <w:tc>
          <w:tcPr>
            <w:tcW w:w="1748" w:type="dxa"/>
            <w:tcBorders/>
            <w:shd w:fill="FFFFFF" w:val="clear"/>
            <w:tcMar>
              <w:bottom w:w="0" w:type="dxa"/>
            </w:tcMar>
            <w:vAlign w:val="center"/>
          </w:tcPr>
          <w:p>
            <w:pPr>
              <w:pStyle w:val="TableContents"/>
              <w:bidi w:val="0"/>
              <w:spacing w:before="0" w:after="283"/>
              <w:jc w:val="left"/>
              <w:rPr/>
            </w:pPr>
            <w:r>
              <w:rPr/>
              <w:t>2.00% - 2.99%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37" w:name="xdx_403_eus-gaap--PolicyholderFunds_iI_h"/>
            <w:bookmarkEnd w:id="2037"/>
          </w:p>
        </w:tc>
      </w:tr>
      <w:tr>
        <w:trPr/>
        <w:tc>
          <w:tcPr>
            <w:tcW w:w="1748" w:type="dxa"/>
            <w:tcBorders/>
            <w:shd w:fill="CCEEFF" w:val="clear"/>
            <w:tcMar>
              <w:bottom w:w="0" w:type="dxa"/>
            </w:tcMar>
            <w:vAlign w:val="center"/>
          </w:tcPr>
          <w:p>
            <w:pPr>
              <w:pStyle w:val="TableContents"/>
              <w:bidi w:val="0"/>
              <w:spacing w:before="0" w:after="283"/>
              <w:jc w:val="left"/>
              <w:rPr/>
            </w:pPr>
            <w:r>
              <w:rPr/>
              <w:t>3:00% - 4.00%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24,733,263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1,541,406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26,274,669</w:t>
            </w:r>
          </w:p>
        </w:tc>
        <w:tc>
          <w:tcPr>
            <w:tcW w:w="80" w:type="dxa"/>
            <w:tcBorders/>
            <w:shd w:fill="CCEEFF" w:val="clear"/>
            <w:tcMar>
              <w:bottom w:w="0" w:type="dxa"/>
            </w:tcMar>
            <w:vAlign w:val="center"/>
          </w:tcPr>
          <w:p>
            <w:pPr>
              <w:pStyle w:val="TableContents"/>
              <w:bidi w:val="0"/>
              <w:spacing w:before="0" w:after="283"/>
              <w:jc w:val="left"/>
              <w:rPr/>
            </w:pPr>
            <w:r>
              <w:rPr/>
              <w:t> </w:t>
            </w:r>
            <w:bookmarkStart w:id="2038" w:name="xdx_40D_eus-gaap--PolicyholderFunds_iI_h"/>
            <w:bookmarkEnd w:id="2038"/>
          </w:p>
        </w:tc>
      </w:tr>
      <w:tr>
        <w:trPr/>
        <w:tc>
          <w:tcPr>
            <w:tcW w:w="1748" w:type="dxa"/>
            <w:tcBorders/>
            <w:shd w:fill="FFFFFF" w:val="clear"/>
            <w:tcMar>
              <w:bottom w:w="0" w:type="dxa"/>
            </w:tcMar>
            <w:vAlign w:val="center"/>
          </w:tcPr>
          <w:p>
            <w:pPr>
              <w:pStyle w:val="TableContents"/>
              <w:bidi w:val="0"/>
              <w:spacing w:before="0" w:after="283"/>
              <w:jc w:val="left"/>
              <w:rPr/>
            </w:pPr>
            <w:r>
              <w:rPr/>
              <w:t>Greater than 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4,249,139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vAlign w:val="center"/>
          </w:tcPr>
          <w:p>
            <w:pPr>
              <w:pStyle w:val="TableContents"/>
              <w:bidi w:val="0"/>
              <w:spacing w:before="0" w:after="283"/>
              <w:jc w:val="left"/>
              <w:rPr/>
            </w:pPr>
            <w:r>
              <w:rPr/>
              <w:t> </w:t>
            </w:r>
          </w:p>
        </w:tc>
        <w:tc>
          <w:tcPr>
            <w:tcW w:w="1473" w:type="dxa"/>
            <w:tcBorders>
              <w:bottom w:val="single" w:sz="8" w:space="0" w:color="000000"/>
            </w:tcBorders>
            <w:shd w:fill="FFFFFF" w:val="clear"/>
            <w:vAlign w:val="center"/>
          </w:tcPr>
          <w:p>
            <w:pPr>
              <w:pStyle w:val="TableContents"/>
              <w:bidi w:val="0"/>
              <w:spacing w:before="0" w:after="283"/>
              <w:jc w:val="right"/>
              <w:rPr/>
            </w:pPr>
            <w:r>
              <w:rPr/>
              <w:t>4,466,696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8" w:space="0" w:color="000000"/>
            </w:tcBorders>
            <w:shd w:fill="FFFFFF" w:val="clear"/>
            <w:vAlign w:val="center"/>
          </w:tcPr>
          <w:p>
            <w:pPr>
              <w:pStyle w:val="TableContents"/>
              <w:bidi w:val="0"/>
              <w:spacing w:before="0" w:after="283"/>
              <w:jc w:val="left"/>
              <w:rPr/>
            </w:pPr>
            <w:r>
              <w:rPr/>
              <w:t> </w:t>
            </w:r>
          </w:p>
        </w:tc>
        <w:tc>
          <w:tcPr>
            <w:tcW w:w="1406"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8,715,835</w:t>
            </w:r>
          </w:p>
        </w:tc>
        <w:tc>
          <w:tcPr>
            <w:tcW w:w="80" w:type="dxa"/>
            <w:tcBorders/>
            <w:shd w:fill="FFFFFF" w:val="clear"/>
            <w:tcMar>
              <w:bottom w:w="0" w:type="dxa"/>
            </w:tcMar>
            <w:vAlign w:val="center"/>
          </w:tcPr>
          <w:p>
            <w:pPr>
              <w:pStyle w:val="TableContents"/>
              <w:bidi w:val="0"/>
              <w:spacing w:before="0" w:after="283"/>
              <w:jc w:val="left"/>
              <w:rPr/>
            </w:pPr>
            <w:r>
              <w:rPr/>
              <w:t> </w:t>
            </w:r>
            <w:bookmarkStart w:id="2039" w:name="xdx_406_eus-gaap--PolicyholderFunds_iI_h"/>
            <w:bookmarkEnd w:id="2039"/>
          </w:p>
        </w:tc>
      </w:tr>
      <w:tr>
        <w:trPr/>
        <w:tc>
          <w:tcPr>
            <w:tcW w:w="1748"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vAlign w:val="center"/>
          </w:tcPr>
          <w:p>
            <w:pPr>
              <w:pStyle w:val="TableContents"/>
              <w:bidi w:val="0"/>
              <w:spacing w:before="0" w:after="283"/>
              <w:jc w:val="left"/>
              <w:rPr/>
            </w:pPr>
            <w:r>
              <w:rPr/>
              <w:t>$</w:t>
            </w:r>
          </w:p>
        </w:tc>
        <w:tc>
          <w:tcPr>
            <w:tcW w:w="1275" w:type="dxa"/>
            <w:tcBorders>
              <w:bottom w:val="double" w:sz="6" w:space="0" w:color="000000"/>
            </w:tcBorders>
            <w:shd w:fill="CCEEFF" w:val="clear"/>
            <w:vAlign w:val="center"/>
          </w:tcPr>
          <w:p>
            <w:pPr>
              <w:pStyle w:val="TableContents"/>
              <w:bidi w:val="0"/>
              <w:spacing w:before="0" w:after="283"/>
              <w:jc w:val="right"/>
              <w:rPr/>
            </w:pPr>
            <w:r>
              <w:rPr/>
              <w:t>28,982,402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vAlign w:val="center"/>
          </w:tcPr>
          <w:p>
            <w:pPr>
              <w:pStyle w:val="TableContents"/>
              <w:bidi w:val="0"/>
              <w:spacing w:before="0" w:after="283"/>
              <w:jc w:val="left"/>
              <w:rPr/>
            </w:pPr>
            <w:r>
              <w:rPr/>
              <w:t>$</w:t>
            </w:r>
          </w:p>
        </w:tc>
        <w:tc>
          <w:tcPr>
            <w:tcW w:w="1473" w:type="dxa"/>
            <w:tcBorders>
              <w:bottom w:val="double" w:sz="6" w:space="0" w:color="000000"/>
            </w:tcBorders>
            <w:shd w:fill="CCEEFF" w:val="clear"/>
            <w:vAlign w:val="center"/>
          </w:tcPr>
          <w:p>
            <w:pPr>
              <w:pStyle w:val="TableContents"/>
              <w:bidi w:val="0"/>
              <w:spacing w:before="0" w:after="283"/>
              <w:jc w:val="right"/>
              <w:rPr/>
            </w:pPr>
            <w:r>
              <w:rPr/>
              <w:t>4,466,696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pPr>
            <w:r>
              <w:rPr/>
              <w:t>$</w:t>
            </w:r>
          </w:p>
        </w:tc>
        <w:tc>
          <w:tcPr>
            <w:tcW w:w="1406" w:type="dxa"/>
            <w:tcBorders>
              <w:bottom w:val="double" w:sz="6" w:space="0" w:color="000000"/>
            </w:tcBorders>
            <w:shd w:fill="CCEEFF" w:val="clear"/>
            <w:vAlign w:val="center"/>
          </w:tcPr>
          <w:p>
            <w:pPr>
              <w:pStyle w:val="TableContents"/>
              <w:bidi w:val="0"/>
              <w:spacing w:before="0" w:after="283"/>
              <w:jc w:val="right"/>
              <w:rPr/>
            </w:pPr>
            <w:r>
              <w:rPr/>
              <w:t>1,541,406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vAlign w:val="center"/>
          </w:tcPr>
          <w:p>
            <w:pPr>
              <w:pStyle w:val="TableContents"/>
              <w:bidi w:val="0"/>
              <w:spacing w:before="0" w:after="283"/>
              <w:jc w:val="left"/>
              <w:rPr/>
            </w:pPr>
            <w:r>
              <w:rPr/>
              <w:t>$</w:t>
            </w:r>
          </w:p>
        </w:tc>
        <w:tc>
          <w:tcPr>
            <w:tcW w:w="1553"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220" w:type="dxa"/>
            <w:tcBorders>
              <w:bottom w:val="double" w:sz="6" w:space="0" w:color="000000"/>
            </w:tcBorders>
            <w:shd w:fill="CCEEFF" w:val="clear"/>
            <w:vAlign w:val="center"/>
          </w:tcPr>
          <w:p>
            <w:pPr>
              <w:pStyle w:val="TableContents"/>
              <w:bidi w:val="0"/>
              <w:spacing w:before="0" w:after="283"/>
              <w:jc w:val="right"/>
              <w:rPr/>
            </w:pPr>
            <w:r>
              <w:rPr/>
              <w:t>34,990,504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7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48" w:type="dxa"/>
            <w:tcBorders/>
            <w:shd w:fill="CCEEFF" w:val="clear"/>
            <w:tcMar>
              <w:bottom w:w="0" w:type="dxa"/>
            </w:tcMar>
            <w:vAlign w:val="center"/>
          </w:tcPr>
          <w:p>
            <w:pPr>
              <w:pStyle w:val="TableContents"/>
              <w:bidi w:val="0"/>
              <w:spacing w:before="0" w:after="283"/>
              <w:jc w:val="left"/>
              <w:rPr>
                <w:u w:val="single"/>
              </w:rPr>
            </w:pPr>
            <w:r>
              <w:rPr>
                <w:u w:val="single"/>
              </w:rPr>
              <w:t>Fixed Annuities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2040" w:name="xdx_40D_eus-gaap--PolicyholderFunds_iI_h"/>
            <w:bookmarkEnd w:id="2040"/>
          </w:p>
        </w:tc>
      </w:tr>
      <w:tr>
        <w:trPr/>
        <w:tc>
          <w:tcPr>
            <w:tcW w:w="1748" w:type="dxa"/>
            <w:tcBorders/>
            <w:shd w:fill="FFFFFF" w:val="clear"/>
            <w:tcMar>
              <w:bottom w:w="0" w:type="dxa"/>
            </w:tcMar>
            <w:vAlign w:val="center"/>
          </w:tcPr>
          <w:p>
            <w:pPr>
              <w:pStyle w:val="TableContents"/>
              <w:bidi w:val="0"/>
              <w:spacing w:before="0" w:after="283"/>
              <w:jc w:val="left"/>
              <w:rPr/>
            </w:pPr>
            <w:r>
              <w:rPr/>
              <w:t>Less than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41" w:name="xdx_400_eus-gaap--PolicyholderFunds_iI_h"/>
            <w:bookmarkEnd w:id="2041"/>
          </w:p>
        </w:tc>
      </w:tr>
      <w:tr>
        <w:trPr/>
        <w:tc>
          <w:tcPr>
            <w:tcW w:w="1748" w:type="dxa"/>
            <w:tcBorders/>
            <w:shd w:fill="CCEEFF" w:val="clear"/>
            <w:tcMar>
              <w:bottom w:w="0" w:type="dxa"/>
            </w:tcMar>
            <w:vAlign w:val="center"/>
          </w:tcPr>
          <w:p>
            <w:pPr>
              <w:pStyle w:val="TableContents"/>
              <w:bidi w:val="0"/>
              <w:spacing w:before="0" w:after="283"/>
              <w:jc w:val="left"/>
              <w:rPr/>
            </w:pPr>
            <w:r>
              <w:rPr/>
              <w:t>1.00% - 1.99%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10,546,598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9,548,635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20,095,233</w:t>
            </w:r>
          </w:p>
        </w:tc>
        <w:tc>
          <w:tcPr>
            <w:tcW w:w="80" w:type="dxa"/>
            <w:tcBorders/>
            <w:shd w:fill="CCEEFF" w:val="clear"/>
            <w:tcMar>
              <w:bottom w:w="0" w:type="dxa"/>
            </w:tcMar>
            <w:vAlign w:val="center"/>
          </w:tcPr>
          <w:p>
            <w:pPr>
              <w:pStyle w:val="TableContents"/>
              <w:bidi w:val="0"/>
              <w:spacing w:before="0" w:after="283"/>
              <w:jc w:val="left"/>
              <w:rPr/>
            </w:pPr>
            <w:r>
              <w:rPr/>
              <w:t> </w:t>
            </w:r>
            <w:bookmarkStart w:id="2042" w:name="xdx_406_eus-gaap--PolicyholderFunds_iI_h"/>
            <w:bookmarkEnd w:id="2042"/>
          </w:p>
        </w:tc>
      </w:tr>
      <w:tr>
        <w:trPr/>
        <w:tc>
          <w:tcPr>
            <w:tcW w:w="1748" w:type="dxa"/>
            <w:tcBorders/>
            <w:shd w:fill="FFFFFF" w:val="clear"/>
            <w:tcMar>
              <w:bottom w:w="0" w:type="dxa"/>
            </w:tcMar>
            <w:vAlign w:val="center"/>
          </w:tcPr>
          <w:p>
            <w:pPr>
              <w:pStyle w:val="TableContents"/>
              <w:bidi w:val="0"/>
              <w:spacing w:before="0" w:after="283"/>
              <w:jc w:val="left"/>
              <w:rPr/>
            </w:pPr>
            <w:r>
              <w:rPr/>
              <w:t>2.00% - 2.99%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6,737,506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334,302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4,818,977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11,890,785</w:t>
            </w:r>
          </w:p>
        </w:tc>
        <w:tc>
          <w:tcPr>
            <w:tcW w:w="80" w:type="dxa"/>
            <w:tcBorders/>
            <w:shd w:fill="FFFFFF" w:val="clear"/>
            <w:tcMar>
              <w:bottom w:w="0" w:type="dxa"/>
            </w:tcMar>
            <w:vAlign w:val="center"/>
          </w:tcPr>
          <w:p>
            <w:pPr>
              <w:pStyle w:val="TableContents"/>
              <w:bidi w:val="0"/>
              <w:spacing w:before="0" w:after="283"/>
              <w:jc w:val="left"/>
              <w:rPr/>
            </w:pPr>
            <w:r>
              <w:rPr/>
              <w:t> </w:t>
            </w:r>
            <w:bookmarkStart w:id="2043" w:name="xdx_40E_eus-gaap--PolicyholderFunds_iI_h"/>
            <w:bookmarkEnd w:id="2043"/>
          </w:p>
        </w:tc>
      </w:tr>
      <w:tr>
        <w:trPr/>
        <w:tc>
          <w:tcPr>
            <w:tcW w:w="1748" w:type="dxa"/>
            <w:tcBorders/>
            <w:shd w:fill="CCEEFF" w:val="clear"/>
            <w:tcMar>
              <w:bottom w:w="0" w:type="dxa"/>
            </w:tcMar>
            <w:vAlign w:val="center"/>
          </w:tcPr>
          <w:p>
            <w:pPr>
              <w:pStyle w:val="TableContents"/>
              <w:bidi w:val="0"/>
              <w:spacing w:before="0" w:after="283"/>
              <w:jc w:val="left"/>
              <w:rPr/>
            </w:pPr>
            <w:r>
              <w:rPr/>
              <w:t>3:00% - 4.00%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46,550,291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10,291,146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90,975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425,284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57,357,696</w:t>
            </w:r>
          </w:p>
        </w:tc>
        <w:tc>
          <w:tcPr>
            <w:tcW w:w="80" w:type="dxa"/>
            <w:tcBorders/>
            <w:shd w:fill="CCEEFF" w:val="clear"/>
            <w:tcMar>
              <w:bottom w:w="0" w:type="dxa"/>
            </w:tcMar>
            <w:vAlign w:val="center"/>
          </w:tcPr>
          <w:p>
            <w:pPr>
              <w:pStyle w:val="TableContents"/>
              <w:bidi w:val="0"/>
              <w:spacing w:before="0" w:after="283"/>
              <w:jc w:val="left"/>
              <w:rPr/>
            </w:pPr>
            <w:r>
              <w:rPr/>
              <w:t> </w:t>
            </w:r>
            <w:bookmarkStart w:id="2044" w:name="xdx_406_eus-gaap--PolicyholderFunds_iI_h"/>
            <w:bookmarkEnd w:id="2044"/>
          </w:p>
        </w:tc>
      </w:tr>
      <w:tr>
        <w:trPr/>
        <w:tc>
          <w:tcPr>
            <w:tcW w:w="1748" w:type="dxa"/>
            <w:tcBorders/>
            <w:shd w:fill="FFFFFF" w:val="clear"/>
            <w:tcMar>
              <w:bottom w:w="0" w:type="dxa"/>
            </w:tcMar>
            <w:vAlign w:val="center"/>
          </w:tcPr>
          <w:p>
            <w:pPr>
              <w:pStyle w:val="TableContents"/>
              <w:bidi w:val="0"/>
              <w:spacing w:before="0" w:after="283"/>
              <w:jc w:val="left"/>
              <w:rPr/>
            </w:pPr>
            <w:r>
              <w:rPr/>
              <w:t>Greater than 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12,832,101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vAlign w:val="center"/>
          </w:tcPr>
          <w:p>
            <w:pPr>
              <w:pStyle w:val="TableContents"/>
              <w:bidi w:val="0"/>
              <w:spacing w:before="0" w:after="283"/>
              <w:jc w:val="left"/>
              <w:rPr/>
            </w:pPr>
            <w:r>
              <w:rPr/>
              <w:t> </w:t>
            </w:r>
          </w:p>
        </w:tc>
        <w:tc>
          <w:tcPr>
            <w:tcW w:w="147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8" w:space="0" w:color="000000"/>
            </w:tcBorders>
            <w:shd w:fill="FFFFFF" w:val="clear"/>
            <w:vAlign w:val="center"/>
          </w:tcPr>
          <w:p>
            <w:pPr>
              <w:pStyle w:val="TableContents"/>
              <w:bidi w:val="0"/>
              <w:spacing w:before="0" w:after="283"/>
              <w:jc w:val="left"/>
              <w:rPr/>
            </w:pPr>
            <w:r>
              <w:rPr/>
              <w:t> </w:t>
            </w:r>
          </w:p>
        </w:tc>
        <w:tc>
          <w:tcPr>
            <w:tcW w:w="1406" w:type="dxa"/>
            <w:tcBorders>
              <w:bottom w:val="single" w:sz="8" w:space="0" w:color="000000"/>
            </w:tcBorders>
            <w:shd w:fill="FFFFFF" w:val="clear"/>
            <w:vAlign w:val="center"/>
          </w:tcPr>
          <w:p>
            <w:pPr>
              <w:pStyle w:val="TableContents"/>
              <w:bidi w:val="0"/>
              <w:spacing w:before="0" w:after="283"/>
              <w:jc w:val="right"/>
              <w:rPr/>
            </w:pPr>
            <w:r>
              <w:rPr/>
              <w:t>353,531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13,185,632</w:t>
            </w:r>
          </w:p>
        </w:tc>
        <w:tc>
          <w:tcPr>
            <w:tcW w:w="80" w:type="dxa"/>
            <w:tcBorders/>
            <w:shd w:fill="FFFFFF" w:val="clear"/>
            <w:tcMar>
              <w:bottom w:w="0" w:type="dxa"/>
            </w:tcMar>
            <w:vAlign w:val="center"/>
          </w:tcPr>
          <w:p>
            <w:pPr>
              <w:pStyle w:val="TableContents"/>
              <w:bidi w:val="0"/>
              <w:spacing w:before="0" w:after="283"/>
              <w:jc w:val="left"/>
              <w:rPr/>
            </w:pPr>
            <w:r>
              <w:rPr/>
              <w:t> </w:t>
            </w:r>
            <w:bookmarkStart w:id="2045" w:name="xdx_400_eus-gaap--PolicyholderFunds_iI_h"/>
            <w:bookmarkEnd w:id="2045"/>
          </w:p>
        </w:tc>
      </w:tr>
      <w:tr>
        <w:trPr/>
        <w:tc>
          <w:tcPr>
            <w:tcW w:w="1748"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vAlign w:val="center"/>
          </w:tcPr>
          <w:p>
            <w:pPr>
              <w:pStyle w:val="TableContents"/>
              <w:bidi w:val="0"/>
              <w:spacing w:before="0" w:after="283"/>
              <w:jc w:val="left"/>
              <w:rPr/>
            </w:pPr>
            <w:r>
              <w:rPr/>
              <w:t>$</w:t>
            </w:r>
          </w:p>
        </w:tc>
        <w:tc>
          <w:tcPr>
            <w:tcW w:w="1275" w:type="dxa"/>
            <w:tcBorders>
              <w:bottom w:val="double" w:sz="6" w:space="0" w:color="000000"/>
            </w:tcBorders>
            <w:shd w:fill="CCEEFF" w:val="clear"/>
            <w:vAlign w:val="center"/>
          </w:tcPr>
          <w:p>
            <w:pPr>
              <w:pStyle w:val="TableContents"/>
              <w:bidi w:val="0"/>
              <w:spacing w:before="0" w:after="283"/>
              <w:jc w:val="right"/>
              <w:rPr/>
            </w:pPr>
            <w:r>
              <w:rPr/>
              <w:t>76,666,496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vAlign w:val="center"/>
          </w:tcPr>
          <w:p>
            <w:pPr>
              <w:pStyle w:val="TableContents"/>
              <w:bidi w:val="0"/>
              <w:spacing w:before="0" w:after="283"/>
              <w:jc w:val="left"/>
              <w:rPr/>
            </w:pPr>
            <w:r>
              <w:rPr/>
              <w:t>$</w:t>
            </w:r>
          </w:p>
        </w:tc>
        <w:tc>
          <w:tcPr>
            <w:tcW w:w="1473" w:type="dxa"/>
            <w:tcBorders>
              <w:bottom w:val="double" w:sz="6" w:space="0" w:color="000000"/>
            </w:tcBorders>
            <w:shd w:fill="CCEEFF" w:val="clear"/>
            <w:vAlign w:val="center"/>
          </w:tcPr>
          <w:p>
            <w:pPr>
              <w:pStyle w:val="TableContents"/>
              <w:bidi w:val="0"/>
              <w:spacing w:before="0" w:after="283"/>
              <w:jc w:val="right"/>
              <w:rPr/>
            </w:pPr>
            <w:r>
              <w:rPr/>
              <w:t>19,839,781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pPr>
            <w:r>
              <w:rPr/>
              <w:t>$</w:t>
            </w:r>
          </w:p>
        </w:tc>
        <w:tc>
          <w:tcPr>
            <w:tcW w:w="1406" w:type="dxa"/>
            <w:tcBorders>
              <w:bottom w:val="double" w:sz="6" w:space="0" w:color="000000"/>
            </w:tcBorders>
            <w:shd w:fill="CCEEFF" w:val="clear"/>
            <w:vAlign w:val="center"/>
          </w:tcPr>
          <w:p>
            <w:pPr>
              <w:pStyle w:val="TableContents"/>
              <w:bidi w:val="0"/>
              <w:spacing w:before="0" w:after="283"/>
              <w:jc w:val="right"/>
              <w:rPr/>
            </w:pPr>
            <w:r>
              <w:rPr/>
              <w:t>778,808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vAlign w:val="center"/>
          </w:tcPr>
          <w:p>
            <w:pPr>
              <w:pStyle w:val="TableContents"/>
              <w:bidi w:val="0"/>
              <w:spacing w:before="0" w:after="283"/>
              <w:jc w:val="left"/>
              <w:rPr/>
            </w:pPr>
            <w:r>
              <w:rPr/>
              <w:t>$</w:t>
            </w:r>
          </w:p>
        </w:tc>
        <w:tc>
          <w:tcPr>
            <w:tcW w:w="1553" w:type="dxa"/>
            <w:tcBorders>
              <w:bottom w:val="double" w:sz="6" w:space="0" w:color="000000"/>
            </w:tcBorders>
            <w:shd w:fill="CCEEFF" w:val="clear"/>
            <w:vAlign w:val="center"/>
          </w:tcPr>
          <w:p>
            <w:pPr>
              <w:pStyle w:val="TableContents"/>
              <w:bidi w:val="0"/>
              <w:spacing w:before="0" w:after="283"/>
              <w:jc w:val="right"/>
              <w:rPr/>
            </w:pPr>
            <w:r>
              <w:rPr/>
              <w:t>5,244,261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220" w:type="dxa"/>
            <w:tcBorders>
              <w:bottom w:val="double" w:sz="6" w:space="0" w:color="000000"/>
            </w:tcBorders>
            <w:shd w:fill="CCEEFF" w:val="clear"/>
            <w:vAlign w:val="center"/>
          </w:tcPr>
          <w:p>
            <w:pPr>
              <w:pStyle w:val="TableContents"/>
              <w:bidi w:val="0"/>
              <w:spacing w:before="0" w:after="283"/>
              <w:jc w:val="right"/>
              <w:rPr/>
            </w:pPr>
            <w:r>
              <w:rPr/>
              <w:t>102,529,346</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48"/>
        <w:gridCol w:w="60"/>
        <w:gridCol w:w="162"/>
        <w:gridCol w:w="1275"/>
        <w:gridCol w:w="60"/>
        <w:gridCol w:w="60"/>
        <w:gridCol w:w="187"/>
        <w:gridCol w:w="1473"/>
        <w:gridCol w:w="60"/>
        <w:gridCol w:w="60"/>
        <w:gridCol w:w="200"/>
        <w:gridCol w:w="1406"/>
        <w:gridCol w:w="60"/>
        <w:gridCol w:w="60"/>
        <w:gridCol w:w="221"/>
        <w:gridCol w:w="1553"/>
        <w:gridCol w:w="60"/>
        <w:gridCol w:w="60"/>
        <w:gridCol w:w="140"/>
        <w:gridCol w:w="1220"/>
        <w:gridCol w:w="80"/>
      </w:tblGrid>
      <w:tr>
        <w:trPr/>
        <w:tc>
          <w:tcPr>
            <w:tcW w:w="1748" w:type="dxa"/>
            <w:tcBorders>
              <w:bottom w:val="single" w:sz="8" w:space="0" w:color="000000"/>
            </w:tcBorders>
            <w:vAlign w:val="center"/>
          </w:tcPr>
          <w:p>
            <w:pPr>
              <w:pStyle w:val="TableContents"/>
              <w:bidi w:val="0"/>
              <w:spacing w:before="0" w:after="283"/>
              <w:jc w:val="left"/>
              <w:rPr/>
            </w:pPr>
            <w:r>
              <w:rPr/>
              <w:t>Range of Guaranteed Minimum Crediting Rate</w:t>
            </w:r>
          </w:p>
        </w:tc>
        <w:tc>
          <w:tcPr>
            <w:tcW w:w="60" w:type="dxa"/>
            <w:tcBorders/>
            <w:tcMar>
              <w:bottom w:w="0" w:type="dxa"/>
            </w:tcMar>
            <w:vAlign w:val="center"/>
          </w:tcPr>
          <w:p>
            <w:pPr>
              <w:pStyle w:val="TableContents"/>
              <w:bidi w:val="0"/>
              <w:spacing w:before="0" w:after="283"/>
              <w:jc w:val="center"/>
              <w:rPr/>
            </w:pPr>
            <w:r>
              <w:rPr/>
              <w:t> </w:t>
            </w:r>
            <w:bookmarkStart w:id="2046" w:name="xdx_494_20250630__us-gaap--PolicyholderA"/>
            <w:bookmarkEnd w:id="2046"/>
          </w:p>
        </w:tc>
        <w:tc>
          <w:tcPr>
            <w:tcW w:w="1437" w:type="dxa"/>
            <w:gridSpan w:val="2"/>
            <w:tcBorders>
              <w:bottom w:val="single" w:sz="8" w:space="0" w:color="000000"/>
            </w:tcBorders>
            <w:vAlign w:val="center"/>
          </w:tcPr>
          <w:p>
            <w:pPr>
              <w:pStyle w:val="TableContents"/>
              <w:bidi w:val="0"/>
              <w:spacing w:before="0" w:after="283"/>
              <w:jc w:val="center"/>
              <w:rPr/>
            </w:pPr>
            <w:r>
              <w:rPr/>
              <w:t>At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47" w:name="xdx_494_20250630__us-gaap--PolicyholderA"/>
            <w:bookmarkEnd w:id="2047"/>
          </w:p>
        </w:tc>
        <w:tc>
          <w:tcPr>
            <w:tcW w:w="1660" w:type="dxa"/>
            <w:gridSpan w:val="2"/>
            <w:tcBorders>
              <w:bottom w:val="single" w:sz="8" w:space="0" w:color="000000"/>
            </w:tcBorders>
            <w:vAlign w:val="center"/>
          </w:tcPr>
          <w:p>
            <w:pPr>
              <w:pStyle w:val="TableContents"/>
              <w:bidi w:val="0"/>
              <w:spacing w:before="0" w:after="283"/>
              <w:jc w:val="center"/>
              <w:rPr/>
            </w:pPr>
            <w:r>
              <w:rPr/>
              <w:t>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48" w:name="xdx_49E_20250630__us-gaap--PolicyholderA"/>
            <w:bookmarkEnd w:id="2048"/>
          </w:p>
        </w:tc>
        <w:tc>
          <w:tcPr>
            <w:tcW w:w="1606" w:type="dxa"/>
            <w:gridSpan w:val="2"/>
            <w:tcBorders>
              <w:bottom w:val="single" w:sz="8" w:space="0" w:color="000000"/>
            </w:tcBorders>
            <w:vAlign w:val="center"/>
          </w:tcPr>
          <w:p>
            <w:pPr>
              <w:pStyle w:val="TableContents"/>
              <w:bidi w:val="0"/>
              <w:spacing w:before="0" w:after="283"/>
              <w:jc w:val="center"/>
              <w:rPr/>
            </w:pPr>
            <w:r>
              <w:rPr/>
              <w:t>51-150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49" w:name="xdx_491_20250630__us-gaap--PolicyholderA"/>
            <w:bookmarkEnd w:id="2049"/>
          </w:p>
        </w:tc>
        <w:tc>
          <w:tcPr>
            <w:tcW w:w="1774" w:type="dxa"/>
            <w:gridSpan w:val="2"/>
            <w:tcBorders>
              <w:bottom w:val="single" w:sz="8" w:space="0" w:color="000000"/>
            </w:tcBorders>
            <w:vAlign w:val="center"/>
          </w:tcPr>
          <w:p>
            <w:pPr>
              <w:pStyle w:val="TableContents"/>
              <w:bidi w:val="0"/>
              <w:spacing w:before="0" w:after="283"/>
              <w:jc w:val="center"/>
              <w:rPr/>
            </w:pPr>
            <w:r>
              <w:rPr/>
              <w:t>Greater than 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50" w:name="xdx_49A_20250630_zThL1EbCy7G7"/>
            <w:bookmarkEnd w:id="2050"/>
          </w:p>
        </w:tc>
        <w:tc>
          <w:tcPr>
            <w:tcW w:w="1360" w:type="dxa"/>
            <w:gridSpan w:val="2"/>
            <w:tcBorders>
              <w:bottom w:val="single" w:sz="8" w:space="0" w:color="000000"/>
            </w:tcBorders>
            <w:vAlign w:val="center"/>
          </w:tcPr>
          <w:p>
            <w:pPr>
              <w:pStyle w:val="TableContents"/>
              <w:bidi w:val="0"/>
              <w:spacing w:before="0" w:after="283"/>
              <w:jc w:val="center"/>
              <w:rPr/>
            </w:pPr>
            <w:r>
              <w:rPr/>
              <w:t>Total</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17" w:type="dxa"/>
            <w:gridSpan w:val="18"/>
            <w:tcBorders>
              <w:bottom w:val="single" w:sz="8" w:space="0" w:color="000000"/>
            </w:tcBorders>
            <w:vAlign w:val="center"/>
          </w:tcPr>
          <w:p>
            <w:pPr>
              <w:pStyle w:val="TableContents"/>
              <w:bidi w:val="0"/>
              <w:spacing w:before="0" w:after="283"/>
              <w:jc w:val="center"/>
              <w:rPr/>
            </w:pPr>
            <w:r>
              <w:rPr/>
              <w:t>June 30, 2025</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bottom w:val="single" w:sz="8" w:space="0" w:color="000000"/>
            </w:tcBorders>
            <w:vAlign w:val="center"/>
          </w:tcPr>
          <w:p>
            <w:pPr>
              <w:pStyle w:val="TableContents"/>
              <w:bidi w:val="0"/>
              <w:spacing w:before="0" w:after="283"/>
              <w:jc w:val="left"/>
              <w:rPr/>
            </w:pPr>
            <w:r>
              <w:rPr/>
              <w:t>Range of Guaranteed Minimum Crediting Rate</w:t>
            </w:r>
          </w:p>
        </w:tc>
        <w:tc>
          <w:tcPr>
            <w:tcW w:w="60" w:type="dxa"/>
            <w:tcBorders/>
            <w:tcMar>
              <w:bottom w:w="0" w:type="dxa"/>
            </w:tcMar>
            <w:vAlign w:val="center"/>
          </w:tcPr>
          <w:p>
            <w:pPr>
              <w:pStyle w:val="TableContents"/>
              <w:bidi w:val="0"/>
              <w:spacing w:before="0" w:after="283"/>
              <w:jc w:val="center"/>
              <w:rPr/>
            </w:pPr>
            <w:r>
              <w:rPr/>
              <w:t> </w:t>
            </w:r>
          </w:p>
        </w:tc>
        <w:tc>
          <w:tcPr>
            <w:tcW w:w="1437" w:type="dxa"/>
            <w:gridSpan w:val="2"/>
            <w:tcBorders>
              <w:bottom w:val="single" w:sz="8" w:space="0" w:color="000000"/>
            </w:tcBorders>
            <w:vAlign w:val="center"/>
          </w:tcPr>
          <w:p>
            <w:pPr>
              <w:pStyle w:val="TableContents"/>
              <w:bidi w:val="0"/>
              <w:spacing w:before="0" w:after="283"/>
              <w:jc w:val="center"/>
              <w:rPr/>
            </w:pPr>
            <w:r>
              <w:rPr/>
              <w:t>At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60" w:type="dxa"/>
            <w:gridSpan w:val="2"/>
            <w:tcBorders>
              <w:bottom w:val="single" w:sz="8" w:space="0" w:color="000000"/>
            </w:tcBorders>
            <w:vAlign w:val="center"/>
          </w:tcPr>
          <w:p>
            <w:pPr>
              <w:pStyle w:val="TableContents"/>
              <w:bidi w:val="0"/>
              <w:spacing w:before="0" w:after="283"/>
              <w:jc w:val="center"/>
              <w:rPr/>
            </w:pPr>
            <w:r>
              <w:rPr/>
              <w:t>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6" w:type="dxa"/>
            <w:gridSpan w:val="2"/>
            <w:tcBorders>
              <w:bottom w:val="single" w:sz="8" w:space="0" w:color="000000"/>
            </w:tcBorders>
            <w:vAlign w:val="center"/>
          </w:tcPr>
          <w:p>
            <w:pPr>
              <w:pStyle w:val="TableContents"/>
              <w:bidi w:val="0"/>
              <w:spacing w:before="0" w:after="283"/>
              <w:jc w:val="center"/>
              <w:rPr/>
            </w:pPr>
            <w:r>
              <w:rPr/>
              <w:t>51-150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8" w:space="0" w:color="000000"/>
            </w:tcBorders>
            <w:vAlign w:val="center"/>
          </w:tcPr>
          <w:p>
            <w:pPr>
              <w:pStyle w:val="TableContents"/>
              <w:bidi w:val="0"/>
              <w:spacing w:before="0" w:after="283"/>
              <w:jc w:val="center"/>
              <w:rPr/>
            </w:pPr>
            <w:r>
              <w:rPr/>
              <w:t>Greater than 150 bps above guaranteed minimum</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8" w:space="0" w:color="000000"/>
            </w:tcBorders>
            <w:vAlign w:val="center"/>
          </w:tcPr>
          <w:p>
            <w:pPr>
              <w:pStyle w:val="TableContents"/>
              <w:bidi w:val="0"/>
              <w:spacing w:before="0" w:after="283"/>
              <w:jc w:val="center"/>
              <w:rPr/>
            </w:pPr>
            <w:r>
              <w:rPr/>
              <w:t>Total</w:t>
            </w:r>
          </w:p>
        </w:tc>
        <w:tc>
          <w:tcPr>
            <w:tcW w:w="80" w:type="dxa"/>
            <w:tcBorders/>
            <w:tcMar>
              <w:bottom w:w="0" w:type="dxa"/>
            </w:tcMar>
            <w:vAlign w:val="center"/>
          </w:tcPr>
          <w:p>
            <w:pPr>
              <w:pStyle w:val="TableContents"/>
              <w:bidi w:val="0"/>
              <w:spacing w:before="0" w:after="283"/>
              <w:jc w:val="center"/>
              <w:rPr/>
            </w:pPr>
            <w:r>
              <w:rPr/>
              <w:t> </w:t>
            </w:r>
          </w:p>
        </w:tc>
      </w:tr>
      <w:tr>
        <w:trPr/>
        <w:tc>
          <w:tcPr>
            <w:tcW w:w="1748" w:type="dxa"/>
            <w:tcBorders/>
            <w:shd w:fill="CCEEFF" w:val="clear"/>
            <w:tcMar>
              <w:bottom w:w="0" w:type="dxa"/>
            </w:tcMar>
            <w:vAlign w:val="center"/>
          </w:tcPr>
          <w:p>
            <w:pPr>
              <w:pStyle w:val="TableContents"/>
              <w:bidi w:val="0"/>
              <w:spacing w:before="0" w:after="283"/>
              <w:jc w:val="left"/>
              <w:rPr>
                <w:u w:val="single"/>
              </w:rPr>
            </w:pPr>
            <w:r>
              <w:rPr>
                <w:u w:val="single"/>
              </w:rPr>
              <w:t>Universal Life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2051" w:name="xdx_407_eus-gaap--PolicyholderFunds_iI_h"/>
            <w:bookmarkEnd w:id="2051"/>
          </w:p>
        </w:tc>
      </w:tr>
      <w:tr>
        <w:trPr/>
        <w:tc>
          <w:tcPr>
            <w:tcW w:w="1748" w:type="dxa"/>
            <w:tcBorders/>
            <w:shd w:fill="FFFFFF" w:val="clear"/>
            <w:tcMar>
              <w:bottom w:w="0" w:type="dxa"/>
            </w:tcMar>
            <w:vAlign w:val="center"/>
          </w:tcPr>
          <w:p>
            <w:pPr>
              <w:pStyle w:val="TableContents"/>
              <w:bidi w:val="0"/>
              <w:spacing w:before="0" w:after="283"/>
              <w:jc w:val="left"/>
              <w:rPr/>
            </w:pPr>
            <w:r>
              <w:rPr/>
              <w:t>Less than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52" w:name="xdx_407_eus-gaap--PolicyholderFunds_iI_h"/>
            <w:bookmarkEnd w:id="2052"/>
          </w:p>
        </w:tc>
      </w:tr>
      <w:tr>
        <w:trPr/>
        <w:tc>
          <w:tcPr>
            <w:tcW w:w="1748" w:type="dxa"/>
            <w:tcBorders/>
            <w:shd w:fill="CCEEFF" w:val="clear"/>
            <w:tcMar>
              <w:bottom w:w="0" w:type="dxa"/>
            </w:tcMar>
            <w:vAlign w:val="center"/>
          </w:tcPr>
          <w:p>
            <w:pPr>
              <w:pStyle w:val="TableContents"/>
              <w:bidi w:val="0"/>
              <w:spacing w:before="0" w:after="283"/>
              <w:jc w:val="left"/>
              <w:rPr/>
            </w:pPr>
            <w:r>
              <w:rPr/>
              <w:t>1.00% - 1.99%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bookmarkStart w:id="2053" w:name="xdx_407_eus-gaap--PolicyholderFunds_iI_h"/>
            <w:bookmarkEnd w:id="2053"/>
          </w:p>
        </w:tc>
      </w:tr>
      <w:tr>
        <w:trPr/>
        <w:tc>
          <w:tcPr>
            <w:tcW w:w="1748" w:type="dxa"/>
            <w:tcBorders/>
            <w:shd w:fill="FFFFFF" w:val="clear"/>
            <w:tcMar>
              <w:bottom w:w="0" w:type="dxa"/>
            </w:tcMar>
            <w:vAlign w:val="center"/>
          </w:tcPr>
          <w:p>
            <w:pPr>
              <w:pStyle w:val="TableContents"/>
              <w:bidi w:val="0"/>
              <w:spacing w:before="0" w:after="283"/>
              <w:jc w:val="left"/>
              <w:rPr/>
            </w:pPr>
            <w:r>
              <w:rPr/>
              <w:t>2.00% - 2.99%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54" w:name="xdx_403_eus-gaap--PolicyholderFunds_iI_h"/>
            <w:bookmarkEnd w:id="2054"/>
          </w:p>
        </w:tc>
      </w:tr>
      <w:tr>
        <w:trPr/>
        <w:tc>
          <w:tcPr>
            <w:tcW w:w="1748" w:type="dxa"/>
            <w:tcBorders/>
            <w:shd w:fill="CCEEFF" w:val="clear"/>
            <w:tcMar>
              <w:bottom w:w="0" w:type="dxa"/>
            </w:tcMar>
            <w:vAlign w:val="center"/>
          </w:tcPr>
          <w:p>
            <w:pPr>
              <w:pStyle w:val="TableContents"/>
              <w:bidi w:val="0"/>
              <w:spacing w:before="0" w:after="283"/>
              <w:jc w:val="left"/>
              <w:rPr/>
            </w:pPr>
            <w:r>
              <w:rPr/>
              <w:t>3:00% - 4.00%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25,686,478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1,526,169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27,212,647</w:t>
            </w:r>
          </w:p>
        </w:tc>
        <w:tc>
          <w:tcPr>
            <w:tcW w:w="80" w:type="dxa"/>
            <w:tcBorders/>
            <w:shd w:fill="CCEEFF" w:val="clear"/>
            <w:tcMar>
              <w:bottom w:w="0" w:type="dxa"/>
            </w:tcMar>
            <w:vAlign w:val="center"/>
          </w:tcPr>
          <w:p>
            <w:pPr>
              <w:pStyle w:val="TableContents"/>
              <w:bidi w:val="0"/>
              <w:spacing w:before="0" w:after="283"/>
              <w:jc w:val="left"/>
              <w:rPr/>
            </w:pPr>
            <w:r>
              <w:rPr/>
              <w:t> </w:t>
            </w:r>
            <w:bookmarkStart w:id="2055" w:name="xdx_40D_eus-gaap--PolicyholderFunds_iI_h"/>
            <w:bookmarkEnd w:id="2055"/>
          </w:p>
        </w:tc>
      </w:tr>
      <w:tr>
        <w:trPr/>
        <w:tc>
          <w:tcPr>
            <w:tcW w:w="1748" w:type="dxa"/>
            <w:tcBorders/>
            <w:shd w:fill="FFFFFF" w:val="clear"/>
            <w:tcMar>
              <w:bottom w:w="0" w:type="dxa"/>
            </w:tcMar>
            <w:vAlign w:val="center"/>
          </w:tcPr>
          <w:p>
            <w:pPr>
              <w:pStyle w:val="TableContents"/>
              <w:bidi w:val="0"/>
              <w:spacing w:before="0" w:after="283"/>
              <w:jc w:val="left"/>
              <w:rPr/>
            </w:pPr>
            <w:r>
              <w:rPr/>
              <w:t>Greater than 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4,481,400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vAlign w:val="center"/>
          </w:tcPr>
          <w:p>
            <w:pPr>
              <w:pStyle w:val="TableContents"/>
              <w:bidi w:val="0"/>
              <w:spacing w:before="0" w:after="283"/>
              <w:jc w:val="left"/>
              <w:rPr/>
            </w:pPr>
            <w:r>
              <w:rPr/>
              <w:t> </w:t>
            </w:r>
          </w:p>
        </w:tc>
        <w:tc>
          <w:tcPr>
            <w:tcW w:w="1473" w:type="dxa"/>
            <w:tcBorders>
              <w:bottom w:val="single" w:sz="8" w:space="0" w:color="000000"/>
            </w:tcBorders>
            <w:shd w:fill="FFFFFF" w:val="clear"/>
            <w:vAlign w:val="center"/>
          </w:tcPr>
          <w:p>
            <w:pPr>
              <w:pStyle w:val="TableContents"/>
              <w:bidi w:val="0"/>
              <w:spacing w:before="0" w:after="283"/>
              <w:jc w:val="right"/>
              <w:rPr/>
            </w:pPr>
            <w:r>
              <w:rPr/>
              <w:t>4,681,974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8" w:space="0" w:color="000000"/>
            </w:tcBorders>
            <w:shd w:fill="FFFFFF" w:val="clear"/>
            <w:vAlign w:val="center"/>
          </w:tcPr>
          <w:p>
            <w:pPr>
              <w:pStyle w:val="TableContents"/>
              <w:bidi w:val="0"/>
              <w:spacing w:before="0" w:after="283"/>
              <w:jc w:val="left"/>
              <w:rPr/>
            </w:pPr>
            <w:r>
              <w:rPr/>
              <w:t> </w:t>
            </w:r>
          </w:p>
        </w:tc>
        <w:tc>
          <w:tcPr>
            <w:tcW w:w="1406"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9,163,374</w:t>
            </w:r>
          </w:p>
        </w:tc>
        <w:tc>
          <w:tcPr>
            <w:tcW w:w="80" w:type="dxa"/>
            <w:tcBorders/>
            <w:shd w:fill="FFFFFF" w:val="clear"/>
            <w:tcMar>
              <w:bottom w:w="0" w:type="dxa"/>
            </w:tcMar>
            <w:vAlign w:val="center"/>
          </w:tcPr>
          <w:p>
            <w:pPr>
              <w:pStyle w:val="TableContents"/>
              <w:bidi w:val="0"/>
              <w:spacing w:before="0" w:after="283"/>
              <w:jc w:val="left"/>
              <w:rPr/>
            </w:pPr>
            <w:r>
              <w:rPr/>
              <w:t> </w:t>
            </w:r>
            <w:bookmarkStart w:id="2056" w:name="xdx_406_eus-gaap--PolicyholderFunds_iI_h"/>
            <w:bookmarkEnd w:id="2056"/>
          </w:p>
        </w:tc>
      </w:tr>
      <w:tr>
        <w:trPr/>
        <w:tc>
          <w:tcPr>
            <w:tcW w:w="1748"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vAlign w:val="center"/>
          </w:tcPr>
          <w:p>
            <w:pPr>
              <w:pStyle w:val="TableContents"/>
              <w:bidi w:val="0"/>
              <w:spacing w:before="0" w:after="283"/>
              <w:jc w:val="left"/>
              <w:rPr/>
            </w:pPr>
            <w:r>
              <w:rPr/>
              <w:t>$</w:t>
            </w:r>
          </w:p>
        </w:tc>
        <w:tc>
          <w:tcPr>
            <w:tcW w:w="1275" w:type="dxa"/>
            <w:tcBorders>
              <w:bottom w:val="double" w:sz="6" w:space="0" w:color="000000"/>
            </w:tcBorders>
            <w:shd w:fill="CCEEFF" w:val="clear"/>
            <w:vAlign w:val="center"/>
          </w:tcPr>
          <w:p>
            <w:pPr>
              <w:pStyle w:val="TableContents"/>
              <w:bidi w:val="0"/>
              <w:spacing w:before="0" w:after="283"/>
              <w:jc w:val="right"/>
              <w:rPr/>
            </w:pPr>
            <w:r>
              <w:rPr/>
              <w:t>30,167,878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vAlign w:val="center"/>
          </w:tcPr>
          <w:p>
            <w:pPr>
              <w:pStyle w:val="TableContents"/>
              <w:bidi w:val="0"/>
              <w:spacing w:before="0" w:after="283"/>
              <w:jc w:val="left"/>
              <w:rPr/>
            </w:pPr>
            <w:r>
              <w:rPr/>
              <w:t>$</w:t>
            </w:r>
          </w:p>
        </w:tc>
        <w:tc>
          <w:tcPr>
            <w:tcW w:w="1473" w:type="dxa"/>
            <w:tcBorders>
              <w:bottom w:val="double" w:sz="6" w:space="0" w:color="000000"/>
            </w:tcBorders>
            <w:shd w:fill="CCEEFF" w:val="clear"/>
            <w:vAlign w:val="center"/>
          </w:tcPr>
          <w:p>
            <w:pPr>
              <w:pStyle w:val="TableContents"/>
              <w:bidi w:val="0"/>
              <w:spacing w:before="0" w:after="283"/>
              <w:jc w:val="right"/>
              <w:rPr/>
            </w:pPr>
            <w:r>
              <w:rPr/>
              <w:t>4,681,974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pPr>
            <w:r>
              <w:rPr/>
              <w:t>$</w:t>
            </w:r>
          </w:p>
        </w:tc>
        <w:tc>
          <w:tcPr>
            <w:tcW w:w="1406" w:type="dxa"/>
            <w:tcBorders>
              <w:bottom w:val="double" w:sz="6" w:space="0" w:color="000000"/>
            </w:tcBorders>
            <w:shd w:fill="CCEEFF" w:val="clear"/>
            <w:vAlign w:val="center"/>
          </w:tcPr>
          <w:p>
            <w:pPr>
              <w:pStyle w:val="TableContents"/>
              <w:bidi w:val="0"/>
              <w:spacing w:before="0" w:after="283"/>
              <w:jc w:val="right"/>
              <w:rPr/>
            </w:pPr>
            <w:r>
              <w:rPr/>
              <w:t>1,526,169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vAlign w:val="center"/>
          </w:tcPr>
          <w:p>
            <w:pPr>
              <w:pStyle w:val="TableContents"/>
              <w:bidi w:val="0"/>
              <w:spacing w:before="0" w:after="283"/>
              <w:jc w:val="left"/>
              <w:rPr/>
            </w:pPr>
            <w:r>
              <w:rPr/>
              <w:t>$</w:t>
            </w:r>
          </w:p>
        </w:tc>
        <w:tc>
          <w:tcPr>
            <w:tcW w:w="1553"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220" w:type="dxa"/>
            <w:tcBorders>
              <w:bottom w:val="double" w:sz="6" w:space="0" w:color="000000"/>
            </w:tcBorders>
            <w:shd w:fill="CCEEFF" w:val="clear"/>
            <w:vAlign w:val="center"/>
          </w:tcPr>
          <w:p>
            <w:pPr>
              <w:pStyle w:val="TableContents"/>
              <w:bidi w:val="0"/>
              <w:spacing w:before="0" w:after="283"/>
              <w:jc w:val="right"/>
              <w:rPr/>
            </w:pPr>
            <w:r>
              <w:rPr/>
              <w:t>36,376,021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7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48" w:type="dxa"/>
            <w:tcBorders/>
            <w:shd w:fill="CCEEFF" w:val="clear"/>
            <w:tcMar>
              <w:bottom w:w="0" w:type="dxa"/>
            </w:tcMar>
            <w:vAlign w:val="center"/>
          </w:tcPr>
          <w:p>
            <w:pPr>
              <w:pStyle w:val="TableContents"/>
              <w:bidi w:val="0"/>
              <w:spacing w:before="0" w:after="283"/>
              <w:jc w:val="left"/>
              <w:rPr>
                <w:u w:val="single"/>
              </w:rPr>
            </w:pPr>
            <w:r>
              <w:rPr>
                <w:u w:val="single"/>
              </w:rPr>
              <w:t>Fixed Annuities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2057" w:name="xdx_40C_eus-gaap--PolicyholderFunds_iI_h"/>
            <w:bookmarkEnd w:id="2057"/>
          </w:p>
        </w:tc>
      </w:tr>
      <w:tr>
        <w:trPr/>
        <w:tc>
          <w:tcPr>
            <w:tcW w:w="1748" w:type="dxa"/>
            <w:tcBorders/>
            <w:shd w:fill="FFFFFF" w:val="clear"/>
            <w:tcMar>
              <w:bottom w:w="0" w:type="dxa"/>
            </w:tcMar>
            <w:vAlign w:val="center"/>
          </w:tcPr>
          <w:p>
            <w:pPr>
              <w:pStyle w:val="TableContents"/>
              <w:bidi w:val="0"/>
              <w:spacing w:before="0" w:after="283"/>
              <w:jc w:val="left"/>
              <w:rPr/>
            </w:pPr>
            <w:r>
              <w:rPr/>
              <w:t>Less than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w:t>
            </w:r>
          </w:p>
        </w:tc>
        <w:tc>
          <w:tcPr>
            <w:tcW w:w="12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bookmarkStart w:id="2058" w:name="xdx_407_eus-gaap--PolicyholderFunds_iI_h"/>
            <w:bookmarkEnd w:id="2058"/>
          </w:p>
        </w:tc>
      </w:tr>
      <w:tr>
        <w:trPr/>
        <w:tc>
          <w:tcPr>
            <w:tcW w:w="1748" w:type="dxa"/>
            <w:tcBorders/>
            <w:shd w:fill="CCEEFF" w:val="clear"/>
            <w:tcMar>
              <w:bottom w:w="0" w:type="dxa"/>
            </w:tcMar>
            <w:vAlign w:val="center"/>
          </w:tcPr>
          <w:p>
            <w:pPr>
              <w:pStyle w:val="TableContents"/>
              <w:bidi w:val="0"/>
              <w:spacing w:before="0" w:after="283"/>
              <w:jc w:val="left"/>
              <w:rPr/>
            </w:pPr>
            <w:r>
              <w:rPr/>
              <w:t>1.00% - 1.99%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11,531,923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10,835,181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22,367,104</w:t>
            </w:r>
          </w:p>
        </w:tc>
        <w:tc>
          <w:tcPr>
            <w:tcW w:w="80" w:type="dxa"/>
            <w:tcBorders/>
            <w:shd w:fill="CCEEFF" w:val="clear"/>
            <w:tcMar>
              <w:bottom w:w="0" w:type="dxa"/>
            </w:tcMar>
            <w:vAlign w:val="center"/>
          </w:tcPr>
          <w:p>
            <w:pPr>
              <w:pStyle w:val="TableContents"/>
              <w:bidi w:val="0"/>
              <w:spacing w:before="0" w:after="283"/>
              <w:jc w:val="left"/>
              <w:rPr/>
            </w:pPr>
            <w:r>
              <w:rPr/>
              <w:t> </w:t>
            </w:r>
            <w:bookmarkStart w:id="2059" w:name="xdx_406_eus-gaap--PolicyholderFunds_iI_h"/>
            <w:bookmarkEnd w:id="2059"/>
          </w:p>
        </w:tc>
      </w:tr>
      <w:tr>
        <w:trPr/>
        <w:tc>
          <w:tcPr>
            <w:tcW w:w="1748" w:type="dxa"/>
            <w:tcBorders/>
            <w:shd w:fill="FFFFFF" w:val="clear"/>
            <w:tcMar>
              <w:bottom w:w="0" w:type="dxa"/>
            </w:tcMar>
            <w:vAlign w:val="center"/>
          </w:tcPr>
          <w:p>
            <w:pPr>
              <w:pStyle w:val="TableContents"/>
              <w:bidi w:val="0"/>
              <w:spacing w:before="0" w:after="283"/>
              <w:jc w:val="left"/>
              <w:rPr/>
            </w:pPr>
            <w:r>
              <w:rPr/>
              <w:t>2.00% - 2.99%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4,783,024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333,277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553" w:type="dxa"/>
            <w:tcBorders/>
            <w:shd w:fill="FFFFFF" w:val="clear"/>
            <w:tcMar>
              <w:bottom w:w="0" w:type="dxa"/>
            </w:tcMar>
            <w:vAlign w:val="center"/>
          </w:tcPr>
          <w:p>
            <w:pPr>
              <w:pStyle w:val="TableContents"/>
              <w:bidi w:val="0"/>
              <w:spacing w:before="0" w:after="283"/>
              <w:jc w:val="right"/>
              <w:rPr/>
            </w:pPr>
            <w:r>
              <w:rPr/>
              <w:t>4,984,265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10,100,566</w:t>
            </w:r>
          </w:p>
        </w:tc>
        <w:tc>
          <w:tcPr>
            <w:tcW w:w="80" w:type="dxa"/>
            <w:tcBorders/>
            <w:shd w:fill="FFFFFF" w:val="clear"/>
            <w:tcMar>
              <w:bottom w:w="0" w:type="dxa"/>
            </w:tcMar>
            <w:vAlign w:val="center"/>
          </w:tcPr>
          <w:p>
            <w:pPr>
              <w:pStyle w:val="TableContents"/>
              <w:bidi w:val="0"/>
              <w:spacing w:before="0" w:after="283"/>
              <w:jc w:val="left"/>
              <w:rPr/>
            </w:pPr>
            <w:r>
              <w:rPr/>
              <w:t> </w:t>
            </w:r>
            <w:bookmarkStart w:id="2060" w:name="xdx_40E_eus-gaap--PolicyholderFunds_iI_h"/>
            <w:bookmarkEnd w:id="2060"/>
          </w:p>
        </w:tc>
      </w:tr>
      <w:tr>
        <w:trPr/>
        <w:tc>
          <w:tcPr>
            <w:tcW w:w="1748" w:type="dxa"/>
            <w:tcBorders/>
            <w:shd w:fill="CCEEFF" w:val="clear"/>
            <w:tcMar>
              <w:bottom w:w="0" w:type="dxa"/>
            </w:tcMar>
            <w:vAlign w:val="center"/>
          </w:tcPr>
          <w:p>
            <w:pPr>
              <w:pStyle w:val="TableContents"/>
              <w:bidi w:val="0"/>
              <w:spacing w:before="0" w:after="283"/>
              <w:jc w:val="left"/>
              <w:rPr/>
            </w:pPr>
            <w:r>
              <w:rPr/>
              <w:t>3:00% - 4.00%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48,154,943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10,560,036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37,929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454,076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59,206,984</w:t>
            </w:r>
          </w:p>
        </w:tc>
        <w:tc>
          <w:tcPr>
            <w:tcW w:w="80" w:type="dxa"/>
            <w:tcBorders/>
            <w:shd w:fill="CCEEFF" w:val="clear"/>
            <w:tcMar>
              <w:bottom w:w="0" w:type="dxa"/>
            </w:tcMar>
            <w:vAlign w:val="center"/>
          </w:tcPr>
          <w:p>
            <w:pPr>
              <w:pStyle w:val="TableContents"/>
              <w:bidi w:val="0"/>
              <w:spacing w:before="0" w:after="283"/>
              <w:jc w:val="left"/>
              <w:rPr/>
            </w:pPr>
            <w:r>
              <w:rPr/>
              <w:t> </w:t>
            </w:r>
            <w:bookmarkStart w:id="2061" w:name="xdx_406_eus-gaap--PolicyholderFunds_iI_h"/>
            <w:bookmarkEnd w:id="2061"/>
          </w:p>
        </w:tc>
      </w:tr>
      <w:tr>
        <w:trPr/>
        <w:tc>
          <w:tcPr>
            <w:tcW w:w="1748" w:type="dxa"/>
            <w:tcBorders/>
            <w:shd w:fill="FFFFFF" w:val="clear"/>
            <w:tcMar>
              <w:bottom w:w="0" w:type="dxa"/>
            </w:tcMar>
            <w:vAlign w:val="center"/>
          </w:tcPr>
          <w:p>
            <w:pPr>
              <w:pStyle w:val="TableContents"/>
              <w:bidi w:val="0"/>
              <w:spacing w:before="0" w:after="283"/>
              <w:jc w:val="left"/>
              <w:rPr/>
            </w:pPr>
            <w:r>
              <w:rPr/>
              <w:t>Greater than 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12,807,491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vAlign w:val="center"/>
          </w:tcPr>
          <w:p>
            <w:pPr>
              <w:pStyle w:val="TableContents"/>
              <w:bidi w:val="0"/>
              <w:spacing w:before="0" w:after="283"/>
              <w:jc w:val="left"/>
              <w:rPr/>
            </w:pPr>
            <w:r>
              <w:rPr/>
              <w:t> </w:t>
            </w:r>
          </w:p>
        </w:tc>
        <w:tc>
          <w:tcPr>
            <w:tcW w:w="147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8" w:space="0" w:color="000000"/>
            </w:tcBorders>
            <w:shd w:fill="FFFFFF" w:val="clear"/>
            <w:vAlign w:val="center"/>
          </w:tcPr>
          <w:p>
            <w:pPr>
              <w:pStyle w:val="TableContents"/>
              <w:bidi w:val="0"/>
              <w:spacing w:before="0" w:after="283"/>
              <w:jc w:val="left"/>
              <w:rPr/>
            </w:pPr>
            <w:r>
              <w:rPr/>
              <w:t> </w:t>
            </w:r>
          </w:p>
        </w:tc>
        <w:tc>
          <w:tcPr>
            <w:tcW w:w="1406" w:type="dxa"/>
            <w:tcBorders>
              <w:bottom w:val="single" w:sz="8" w:space="0" w:color="000000"/>
            </w:tcBorders>
            <w:shd w:fill="FFFFFF" w:val="clear"/>
            <w:vAlign w:val="center"/>
          </w:tcPr>
          <w:p>
            <w:pPr>
              <w:pStyle w:val="TableContents"/>
              <w:bidi w:val="0"/>
              <w:spacing w:before="0" w:after="283"/>
              <w:jc w:val="right"/>
              <w:rPr/>
            </w:pPr>
            <w:r>
              <w:rPr/>
              <w:t>353,604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13,161,095</w:t>
            </w:r>
          </w:p>
        </w:tc>
        <w:tc>
          <w:tcPr>
            <w:tcW w:w="80" w:type="dxa"/>
            <w:tcBorders/>
            <w:shd w:fill="FFFFFF" w:val="clear"/>
            <w:tcMar>
              <w:bottom w:w="0" w:type="dxa"/>
            </w:tcMar>
            <w:vAlign w:val="center"/>
          </w:tcPr>
          <w:p>
            <w:pPr>
              <w:pStyle w:val="TableContents"/>
              <w:bidi w:val="0"/>
              <w:spacing w:before="0" w:after="283"/>
              <w:jc w:val="left"/>
              <w:rPr/>
            </w:pPr>
            <w:r>
              <w:rPr/>
              <w:t> </w:t>
            </w:r>
            <w:bookmarkStart w:id="2062" w:name="xdx_400_eus-gaap--PolicyholderFunds_iI_h"/>
            <w:bookmarkEnd w:id="2062"/>
          </w:p>
        </w:tc>
      </w:tr>
      <w:tr>
        <w:trPr/>
        <w:tc>
          <w:tcPr>
            <w:tcW w:w="1748"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vAlign w:val="center"/>
          </w:tcPr>
          <w:p>
            <w:pPr>
              <w:pStyle w:val="TableContents"/>
              <w:bidi w:val="0"/>
              <w:spacing w:before="0" w:after="283"/>
              <w:jc w:val="left"/>
              <w:rPr/>
            </w:pPr>
            <w:r>
              <w:rPr/>
              <w:t>$</w:t>
            </w:r>
          </w:p>
        </w:tc>
        <w:tc>
          <w:tcPr>
            <w:tcW w:w="1275" w:type="dxa"/>
            <w:tcBorders>
              <w:bottom w:val="double" w:sz="6" w:space="0" w:color="000000"/>
            </w:tcBorders>
            <w:shd w:fill="CCEEFF" w:val="clear"/>
            <w:vAlign w:val="center"/>
          </w:tcPr>
          <w:p>
            <w:pPr>
              <w:pStyle w:val="TableContents"/>
              <w:bidi w:val="0"/>
              <w:spacing w:before="0" w:after="283"/>
              <w:jc w:val="right"/>
              <w:rPr/>
            </w:pPr>
            <w:r>
              <w:rPr/>
              <w:t>77,277,381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vAlign w:val="center"/>
          </w:tcPr>
          <w:p>
            <w:pPr>
              <w:pStyle w:val="TableContents"/>
              <w:bidi w:val="0"/>
              <w:spacing w:before="0" w:after="283"/>
              <w:jc w:val="left"/>
              <w:rPr/>
            </w:pPr>
            <w:r>
              <w:rPr/>
              <w:t>$</w:t>
            </w:r>
          </w:p>
        </w:tc>
        <w:tc>
          <w:tcPr>
            <w:tcW w:w="1473" w:type="dxa"/>
            <w:tcBorders>
              <w:bottom w:val="double" w:sz="6" w:space="0" w:color="000000"/>
            </w:tcBorders>
            <w:shd w:fill="CCEEFF" w:val="clear"/>
            <w:vAlign w:val="center"/>
          </w:tcPr>
          <w:p>
            <w:pPr>
              <w:pStyle w:val="TableContents"/>
              <w:bidi w:val="0"/>
              <w:spacing w:before="0" w:after="283"/>
              <w:jc w:val="right"/>
              <w:rPr/>
            </w:pPr>
            <w:r>
              <w:rPr/>
              <w:t>21,395,217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pPr>
            <w:r>
              <w:rPr/>
              <w:t>$</w:t>
            </w:r>
          </w:p>
        </w:tc>
        <w:tc>
          <w:tcPr>
            <w:tcW w:w="1406" w:type="dxa"/>
            <w:tcBorders>
              <w:bottom w:val="double" w:sz="6" w:space="0" w:color="000000"/>
            </w:tcBorders>
            <w:shd w:fill="CCEEFF" w:val="clear"/>
            <w:vAlign w:val="center"/>
          </w:tcPr>
          <w:p>
            <w:pPr>
              <w:pStyle w:val="TableContents"/>
              <w:bidi w:val="0"/>
              <w:spacing w:before="0" w:after="283"/>
              <w:jc w:val="right"/>
              <w:rPr/>
            </w:pPr>
            <w:r>
              <w:rPr/>
              <w:t>724,810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vAlign w:val="center"/>
          </w:tcPr>
          <w:p>
            <w:pPr>
              <w:pStyle w:val="TableContents"/>
              <w:bidi w:val="0"/>
              <w:spacing w:before="0" w:after="283"/>
              <w:jc w:val="left"/>
              <w:rPr/>
            </w:pPr>
            <w:r>
              <w:rPr/>
              <w:t>$</w:t>
            </w:r>
          </w:p>
        </w:tc>
        <w:tc>
          <w:tcPr>
            <w:tcW w:w="1553" w:type="dxa"/>
            <w:tcBorders>
              <w:bottom w:val="double" w:sz="6" w:space="0" w:color="000000"/>
            </w:tcBorders>
            <w:shd w:fill="CCEEFF" w:val="clear"/>
            <w:vAlign w:val="center"/>
          </w:tcPr>
          <w:p>
            <w:pPr>
              <w:pStyle w:val="TableContents"/>
              <w:bidi w:val="0"/>
              <w:spacing w:before="0" w:after="283"/>
              <w:jc w:val="right"/>
              <w:rPr/>
            </w:pPr>
            <w:r>
              <w:rPr/>
              <w:t>5,438,341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220" w:type="dxa"/>
            <w:tcBorders>
              <w:bottom w:val="double" w:sz="6" w:space="0" w:color="000000"/>
            </w:tcBorders>
            <w:shd w:fill="CCEEFF" w:val="clear"/>
            <w:vAlign w:val="center"/>
          </w:tcPr>
          <w:p>
            <w:pPr>
              <w:pStyle w:val="TableContents"/>
              <w:bidi w:val="0"/>
              <w:spacing w:before="0" w:after="283"/>
              <w:jc w:val="right"/>
              <w:rPr/>
            </w:pPr>
            <w:r>
              <w:rPr/>
              <w:t>104,835,749</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63" w:name="xdx_8AC_z37protUgHRe"/>
      <w:bookmarkEnd w:id="206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64" w:name="xdx_801_eus-gaap--ReinsuranceTextBlock_z"/>
      <w:bookmarkEnd w:id="2064"/>
      <w:r>
        <w:rPr>
          <w:rFonts w:ascii="Times New Roman;Times;Serif" w:hAnsi="Times New Roman;Times;Serif"/>
          <w:b w:val="false"/>
          <w:i w:val="false"/>
          <w:caps w:val="false"/>
          <w:smallCaps w:val="false"/>
          <w:sz w:val="20"/>
        </w:rPr>
        <w:t xml:space="preserve">12) </w:t>
      </w:r>
      <w:bookmarkStart w:id="2065" w:name="xdx_821_zTKnd8QL9YI6"/>
      <w:bookmarkStart w:id="2066" w:name="sp_007"/>
      <w:bookmarkEnd w:id="2065"/>
      <w:bookmarkEnd w:id="2066"/>
      <w:r>
        <w:rPr>
          <w:rFonts w:ascii="Times New Roman;Times;Serif" w:hAnsi="Times New Roman;Times;Serif"/>
          <w:b w:val="false"/>
          <w:i w:val="false"/>
          <w:caps w:val="false"/>
          <w:smallCaps w:val="false"/>
          <w:sz w:val="20"/>
          <w:u w:val="single"/>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procedure of reinsuring risks of more than a specified limit, which ranges from $</w:t>
      </w:r>
      <w:bookmarkStart w:id="2067" w:name="xdx_900_eus-gaap--ReinsurancePayable_iI_"/>
      <w:bookmarkEnd w:id="2067"/>
      <w:r>
        <w:rPr>
          <w:rFonts w:ascii="Times New Roman;Times;Serif" w:hAnsi="Times New Roman;Times;Serif"/>
          <w:b w:val="false"/>
          <w:i w:val="false"/>
          <w:caps w:val="false"/>
          <w:smallCaps w:val="false"/>
          <w:sz w:val="20"/>
        </w:rPr>
        <w:t>25,000 to $</w:t>
      </w:r>
      <w:bookmarkStart w:id="2068" w:name="xdx_908_eus-gaap--ReinsurancePayable_iI_"/>
      <w:bookmarkEnd w:id="2068"/>
      <w:r>
        <w:rPr>
          <w:rFonts w:ascii="Times New Roman;Times;Serif" w:hAnsi="Times New Roman;Times;Serif"/>
          <w:b w:val="false"/>
          <w:i w:val="false"/>
          <w:caps w:val="false"/>
          <w:smallCaps w:val="false"/>
          <w:sz w:val="20"/>
        </w:rPr>
        <w:t>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9" w:name="xdx_80A_eus-gaap--IncomeTaxDisclosureTex"/>
      <w:bookmarkEnd w:id="2069"/>
      <w:r>
        <w:rPr>
          <w:rFonts w:ascii="Times New Roman;Times;Serif" w:hAnsi="Times New Roman;Times;Serif"/>
          <w:b w:val="false"/>
          <w:i w:val="false"/>
          <w:caps w:val="false"/>
          <w:smallCaps w:val="false"/>
          <w:sz w:val="20"/>
        </w:rPr>
        <w:t xml:space="preserve">13) </w:t>
      </w:r>
      <w:bookmarkStart w:id="2070" w:name="xdx_824_zsARiJaRYPF4"/>
      <w:bookmarkStart w:id="2071" w:name="sp_008"/>
      <w:bookmarkEnd w:id="2070"/>
      <w:bookmarkEnd w:id="2071"/>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OBBBA did not have a material impact on the Company’s estimated effective tax rate for 2025 and is not anticipated to have a material impact on the effective tax rate for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overall effective tax rate for the three-month periods ended June 30, 2026 and 2025 was </w:t>
      </w:r>
      <w:bookmarkStart w:id="2072" w:name="xdx_90C_eus-gaap--EffectiveIncomeTaxRate"/>
      <w:bookmarkEnd w:id="2072"/>
      <w:r>
        <w:rPr>
          <w:rFonts w:ascii="Times New Roman;Times;Serif" w:hAnsi="Times New Roman;Times;Serif"/>
          <w:b w:val="false"/>
          <w:i w:val="false"/>
          <w:caps w:val="false"/>
          <w:smallCaps w:val="false"/>
          <w:sz w:val="20"/>
        </w:rPr>
        <w:t xml:space="preserve">23.0% and </w:t>
      </w:r>
      <w:bookmarkStart w:id="2073" w:name="xdx_90E_eus-gaap--EffectiveIncomeTaxRate"/>
      <w:bookmarkEnd w:id="2073"/>
      <w:r>
        <w:rPr>
          <w:rFonts w:ascii="Times New Roman;Times;Serif" w:hAnsi="Times New Roman;Times;Serif"/>
          <w:b w:val="false"/>
          <w:i w:val="false"/>
          <w:caps w:val="false"/>
          <w:smallCaps w:val="false"/>
          <w:sz w:val="20"/>
        </w:rPr>
        <w:t>22.1%, respectively, which resulted in a provision for income taxes of $</w:t>
      </w:r>
      <w:bookmarkStart w:id="2074" w:name="xdx_900_eus-gaap--IncomeTaxExpenseBenefi"/>
      <w:bookmarkEnd w:id="2074"/>
      <w:r>
        <w:rPr>
          <w:rFonts w:ascii="Times New Roman;Times;Serif" w:hAnsi="Times New Roman;Times;Serif"/>
          <w:b w:val="false"/>
          <w:i w:val="false"/>
          <w:caps w:val="false"/>
          <w:smallCaps w:val="false"/>
          <w:sz w:val="20"/>
        </w:rPr>
        <w:t>2,677,012 and $</w:t>
      </w:r>
      <w:bookmarkStart w:id="2075" w:name="xdx_90F_eus-gaap--IncomeTaxExpenseBenefi"/>
      <w:bookmarkEnd w:id="2075"/>
      <w:r>
        <w:rPr>
          <w:rFonts w:ascii="Times New Roman;Times;Serif" w:hAnsi="Times New Roman;Times;Serif"/>
          <w:b w:val="false"/>
          <w:i w:val="false"/>
          <w:caps w:val="false"/>
          <w:smallCaps w:val="false"/>
          <w:sz w:val="20"/>
        </w:rPr>
        <w:t xml:space="preserve">2,367,914, respectively, and for the six-month periods ended June 30, 2026 and 2025 was </w:t>
      </w:r>
      <w:bookmarkStart w:id="2076" w:name="xdx_905_eus-gaap--EffectiveIncomeTaxRate"/>
      <w:bookmarkEnd w:id="2076"/>
      <w:r>
        <w:rPr>
          <w:rFonts w:ascii="Times New Roman;Times;Serif" w:hAnsi="Times New Roman;Times;Serif"/>
          <w:b w:val="false"/>
          <w:i w:val="false"/>
          <w:caps w:val="false"/>
          <w:smallCaps w:val="false"/>
          <w:sz w:val="20"/>
        </w:rPr>
        <w:t xml:space="preserve">22.8% and </w:t>
      </w:r>
      <w:bookmarkStart w:id="2077" w:name="xdx_906_eus-gaap--EffectiveIncomeTaxRate"/>
      <w:bookmarkEnd w:id="2077"/>
      <w:r>
        <w:rPr>
          <w:rFonts w:ascii="Times New Roman;Times;Serif" w:hAnsi="Times New Roman;Times;Serif"/>
          <w:b w:val="false"/>
          <w:i w:val="false"/>
          <w:caps w:val="false"/>
          <w:smallCaps w:val="false"/>
          <w:sz w:val="20"/>
        </w:rPr>
        <w:t>22.1%, respectively, which resulted in a provision for income taxes of $</w:t>
      </w:r>
      <w:bookmarkStart w:id="2078" w:name="xdx_900_eus-gaap--IncomeTaxExpenseBenefi"/>
      <w:bookmarkEnd w:id="2078"/>
      <w:r>
        <w:rPr>
          <w:rFonts w:ascii="Times New Roman;Times;Serif" w:hAnsi="Times New Roman;Times;Serif"/>
          <w:b w:val="false"/>
          <w:i w:val="false"/>
          <w:caps w:val="false"/>
          <w:smallCaps w:val="false"/>
          <w:sz w:val="20"/>
        </w:rPr>
        <w:t>4,727,904 and $</w:t>
      </w:r>
      <w:bookmarkStart w:id="2079" w:name="xdx_905_eus-gaap--IncomeTaxExpenseBenefi"/>
      <w:bookmarkEnd w:id="2079"/>
      <w:r>
        <w:rPr>
          <w:rFonts w:ascii="Times New Roman;Times;Serif" w:hAnsi="Times New Roman;Times;Serif"/>
          <w:b w:val="false"/>
          <w:i w:val="false"/>
          <w:caps w:val="false"/>
          <w:smallCaps w:val="false"/>
          <w:sz w:val="20"/>
        </w:rPr>
        <w:t xml:space="preserve">4,204,512, respectively. The Company’s effective tax rate is higher than the U.S. federal statutory rate of </w:t>
      </w:r>
      <w:bookmarkStart w:id="2080" w:name="xdx_903_eus-gaap--EffectiveIncomeTaxRate"/>
      <w:bookmarkEnd w:id="2080"/>
      <w:r>
        <w:rPr>
          <w:rFonts w:ascii="Times New Roman;Times;Serif" w:hAnsi="Times New Roman;Times;Serif"/>
          <w:b w:val="false"/>
          <w:i w:val="false"/>
          <w:caps w:val="false"/>
          <w:smallCaps w:val="false"/>
          <w:sz w:val="20"/>
        </w:rPr>
        <w:t>21% due to, among other factors, state taxes as offset by certain state income tax benefits, along with certain permanent tax adjustments such as meals and entertainment and stock-based compensation. The increase in the effective tax rate when compared to the prior year was primarily due to certain permanent tax adjustments that are higher when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1" w:name="xdx_800_eus-gaap--StockholdersEquityNote"/>
      <w:bookmarkEnd w:id="2081"/>
      <w:r>
        <w:rPr>
          <w:rFonts w:ascii="Times New Roman;Times;Serif" w:hAnsi="Times New Roman;Times;Serif"/>
          <w:b w:val="false"/>
          <w:i w:val="false"/>
          <w:caps w:val="false"/>
          <w:smallCaps w:val="false"/>
          <w:sz w:val="20"/>
        </w:rPr>
        <w:t xml:space="preserve">14) </w:t>
      </w:r>
      <w:bookmarkStart w:id="2082" w:name="xdx_822_zzC2Zl927XSc"/>
      <w:bookmarkStart w:id="2083" w:name="sp_009"/>
      <w:bookmarkEnd w:id="2082"/>
      <w:bookmarkEnd w:id="2083"/>
      <w:r>
        <w:rPr>
          <w:rFonts w:ascii="Times New Roman;Times;Serif" w:hAnsi="Times New Roman;Times;Serif"/>
          <w:b w:val="false"/>
          <w:i w:val="false"/>
          <w:caps w:val="false"/>
          <w:smallCaps w:val="false"/>
          <w:sz w:val="20"/>
          <w:u w:val="single"/>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4" w:name="xdx_893_eus-gaap--ScheduleOfConversionsO"/>
      <w:bookmarkEnd w:id="2084"/>
      <w:r>
        <w:rPr>
          <w:rFonts w:ascii="Times New Roman;Times;Serif" w:hAnsi="Times New Roman;Times;Serif"/>
          <w:b w:val="false"/>
          <w:i w:val="false"/>
          <w:caps w:val="false"/>
          <w:smallCaps w:val="false"/>
          <w:sz w:val="20"/>
        </w:rPr>
        <w:t>The following table summarizes the activity in shares of capital stock.</w:t>
      </w:r>
    </w:p>
    <w:p>
      <w:pPr>
        <w:pStyle w:val="TextBody"/>
        <w:bidi w:val="0"/>
        <w:spacing w:before="0" w:after="0"/>
        <w:ind w:left="0" w:right="0" w:hanging="0"/>
        <w:jc w:val="both"/>
        <w:rPr>
          <w:caps w:val="false"/>
          <w:smallCaps w:val="false"/>
        </w:rPr>
      </w:pPr>
      <w:r>
        <w:rPr>
          <w:caps w:val="false"/>
          <w:smallCaps w:val="false"/>
        </w:rPr>
        <w:t> </w:t>
      </w:r>
      <w:bookmarkStart w:id="2085" w:name="xdx_8B0_zk65oLxWIQEb"/>
      <w:bookmarkEnd w:id="2085"/>
      <w:r>
        <w:rPr>
          <w:rFonts w:ascii="Times New Roman;Times;Serif" w:hAnsi="Times New Roman;Times;Serif"/>
          <w:b w:val="false"/>
          <w:i w:val="false"/>
          <w:caps w:val="false"/>
          <w:smallCaps w:val="false"/>
          <w:sz w:val="20"/>
        </w:rPr>
        <w:t>Summary of Activities in Shares of Capital Stock </w:t>
      </w:r>
    </w:p>
    <w:tbl>
      <w:tblPr>
        <w:tblW w:w="6815" w:type="dxa"/>
        <w:jc w:val="left"/>
        <w:tblInd w:w="0" w:type="dxa"/>
        <w:tblLayout w:type="fixed"/>
        <w:tblCellMar>
          <w:top w:w="0" w:type="dxa"/>
          <w:left w:w="0" w:type="dxa"/>
          <w:bottom w:w="0" w:type="dxa"/>
          <w:right w:w="0" w:type="dxa"/>
        </w:tblCellMar>
      </w:tblPr>
      <w:tblGrid>
        <w:gridCol w:w="4325"/>
        <w:gridCol w:w="60"/>
        <w:gridCol w:w="60"/>
        <w:gridCol w:w="1100"/>
        <w:gridCol w:w="60"/>
        <w:gridCol w:w="60"/>
        <w:gridCol w:w="60"/>
        <w:gridCol w:w="980"/>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6" w:name="xdx_4B8_us-gaap--StatementClassOfStockAx"/>
            <w:bookmarkEnd w:id="2086"/>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7" w:name="xdx_4BA_us-gaap--StatementClassOfStockAx"/>
            <w:bookmarkEnd w:id="2087"/>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Class C</w:t>
            </w:r>
          </w:p>
        </w:tc>
        <w:tc>
          <w:tcPr>
            <w:tcW w:w="110" w:type="dxa"/>
            <w:tcBorders/>
            <w:vAlign w:val="center"/>
          </w:tcPr>
          <w:p>
            <w:pPr>
              <w:pStyle w:val="TableContents"/>
              <w:bidi w:val="0"/>
              <w:spacing w:before="0" w:after="283"/>
              <w:jc w:val="left"/>
              <w:rPr/>
            </w:pPr>
            <w:r>
              <w:rPr/>
              <w:t> </w:t>
            </w:r>
            <w:bookmarkStart w:id="2088" w:name="xdx_432_c20260101__20260630_eus-gaap--Co"/>
            <w:bookmarkEnd w:id="2088"/>
          </w:p>
        </w:tc>
      </w:tr>
      <w:tr>
        <w:trPr/>
        <w:tc>
          <w:tcPr>
            <w:tcW w:w="4325" w:type="dxa"/>
            <w:tcBorders/>
            <w:shd w:fill="CCEEFF" w:val="clear"/>
            <w:vAlign w:val="center"/>
          </w:tcPr>
          <w:p>
            <w:pPr>
              <w:pStyle w:val="TableContents"/>
              <w:bidi w:val="0"/>
              <w:spacing w:before="0" w:after="283"/>
              <w:jc w:val="left"/>
              <w:rPr/>
            </w:pPr>
            <w:r>
              <w:rPr/>
              <w:t>Outstanding shares at December 31, 2025 (</w:t>
            </w:r>
            <w:bookmarkStart w:id="2089" w:name="xdx_F46_zzJDUW1TI0fc"/>
            <w:bookmarkEnd w:id="2089"/>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23,551,670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3,767,672</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0" w:name="xdx_439_c20260101__20260630_ecustom--Sto"/>
            <w:bookmarkEnd w:id="2090"/>
          </w:p>
        </w:tc>
      </w:tr>
      <w:tr>
        <w:trPr/>
        <w:tc>
          <w:tcPr>
            <w:tcW w:w="4325"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21,596</w:t>
            </w:r>
          </w:p>
        </w:tc>
        <w:tc>
          <w:tcPr>
            <w:tcW w:w="110" w:type="dxa"/>
            <w:tcBorders/>
            <w:shd w:fill="CCEEFF" w:val="clear"/>
            <w:vAlign w:val="center"/>
          </w:tcPr>
          <w:p>
            <w:pPr>
              <w:pStyle w:val="TableContents"/>
              <w:bidi w:val="0"/>
              <w:spacing w:before="0" w:after="283"/>
              <w:jc w:val="left"/>
              <w:rPr/>
            </w:pPr>
            <w:r>
              <w:rPr/>
              <w:t> </w:t>
            </w:r>
            <w:bookmarkStart w:id="2091" w:name="xdx_430_c20260101__20260630_ecustom--Ves"/>
            <w:bookmarkEnd w:id="2091"/>
          </w:p>
        </w:tc>
      </w:tr>
      <w:tr>
        <w:trPr/>
        <w:tc>
          <w:tcPr>
            <w:tcW w:w="4325" w:type="dxa"/>
            <w:tcBorders/>
            <w:shd w:fill="FFFFFF" w:val="clear"/>
            <w:vAlign w:val="center"/>
          </w:tcPr>
          <w:p>
            <w:pPr>
              <w:pStyle w:val="TableContents"/>
              <w:bidi w:val="0"/>
              <w:spacing w:before="0" w:after="283"/>
              <w:jc w:val="left"/>
              <w:rPr/>
            </w:pPr>
            <w:r>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2" w:name="xdx_435_c20260101__20260630_eus-gaap--St"/>
            <w:bookmarkEnd w:id="2092"/>
          </w:p>
        </w:tc>
      </w:tr>
      <w:tr>
        <w:trPr/>
        <w:tc>
          <w:tcPr>
            <w:tcW w:w="4325" w:type="dxa"/>
            <w:tcBorders/>
            <w:shd w:fill="CCEEFF" w:val="clear"/>
            <w:vAlign w:val="center"/>
          </w:tcPr>
          <w:p>
            <w:pPr>
              <w:pStyle w:val="TableContents"/>
              <w:bidi w:val="0"/>
              <w:spacing w:before="0" w:after="283"/>
              <w:jc w:val="left"/>
              <w:rPr/>
            </w:pPr>
            <w:r>
              <w:rPr/>
              <w:t>Conversion of Class C to Class 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3" w:name="xdx_43C_c20260101__20260630_eus-gaap--Co"/>
            <w:bookmarkEnd w:id="2093"/>
          </w:p>
        </w:tc>
      </w:tr>
      <w:tr>
        <w:trPr/>
        <w:tc>
          <w:tcPr>
            <w:tcW w:w="4325" w:type="dxa"/>
            <w:tcBorders/>
            <w:shd w:fill="CCEEFF" w:val="clear"/>
            <w:vAlign w:val="center"/>
          </w:tcPr>
          <w:p>
            <w:pPr>
              <w:pStyle w:val="TableContents"/>
              <w:bidi w:val="0"/>
              <w:spacing w:before="0" w:after="283"/>
              <w:jc w:val="left"/>
              <w:rPr/>
            </w:pPr>
            <w:r>
              <w:rPr/>
              <w:t>Outstanding shares at June 30, 2026 (1)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23,583,948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3,789,130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4" w:name="xdx_43E_c20250101__20250630_eus-gaap--Co"/>
            <w:bookmarkEnd w:id="2094"/>
          </w:p>
        </w:tc>
      </w:tr>
      <w:tr>
        <w:trPr/>
        <w:tc>
          <w:tcPr>
            <w:tcW w:w="4325" w:type="dxa"/>
            <w:tcBorders/>
            <w:shd w:fill="CCEEFF" w:val="clear"/>
            <w:vAlign w:val="center"/>
          </w:tcPr>
          <w:p>
            <w:pPr>
              <w:pStyle w:val="TableContents"/>
              <w:bidi w:val="0"/>
              <w:spacing w:before="0" w:after="283"/>
              <w:jc w:val="left"/>
              <w:rPr/>
            </w:pPr>
            <w:r>
              <w:rPr/>
              <w:t>Outstanding shares at December 31, 2024 (</w:t>
            </w:r>
            <w:bookmarkStart w:id="2095" w:name="xdx_F48_zJG53WkWaDA9"/>
            <w:bookmarkEnd w:id="2095"/>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23,444,604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3,673,109</w:t>
            </w:r>
          </w:p>
        </w:tc>
        <w:tc>
          <w:tcPr>
            <w:tcW w:w="110" w:type="dxa"/>
            <w:tcBorders/>
            <w:shd w:fill="CCEEFF" w:val="clear"/>
            <w:vAlign w:val="center"/>
          </w:tcPr>
          <w:p>
            <w:pPr>
              <w:pStyle w:val="TableContents"/>
              <w:bidi w:val="0"/>
              <w:spacing w:before="0" w:after="283"/>
              <w:jc w:val="left"/>
              <w:rPr/>
            </w:pPr>
            <w:r>
              <w:rPr/>
              <w:t> </w:t>
            </w:r>
            <w:bookmarkStart w:id="2096" w:name="xdx_437_c20250101__20250630_eus-gaap--Co"/>
            <w:bookmarkEnd w:id="2096"/>
          </w:p>
        </w:tc>
      </w:tr>
      <w:tr>
        <w:trPr/>
        <w:tc>
          <w:tcPr>
            <w:tcW w:w="4325" w:type="dxa"/>
            <w:tcBorders/>
            <w:shd w:fill="CCEEFF" w:val="clear"/>
            <w:vAlign w:val="center"/>
          </w:tcPr>
          <w:p>
            <w:pPr>
              <w:pStyle w:val="TableContents"/>
              <w:bidi w:val="0"/>
              <w:spacing w:before="0" w:after="283"/>
              <w:jc w:val="left"/>
              <w:rPr/>
            </w:pPr>
            <w:r>
              <w:rPr/>
              <w:t>Outstanding shares, beginning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23,444,604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3,673,109</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7" w:name="xdx_43D_c20250101__20250630_ecustom--Sto"/>
            <w:bookmarkEnd w:id="2097"/>
          </w:p>
        </w:tc>
      </w:tr>
      <w:tr>
        <w:trPr/>
        <w:tc>
          <w:tcPr>
            <w:tcW w:w="4325"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95,337</w:t>
            </w:r>
          </w:p>
        </w:tc>
        <w:tc>
          <w:tcPr>
            <w:tcW w:w="110" w:type="dxa"/>
            <w:tcBorders/>
            <w:shd w:fill="CCEEFF" w:val="clear"/>
            <w:vAlign w:val="center"/>
          </w:tcPr>
          <w:p>
            <w:pPr>
              <w:pStyle w:val="TableContents"/>
              <w:bidi w:val="0"/>
              <w:spacing w:before="0" w:after="283"/>
              <w:jc w:val="left"/>
              <w:rPr/>
            </w:pPr>
            <w:r>
              <w:rPr/>
              <w:t> </w:t>
            </w:r>
            <w:bookmarkStart w:id="2098" w:name="xdx_438_c20250101__20250630_ecustom--Ves"/>
            <w:bookmarkEnd w:id="2098"/>
          </w:p>
        </w:tc>
      </w:tr>
      <w:tr>
        <w:trPr/>
        <w:tc>
          <w:tcPr>
            <w:tcW w:w="4325" w:type="dxa"/>
            <w:tcBorders/>
            <w:shd w:fill="FFFFFF" w:val="clear"/>
            <w:vAlign w:val="center"/>
          </w:tcPr>
          <w:p>
            <w:pPr>
              <w:pStyle w:val="TableContents"/>
              <w:bidi w:val="0"/>
              <w:spacing w:before="0" w:after="283"/>
              <w:jc w:val="left"/>
              <w:rPr/>
            </w:pPr>
            <w:r>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9" w:name="xdx_43A_c20250101__20250630_eus-gaap--St"/>
            <w:bookmarkEnd w:id="2099"/>
          </w:p>
        </w:tc>
      </w:tr>
      <w:tr>
        <w:trPr/>
        <w:tc>
          <w:tcPr>
            <w:tcW w:w="4325" w:type="dxa"/>
            <w:tcBorders/>
            <w:shd w:fill="CCEEFF" w:val="clear"/>
            <w:vAlign w:val="center"/>
          </w:tcPr>
          <w:p>
            <w:pPr>
              <w:pStyle w:val="TableContents"/>
              <w:bidi w:val="0"/>
              <w:spacing w:before="0" w:after="283"/>
              <w:jc w:val="left"/>
              <w:rPr/>
            </w:pPr>
            <w:r>
              <w:rPr/>
              <w:t>Conversion of Class C to Class 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0" w:name="xdx_434_c20250101__20250630_eus-gaap--Co"/>
            <w:bookmarkEnd w:id="2100"/>
          </w:p>
        </w:tc>
      </w:tr>
      <w:tr>
        <w:trPr/>
        <w:tc>
          <w:tcPr>
            <w:tcW w:w="4325" w:type="dxa"/>
            <w:tcBorders/>
            <w:shd w:fill="CCEEFF" w:val="clear"/>
            <w:vAlign w:val="center"/>
          </w:tcPr>
          <w:p>
            <w:pPr>
              <w:pStyle w:val="TableContents"/>
              <w:bidi w:val="0"/>
              <w:spacing w:before="0" w:after="283"/>
              <w:jc w:val="left"/>
              <w:rPr/>
            </w:pPr>
            <w:r>
              <w:rPr/>
              <w:t>Outstanding shares at June 30, 2025 (</w:t>
            </w:r>
            <w:bookmarkStart w:id="2101" w:name="xdx_F45_zMHvzq9tt1Zd"/>
            <w:bookmarkEnd w:id="2101"/>
            <w:r>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23,514,819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3,768,051</w:t>
            </w:r>
          </w:p>
        </w:tc>
        <w:tc>
          <w:tcPr>
            <w:tcW w:w="110" w:type="dxa"/>
            <w:tcBorders/>
            <w:shd w:fill="CCEEFF" w:val="clear"/>
            <w:vAlign w:val="center"/>
          </w:tcPr>
          <w:p>
            <w:pPr>
              <w:pStyle w:val="TableContents"/>
              <w:bidi w:val="0"/>
              <w:spacing w:before="0" w:after="283"/>
              <w:jc w:val="left"/>
              <w:rPr/>
            </w:pPr>
            <w:r>
              <w:rPr/>
              <w:t> </w:t>
            </w:r>
            <w:bookmarkStart w:id="2102" w:name="xdx_438_c20250101__20250630_eus-gaap--Co"/>
            <w:bookmarkEnd w:id="2102"/>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shares, ending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23,514,819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3,768,051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6160" w:type="dxa"/>
        <w:jc w:val="left"/>
        <w:tblInd w:w="0" w:type="dxa"/>
        <w:tblLayout w:type="fixed"/>
        <w:tblCellMar>
          <w:top w:w="0" w:type="dxa"/>
          <w:left w:w="0" w:type="dxa"/>
          <w:bottom w:w="0" w:type="dxa"/>
          <w:right w:w="0" w:type="dxa"/>
        </w:tblCellMar>
      </w:tblPr>
      <w:tblGrid>
        <w:gridCol w:w="305"/>
        <w:gridCol w:w="5855"/>
      </w:tblGrid>
      <w:tr>
        <w:trPr/>
        <w:tc>
          <w:tcPr>
            <w:tcW w:w="305" w:type="dxa"/>
            <w:tcBorders/>
            <w:vAlign w:val="center"/>
          </w:tcPr>
          <w:p>
            <w:pPr>
              <w:pStyle w:val="TableContents"/>
              <w:bidi w:val="0"/>
              <w:spacing w:before="0" w:after="283"/>
              <w:jc w:val="right"/>
              <w:rPr/>
            </w:pPr>
            <w:bookmarkStart w:id="2103" w:name="xdx_F01_zEczvfJXGWKh"/>
            <w:bookmarkEnd w:id="2103"/>
            <w:r>
              <w:rPr/>
              <w:t>(1)</w:t>
            </w:r>
            <w:bookmarkStart w:id="2104" w:name="xdx_F15_zHIXtJGJz048"/>
            <w:bookmarkEnd w:id="2104"/>
          </w:p>
        </w:tc>
        <w:tc>
          <w:tcPr>
            <w:tcW w:w="5855" w:type="dxa"/>
            <w:tcBorders/>
            <w:vAlign w:val="center"/>
          </w:tcPr>
          <w:p>
            <w:pPr>
              <w:pStyle w:val="TableContents"/>
              <w:bidi w:val="0"/>
              <w:spacing w:before="0" w:after="283"/>
              <w:jc w:val="both"/>
              <w:rPr/>
            </w:pPr>
            <w:r>
              <w:rPr/>
              <w:t>Adjusted retroactively for the effect of annual stock dividends</w:t>
            </w:r>
          </w:p>
        </w:tc>
      </w:tr>
    </w:tbl>
    <w:p>
      <w:pPr>
        <w:pStyle w:val="TextBody"/>
        <w:bidi w:val="0"/>
        <w:spacing w:before="0" w:after="0"/>
        <w:ind w:left="0" w:right="0" w:hanging="0"/>
        <w:jc w:val="both"/>
        <w:rPr>
          <w:caps w:val="false"/>
          <w:smallCaps w:val="false"/>
        </w:rPr>
      </w:pPr>
      <w:bookmarkStart w:id="2105" w:name="xdx_8AE_z1oDwJYAIjrf"/>
      <w:bookmarkEnd w:id="21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6" w:name="xdx_908_ecustom--StockDividend_c20260717"/>
      <w:bookmarkEnd w:id="2106"/>
      <w:r>
        <w:rPr>
          <w:rFonts w:ascii="Times New Roman;Times;Serif" w:hAnsi="Times New Roman;Times;Serif"/>
          <w:b w:val="false"/>
          <w:i w:val="false"/>
          <w:caps w:val="false"/>
          <w:smallCaps w:val="false"/>
          <w:sz w:val="20"/>
        </w:rPr>
        <w:t>The Company’s Board of Directors declared a 5% stock dividend on June 27, 2026, to shareholders of record as of July 10, 2026, which was issued on July 17, 2026. All share and per-share amounts presented herein have been retroactively adjusted to reflect the stock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 regarding the adoption of ASU 2018-12.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7" w:name="xdx_897_ecustom--ScheduleOfChangesInAccu"/>
      <w:bookmarkEnd w:id="2107"/>
      <w:r>
        <w:rPr>
          <w:rFonts w:ascii="Times New Roman;Times;Serif" w:hAnsi="Times New Roman;Times;Serif"/>
          <w:b w:val="false"/>
          <w:i w:val="false"/>
          <w:caps w:val="false"/>
          <w:smallCaps w:val="false"/>
          <w:sz w:val="20"/>
        </w:rPr>
        <w:t>The following table summarizes the changes in accumulated other comprehensive income (loss):</w:t>
      </w:r>
    </w:p>
    <w:p>
      <w:pPr>
        <w:pStyle w:val="TextBody"/>
        <w:bidi w:val="0"/>
        <w:spacing w:before="0" w:after="0"/>
        <w:ind w:left="0" w:right="0" w:hanging="0"/>
        <w:jc w:val="left"/>
        <w:rPr>
          <w:caps w:val="false"/>
          <w:smallCaps w:val="false"/>
        </w:rPr>
      </w:pPr>
      <w:r>
        <w:rPr>
          <w:caps w:val="false"/>
          <w:smallCaps w:val="false"/>
        </w:rPr>
        <w:t> </w:t>
      </w:r>
      <w:bookmarkStart w:id="2108" w:name="xdx_8B8_zKla7kcc0Bo9"/>
      <w:bookmarkEnd w:id="2108"/>
      <w:r>
        <w:rPr>
          <w:rFonts w:ascii="Times New Roman;Times;Serif" w:hAnsi="Times New Roman;Times;Serif"/>
          <w:b w:val="false"/>
          <w:i w:val="false"/>
          <w:caps w:val="false"/>
          <w:smallCaps w:val="false"/>
          <w:sz w:val="20"/>
        </w:rPr>
        <w:t>Schedule of Changes in Accumulated Other Comprehensive Income (Loss)   </w:t>
      </w:r>
    </w:p>
    <w:tbl>
      <w:tblPr>
        <w:tblW w:w="10205" w:type="dxa"/>
        <w:jc w:val="left"/>
        <w:tblInd w:w="0" w:type="dxa"/>
        <w:tblLayout w:type="fixed"/>
        <w:tblCellMar>
          <w:top w:w="0" w:type="dxa"/>
          <w:left w:w="0" w:type="dxa"/>
          <w:bottom w:w="0" w:type="dxa"/>
          <w:right w:w="0" w:type="dxa"/>
        </w:tblCellMar>
      </w:tblPr>
      <w:tblGrid>
        <w:gridCol w:w="4442"/>
        <w:gridCol w:w="60"/>
        <w:gridCol w:w="149"/>
        <w:gridCol w:w="1131"/>
        <w:gridCol w:w="101"/>
        <w:gridCol w:w="64"/>
        <w:gridCol w:w="149"/>
        <w:gridCol w:w="1131"/>
        <w:gridCol w:w="95"/>
        <w:gridCol w:w="60"/>
        <w:gridCol w:w="140"/>
        <w:gridCol w:w="1100"/>
        <w:gridCol w:w="95"/>
        <w:gridCol w:w="60"/>
        <w:gridCol w:w="140"/>
        <w:gridCol w:w="1175"/>
        <w:gridCol w:w="113"/>
      </w:tblGrid>
      <w:tr>
        <w:trPr/>
        <w:tc>
          <w:tcPr>
            <w:tcW w:w="4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2109" w:name="xdx_498_20260401__20260630_zzg3YZsoH06g"/>
            <w:bookmarkEnd w:id="2109"/>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01"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bookmarkStart w:id="2110" w:name="xdx_498_20250401__20250630_zbBy0V75O1v"/>
            <w:bookmarkEnd w:id="2110"/>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11" w:name="xdx_490_20260101__20260630_zewPGVyxPDP2"/>
            <w:bookmarkEnd w:id="2111"/>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12" w:name="xdx_499_20250101__20250630_zpwt9LMMURN"/>
            <w:bookmarkEnd w:id="2112"/>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center"/>
              <w:rPr/>
            </w:pPr>
            <w:r>
              <w:rPr/>
              <w:t> </w:t>
            </w:r>
          </w:p>
        </w:tc>
      </w:tr>
      <w:tr>
        <w:trPr/>
        <w:tc>
          <w:tcPr>
            <w:tcW w:w="4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25"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3" w:type="dxa"/>
            <w:tcBorders/>
            <w:vAlign w:val="center"/>
          </w:tcPr>
          <w:p>
            <w:pPr>
              <w:pStyle w:val="TableContents"/>
              <w:bidi w:val="0"/>
              <w:spacing w:before="0" w:after="283"/>
              <w:jc w:val="center"/>
              <w:rPr/>
            </w:pPr>
            <w:r>
              <w:rPr/>
              <w:t> </w:t>
            </w:r>
          </w:p>
        </w:tc>
      </w:tr>
      <w:tr>
        <w:trPr/>
        <w:tc>
          <w:tcPr>
            <w:tcW w:w="4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01"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center"/>
              <w:rPr/>
            </w:pPr>
            <w:r>
              <w:rPr/>
              <w:t> </w:t>
            </w:r>
          </w:p>
        </w:tc>
      </w:tr>
      <w:tr>
        <w:trPr/>
        <w:tc>
          <w:tcPr>
            <w:tcW w:w="4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2113" w:name="xdx_40C_eus-gaap--OtherComprehensiveInco"/>
            <w:bookmarkEnd w:id="2113"/>
          </w:p>
        </w:tc>
      </w:tr>
      <w:tr>
        <w:trPr/>
        <w:tc>
          <w:tcPr>
            <w:tcW w:w="4442" w:type="dxa"/>
            <w:tcBorders/>
            <w:shd w:fill="CCEEFF" w:val="clear"/>
            <w:vAlign w:val="center"/>
          </w:tcPr>
          <w:p>
            <w:pPr>
              <w:pStyle w:val="TableContents"/>
              <w:bidi w:val="0"/>
              <w:spacing w:before="0" w:after="283"/>
              <w:jc w:val="left"/>
              <w:rPr/>
            </w:pPr>
            <w:r>
              <w:rPr/>
              <w:t>Unrealized gains (losses) on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(314,801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2,721,438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(4,482,485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6,710,220</w:t>
            </w:r>
          </w:p>
        </w:tc>
        <w:tc>
          <w:tcPr>
            <w:tcW w:w="113" w:type="dxa"/>
            <w:tcBorders/>
            <w:shd w:fill="CCEEFF" w:val="clear"/>
            <w:vAlign w:val="center"/>
          </w:tcPr>
          <w:p>
            <w:pPr>
              <w:pStyle w:val="TableContents"/>
              <w:bidi w:val="0"/>
              <w:spacing w:before="0" w:after="283"/>
              <w:jc w:val="left"/>
              <w:rPr/>
            </w:pPr>
            <w:r>
              <w:rPr/>
              <w:t> </w:t>
            </w:r>
            <w:bookmarkStart w:id="2114" w:name="xdx_40D_eus-gaap--OtherComprehensiveInco"/>
            <w:bookmarkEnd w:id="2114"/>
          </w:p>
        </w:tc>
      </w:tr>
      <w:tr>
        <w:trPr/>
        <w:tc>
          <w:tcPr>
            <w:tcW w:w="4442" w:type="dxa"/>
            <w:tcBorders/>
            <w:shd w:fill="FFFFFF" w:val="clear"/>
            <w:vAlign w:val="center"/>
          </w:tcPr>
          <w:p>
            <w:pPr>
              <w:pStyle w:val="TableContents"/>
              <w:bidi w:val="0"/>
              <w:spacing w:before="0" w:after="283"/>
              <w:jc w:val="left"/>
              <w:rPr/>
            </w:pPr>
            <w:r>
              <w:rPr/>
              <w:t>Amounts reclassified into net earnings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(159,026</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50,796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(307,652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(76,729</w:t>
            </w:r>
          </w:p>
        </w:tc>
        <w:tc>
          <w:tcPr>
            <w:tcW w:w="113" w:type="dxa"/>
            <w:tcBorders/>
            <w:shd w:fill="FFFFFF" w:val="clear"/>
            <w:vAlign w:val="center"/>
          </w:tcPr>
          <w:p>
            <w:pPr>
              <w:pStyle w:val="TableContents"/>
              <w:bidi w:val="0"/>
              <w:spacing w:before="0" w:after="283"/>
              <w:jc w:val="left"/>
              <w:rPr/>
            </w:pPr>
            <w:r>
              <w:rPr/>
              <w:t>)</w:t>
            </w:r>
            <w:bookmarkStart w:id="2115" w:name="xdx_409_eus-gaap--OtherComprehensiveInco"/>
            <w:bookmarkEnd w:id="2115"/>
          </w:p>
        </w:tc>
      </w:tr>
      <w:tr>
        <w:trPr/>
        <w:tc>
          <w:tcPr>
            <w:tcW w:w="4442" w:type="dxa"/>
            <w:tcBorders/>
            <w:shd w:fill="CCEEFF" w:val="clear"/>
            <w:vAlign w:val="center"/>
          </w:tcPr>
          <w:p>
            <w:pPr>
              <w:pStyle w:val="TableContents"/>
              <w:bidi w:val="0"/>
              <w:spacing w:before="0" w:after="283"/>
              <w:jc w:val="left"/>
              <w:rPr/>
            </w:pPr>
            <w:r>
              <w:rPr/>
              <w:t>Net unrealized gains (losses) before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(473,827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2,772,234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(4,790,137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6,633,491</w:t>
            </w:r>
          </w:p>
        </w:tc>
        <w:tc>
          <w:tcPr>
            <w:tcW w:w="113" w:type="dxa"/>
            <w:tcBorders/>
            <w:shd w:fill="CCEEFF" w:val="clear"/>
            <w:vAlign w:val="center"/>
          </w:tcPr>
          <w:p>
            <w:pPr>
              <w:pStyle w:val="TableContents"/>
              <w:bidi w:val="0"/>
              <w:spacing w:before="0" w:after="283"/>
              <w:jc w:val="left"/>
              <w:rPr/>
            </w:pPr>
            <w:r>
              <w:rPr/>
              <w:t> </w:t>
            </w:r>
            <w:bookmarkStart w:id="2116" w:name="xdx_40E_eus-gaap--OtherComprehensiveInco"/>
            <w:bookmarkEnd w:id="2116"/>
          </w:p>
        </w:tc>
      </w:tr>
      <w:tr>
        <w:trPr/>
        <w:tc>
          <w:tcPr>
            <w:tcW w:w="4442" w:type="dxa"/>
            <w:tcBorders/>
            <w:shd w:fill="FFFFFF" w:val="clear"/>
            <w:vAlign w:val="center"/>
          </w:tcPr>
          <w:p>
            <w:pPr>
              <w:pStyle w:val="TableContents"/>
              <w:bidi w:val="0"/>
              <w:spacing w:before="0" w:after="283"/>
              <w:jc w:val="left"/>
              <w:rPr/>
            </w:pPr>
            <w:r>
              <w:rPr/>
              <w:t>Tax (expense) benefit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101,297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(581,839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1,010,277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(1,393,520</w:t>
            </w:r>
          </w:p>
        </w:tc>
        <w:tc>
          <w:tcPr>
            <w:tcW w:w="113" w:type="dxa"/>
            <w:tcBorders/>
            <w:shd w:fill="FFFFFF" w:val="clear"/>
            <w:vAlign w:val="center"/>
          </w:tcPr>
          <w:p>
            <w:pPr>
              <w:pStyle w:val="TableContents"/>
              <w:bidi w:val="0"/>
              <w:spacing w:before="0" w:after="283"/>
              <w:jc w:val="left"/>
              <w:rPr/>
            </w:pPr>
            <w:r>
              <w:rPr/>
              <w:t>)</w:t>
            </w:r>
            <w:bookmarkStart w:id="2117" w:name="xdx_40B_eus-gaap--OtherComprehensiveInco"/>
            <w:bookmarkEnd w:id="2117"/>
          </w:p>
        </w:tc>
      </w:tr>
      <w:tr>
        <w:trPr/>
        <w:tc>
          <w:tcPr>
            <w:tcW w:w="4442" w:type="dxa"/>
            <w:tcBorders/>
            <w:shd w:fill="CCEEFF" w:val="clear"/>
            <w:vAlign w:val="center"/>
          </w:tcPr>
          <w:p>
            <w:pPr>
              <w:pStyle w:val="TableContents"/>
              <w:bidi w:val="0"/>
              <w:spacing w:before="0" w:after="283"/>
              <w:jc w:val="left"/>
              <w:rPr/>
            </w:pPr>
            <w:r>
              <w:rPr/>
              <w:t>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(372,530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2,190,395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(3,779,860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5,239,971</w:t>
            </w:r>
          </w:p>
        </w:tc>
        <w:tc>
          <w:tcPr>
            <w:tcW w:w="113" w:type="dxa"/>
            <w:tcBorders/>
            <w:shd w:fill="CCEEFF" w:val="clear"/>
            <w:vAlign w:val="center"/>
          </w:tcPr>
          <w:p>
            <w:pPr>
              <w:pStyle w:val="TableContents"/>
              <w:bidi w:val="0"/>
              <w:spacing w:before="0" w:after="283"/>
              <w:jc w:val="left"/>
              <w:rPr/>
            </w:pPr>
            <w:r>
              <w:rPr/>
              <w:t> </w:t>
            </w:r>
            <w:bookmarkStart w:id="2118" w:name="xdx_400_eus-gaap--OtherComprehensiveInco"/>
            <w:bookmarkEnd w:id="2118"/>
          </w:p>
        </w:tc>
      </w:tr>
      <w:tr>
        <w:trPr/>
        <w:tc>
          <w:tcPr>
            <w:tcW w:w="4442" w:type="dxa"/>
            <w:tcBorders/>
            <w:shd w:fill="FFFFFF" w:val="clear"/>
            <w:vAlign w:val="center"/>
          </w:tcPr>
          <w:p>
            <w:pPr>
              <w:pStyle w:val="TableContents"/>
              <w:bidi w:val="0"/>
              <w:spacing w:before="0" w:after="283"/>
              <w:jc w:val="left"/>
              <w:rPr/>
            </w:pPr>
            <w:r>
              <w:rPr/>
              <w:t>Unrealized gains (losses) on restricted assets (</w:t>
            </w:r>
            <w:bookmarkStart w:id="2119" w:name="xdx_F4C_zaMKsaD8e4K3"/>
            <w:bookmarkEnd w:id="2119"/>
            <w:r>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896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(4,819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(532</w:t>
            </w:r>
          </w:p>
        </w:tc>
        <w:tc>
          <w:tcPr>
            <w:tcW w:w="113" w:type="dxa"/>
            <w:tcBorders/>
            <w:shd w:fill="FFFFFF" w:val="clear"/>
            <w:vAlign w:val="center"/>
          </w:tcPr>
          <w:p>
            <w:pPr>
              <w:pStyle w:val="TableContents"/>
              <w:bidi w:val="0"/>
              <w:spacing w:before="0" w:after="283"/>
              <w:jc w:val="left"/>
              <w:rPr/>
            </w:pPr>
            <w:r>
              <w:rPr/>
              <w:t>)</w:t>
            </w:r>
            <w:bookmarkStart w:id="2120" w:name="xdx_40A_eus-gaap--OtherComprehensiveInco"/>
            <w:bookmarkEnd w:id="2120"/>
          </w:p>
        </w:tc>
      </w:tr>
      <w:tr>
        <w:trPr/>
        <w:tc>
          <w:tcPr>
            <w:tcW w:w="4442" w:type="dxa"/>
            <w:tcBorders/>
            <w:shd w:fill="CCEEFF" w:val="clear"/>
            <w:vAlign w:val="center"/>
          </w:tcPr>
          <w:p>
            <w:pPr>
              <w:pStyle w:val="TableContents"/>
              <w:bidi w:val="0"/>
              <w:spacing w:before="0" w:after="283"/>
              <w:jc w:val="left"/>
              <w:rPr/>
            </w:pPr>
            <w:r>
              <w:rPr/>
              <w:t>Tax (expense) benefit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(223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113" w:type="dxa"/>
            <w:tcBorders/>
            <w:shd w:fill="CCEEFF" w:val="clear"/>
            <w:vAlign w:val="center"/>
          </w:tcPr>
          <w:p>
            <w:pPr>
              <w:pStyle w:val="TableContents"/>
              <w:bidi w:val="0"/>
              <w:spacing w:before="0" w:after="283"/>
              <w:jc w:val="left"/>
              <w:rPr/>
            </w:pPr>
            <w:r>
              <w:rPr/>
              <w:t> </w:t>
            </w:r>
            <w:bookmarkStart w:id="2121" w:name="xdx_408_eus-gaap--OtherComprehensiveInco"/>
            <w:bookmarkEnd w:id="2121"/>
          </w:p>
        </w:tc>
      </w:tr>
      <w:tr>
        <w:trPr/>
        <w:tc>
          <w:tcPr>
            <w:tcW w:w="4442" w:type="dxa"/>
            <w:tcBorders/>
            <w:shd w:fill="FFFFFF" w:val="clear"/>
            <w:vAlign w:val="center"/>
          </w:tcPr>
          <w:p>
            <w:pPr>
              <w:pStyle w:val="TableContents"/>
              <w:bidi w:val="0"/>
              <w:spacing w:before="0" w:after="283"/>
              <w:jc w:val="left"/>
              <w:rPr/>
            </w:pPr>
            <w:r>
              <w:rPr/>
              <w:t>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673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(3,619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113" w:type="dxa"/>
            <w:tcBorders/>
            <w:shd w:fill="FFFFFF" w:val="clear"/>
            <w:vAlign w:val="center"/>
          </w:tcPr>
          <w:p>
            <w:pPr>
              <w:pStyle w:val="TableContents"/>
              <w:bidi w:val="0"/>
              <w:spacing w:before="0" w:after="283"/>
              <w:jc w:val="left"/>
              <w:rPr/>
            </w:pPr>
            <w:r>
              <w:rPr/>
              <w:t>)</w:t>
            </w:r>
            <w:bookmarkStart w:id="2122" w:name="xdx_403_ecustom--UnrealizedGainsLossesOn"/>
            <w:bookmarkEnd w:id="2122"/>
          </w:p>
        </w:tc>
      </w:tr>
      <w:tr>
        <w:trPr/>
        <w:tc>
          <w:tcPr>
            <w:tcW w:w="4442" w:type="dxa"/>
            <w:tcBorders/>
            <w:shd w:fill="CCEEFF" w:val="clear"/>
            <w:vAlign w:val="center"/>
          </w:tcPr>
          <w:p>
            <w:pPr>
              <w:pStyle w:val="TableContents"/>
              <w:bidi w:val="0"/>
              <w:spacing w:before="0" w:after="283"/>
              <w:jc w:val="left"/>
              <w:rPr/>
            </w:pPr>
            <w:r>
              <w:rPr/>
              <w:t>Unrealized gains (losses) on cemetery perpetual care trust investments (</w:t>
            </w:r>
            <w:bookmarkStart w:id="2123" w:name="xdx_F40_za8MRKg5f2x5"/>
            <w:bookmarkEnd w:id="2123"/>
            <w:r>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85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1,665</w:t>
            </w:r>
          </w:p>
        </w:tc>
        <w:tc>
          <w:tcPr>
            <w:tcW w:w="113" w:type="dxa"/>
            <w:tcBorders/>
            <w:shd w:fill="CCEEFF" w:val="clear"/>
            <w:vAlign w:val="center"/>
          </w:tcPr>
          <w:p>
            <w:pPr>
              <w:pStyle w:val="TableContents"/>
              <w:bidi w:val="0"/>
              <w:spacing w:before="0" w:after="283"/>
              <w:jc w:val="left"/>
              <w:rPr/>
            </w:pPr>
            <w:r>
              <w:rPr/>
              <w:t> </w:t>
            </w:r>
            <w:bookmarkStart w:id="2124" w:name="xdx_40A_ecustom--UnrealizedGainsLosses_h"/>
            <w:bookmarkEnd w:id="2124"/>
          </w:p>
        </w:tc>
      </w:tr>
      <w:tr>
        <w:trPr/>
        <w:tc>
          <w:tcPr>
            <w:tcW w:w="4442" w:type="dxa"/>
            <w:tcBorders/>
            <w:shd w:fill="CCEEFF" w:val="clear"/>
            <w:vAlign w:val="center"/>
          </w:tcPr>
          <w:p>
            <w:pPr>
              <w:pStyle w:val="TableContents"/>
              <w:bidi w:val="0"/>
              <w:spacing w:before="0" w:after="283"/>
              <w:jc w:val="left"/>
              <w:rPr/>
            </w:pPr>
            <w:r>
              <w:rPr/>
              <w:t xml:space="preserve">Unrealized gains (losses)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85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1,665</w:t>
            </w:r>
          </w:p>
        </w:tc>
        <w:tc>
          <w:tcPr>
            <w:tcW w:w="113" w:type="dxa"/>
            <w:tcBorders/>
            <w:shd w:fill="CCEEFF" w:val="clear"/>
            <w:vAlign w:val="center"/>
          </w:tcPr>
          <w:p>
            <w:pPr>
              <w:pStyle w:val="TableContents"/>
              <w:bidi w:val="0"/>
              <w:spacing w:before="0" w:after="283"/>
              <w:jc w:val="left"/>
              <w:rPr/>
            </w:pPr>
            <w:r>
              <w:rPr/>
              <w:t> </w:t>
            </w:r>
            <w:bookmarkStart w:id="2125" w:name="xdx_404_eus-gaap--OtherComprehensiveInco"/>
            <w:bookmarkEnd w:id="2125"/>
          </w:p>
        </w:tc>
      </w:tr>
      <w:tr>
        <w:trPr/>
        <w:tc>
          <w:tcPr>
            <w:tcW w:w="4442" w:type="dxa"/>
            <w:tcBorders/>
            <w:shd w:fill="FFFFFF" w:val="clear"/>
            <w:vAlign w:val="center"/>
          </w:tcPr>
          <w:p>
            <w:pPr>
              <w:pStyle w:val="TableContents"/>
              <w:bidi w:val="0"/>
              <w:spacing w:before="0" w:after="283"/>
              <w:jc w:val="left"/>
              <w:rPr/>
            </w:pPr>
            <w:r>
              <w:rPr/>
              <w:t>Tax (expense) benefit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(415</w:t>
            </w:r>
          </w:p>
        </w:tc>
        <w:tc>
          <w:tcPr>
            <w:tcW w:w="113" w:type="dxa"/>
            <w:tcBorders/>
            <w:shd w:fill="FFFFFF" w:val="clear"/>
            <w:vAlign w:val="center"/>
          </w:tcPr>
          <w:p>
            <w:pPr>
              <w:pStyle w:val="TableContents"/>
              <w:bidi w:val="0"/>
              <w:spacing w:before="0" w:after="283"/>
              <w:jc w:val="left"/>
              <w:rPr/>
            </w:pPr>
            <w:r>
              <w:rPr/>
              <w:t>)</w:t>
            </w:r>
            <w:bookmarkStart w:id="2126" w:name="xdx_407_eus-gaap--OtherComprehensiveInco"/>
            <w:bookmarkEnd w:id="2126"/>
          </w:p>
        </w:tc>
      </w:tr>
      <w:tr>
        <w:trPr/>
        <w:tc>
          <w:tcPr>
            <w:tcW w:w="4442" w:type="dxa"/>
            <w:tcBorders/>
            <w:shd w:fill="CCEEFF" w:val="clear"/>
            <w:vAlign w:val="center"/>
          </w:tcPr>
          <w:p>
            <w:pPr>
              <w:pStyle w:val="TableContents"/>
              <w:bidi w:val="0"/>
              <w:spacing w:before="0" w:after="283"/>
              <w:jc w:val="left"/>
              <w:rPr/>
            </w:pPr>
            <w:r>
              <w:rPr/>
              <w:t>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(863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113" w:type="dxa"/>
            <w:tcBorders/>
            <w:shd w:fill="CCEEFF" w:val="clear"/>
            <w:vAlign w:val="center"/>
          </w:tcPr>
          <w:p>
            <w:pPr>
              <w:pStyle w:val="TableContents"/>
              <w:bidi w:val="0"/>
              <w:spacing w:before="0" w:after="283"/>
              <w:jc w:val="left"/>
              <w:rPr/>
            </w:pPr>
            <w:r>
              <w:rPr/>
              <w:t> </w:t>
            </w:r>
            <w:bookmarkStart w:id="2127" w:name="xdx_404_eus-gaap--OciLiabilityForFutureP"/>
            <w:bookmarkEnd w:id="2127"/>
          </w:p>
        </w:tc>
      </w:tr>
      <w:tr>
        <w:trPr/>
        <w:tc>
          <w:tcPr>
            <w:tcW w:w="4442" w:type="dxa"/>
            <w:tcBorders/>
            <w:shd w:fill="FFFFFF" w:val="clear"/>
            <w:vAlign w:val="center"/>
          </w:tcPr>
          <w:p>
            <w:pPr>
              <w:pStyle w:val="TableContents"/>
              <w:bidi w:val="0"/>
              <w:spacing w:before="0" w:after="283"/>
              <w:jc w:val="left"/>
              <w:rPr/>
            </w:pPr>
            <w:r>
              <w:rPr/>
              <w:t>Interest rate remeasurement of future policy benefits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(1,632,362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(2,038,836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12,903,719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(10,161,681</w:t>
            </w:r>
          </w:p>
        </w:tc>
        <w:tc>
          <w:tcPr>
            <w:tcW w:w="113" w:type="dxa"/>
            <w:tcBorders/>
            <w:shd w:fill="FFFFFF" w:val="clear"/>
            <w:vAlign w:val="center"/>
          </w:tcPr>
          <w:p>
            <w:pPr>
              <w:pStyle w:val="TableContents"/>
              <w:bidi w:val="0"/>
              <w:spacing w:before="0" w:after="283"/>
              <w:jc w:val="left"/>
              <w:rPr/>
            </w:pPr>
            <w:r>
              <w:rPr/>
              <w:t>)</w:t>
            </w:r>
            <w:bookmarkStart w:id="2128" w:name="xdx_40B_eus-gaap--OtherComprehensiveInco"/>
            <w:bookmarkEnd w:id="2128"/>
          </w:p>
        </w:tc>
      </w:tr>
      <w:tr>
        <w:trPr/>
        <w:tc>
          <w:tcPr>
            <w:tcW w:w="4442" w:type="dxa"/>
            <w:tcBorders/>
            <w:shd w:fill="CCEEFF" w:val="clear"/>
            <w:vAlign w:val="center"/>
          </w:tcPr>
          <w:p>
            <w:pPr>
              <w:pStyle w:val="TableContents"/>
              <w:bidi w:val="0"/>
              <w:spacing w:before="0" w:after="283"/>
              <w:jc w:val="left"/>
              <w:rPr/>
            </w:pPr>
            <w:r>
              <w:rPr/>
              <w:t>Tax (expense) benefit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342,797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428,155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(2,709,780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2,133,955</w:t>
            </w:r>
          </w:p>
        </w:tc>
        <w:tc>
          <w:tcPr>
            <w:tcW w:w="113" w:type="dxa"/>
            <w:tcBorders/>
            <w:shd w:fill="CCEEFF" w:val="clear"/>
            <w:vAlign w:val="center"/>
          </w:tcPr>
          <w:p>
            <w:pPr>
              <w:pStyle w:val="TableContents"/>
              <w:bidi w:val="0"/>
              <w:spacing w:before="0" w:after="283"/>
              <w:jc w:val="left"/>
              <w:rPr/>
            </w:pPr>
            <w:r>
              <w:rPr/>
              <w:t> </w:t>
            </w:r>
            <w:bookmarkStart w:id="2129" w:name="xdx_40F_eus-gaap--OciLiabilityForFutureP"/>
            <w:bookmarkEnd w:id="2129"/>
          </w:p>
        </w:tc>
      </w:tr>
      <w:tr>
        <w:trPr/>
        <w:tc>
          <w:tcPr>
            <w:tcW w:w="4442" w:type="dxa"/>
            <w:tcBorders/>
            <w:shd w:fill="FFFFFF" w:val="clear"/>
            <w:vAlign w:val="center"/>
          </w:tcPr>
          <w:p>
            <w:pPr>
              <w:pStyle w:val="TableContents"/>
              <w:bidi w:val="0"/>
              <w:spacing w:before="0" w:after="283"/>
              <w:jc w:val="left"/>
              <w:rPr/>
            </w:pPr>
            <w:r>
              <w:rPr/>
              <w:t>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(1,289,565</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(1,610,681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10,193,939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(8,027,726</w:t>
            </w:r>
          </w:p>
        </w:tc>
        <w:tc>
          <w:tcPr>
            <w:tcW w:w="113" w:type="dxa"/>
            <w:tcBorders/>
            <w:shd w:fill="FFFFFF" w:val="clear"/>
            <w:vAlign w:val="center"/>
          </w:tcPr>
          <w:p>
            <w:pPr>
              <w:pStyle w:val="TableContents"/>
              <w:bidi w:val="0"/>
              <w:spacing w:before="0" w:after="283"/>
              <w:jc w:val="left"/>
              <w:rPr/>
            </w:pPr>
            <w:r>
              <w:rPr/>
              <w:t>)</w:t>
            </w:r>
            <w:bookmarkStart w:id="2130" w:name="xdx_403_eus-gaap--OtherComprehensiveInco"/>
            <w:bookmarkEnd w:id="2130"/>
          </w:p>
        </w:tc>
      </w:tr>
      <w:tr>
        <w:trPr/>
        <w:tc>
          <w:tcPr>
            <w:tcW w:w="4442" w:type="dxa"/>
            <w:tcBorders/>
            <w:shd w:fill="CCEEFF" w:val="clear"/>
            <w:vAlign w:val="center"/>
          </w:tcPr>
          <w:p>
            <w:pPr>
              <w:pStyle w:val="TableContents"/>
              <w:bidi w:val="0"/>
              <w:spacing w:before="0" w:after="283"/>
              <w:jc w:val="left"/>
              <w:rPr/>
            </w:pPr>
            <w:r>
              <w:rPr/>
              <w:t>Other comprehensive income (loss) changes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jc w:val="right"/>
              <w:rPr/>
            </w:pPr>
            <w:r>
              <w:rPr/>
              <w:t>(1,661,358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jc w:val="right"/>
              <w:rPr/>
            </w:pPr>
            <w:r>
              <w:rPr/>
              <w:t>575,232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6,412,581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(2,786,905</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4300" w:type="dxa"/>
        <w:jc w:val="left"/>
        <w:tblInd w:w="0" w:type="dxa"/>
        <w:tblLayout w:type="fixed"/>
        <w:tblCellMar>
          <w:top w:w="0" w:type="dxa"/>
          <w:left w:w="0" w:type="dxa"/>
          <w:bottom w:w="0" w:type="dxa"/>
          <w:right w:w="0" w:type="dxa"/>
        </w:tblCellMar>
      </w:tblPr>
      <w:tblGrid>
        <w:gridCol w:w="305"/>
        <w:gridCol w:w="3995"/>
      </w:tblGrid>
      <w:tr>
        <w:trPr/>
        <w:tc>
          <w:tcPr>
            <w:tcW w:w="305" w:type="dxa"/>
            <w:tcBorders/>
            <w:vAlign w:val="center"/>
          </w:tcPr>
          <w:p>
            <w:pPr>
              <w:pStyle w:val="TableContents"/>
              <w:bidi w:val="0"/>
              <w:spacing w:before="0" w:after="283"/>
              <w:jc w:val="right"/>
              <w:rPr/>
            </w:pPr>
            <w:bookmarkStart w:id="2131" w:name="xdx_F04_zxePB69IJlm3"/>
            <w:bookmarkEnd w:id="2131"/>
            <w:r>
              <w:rPr/>
              <w:t>(1)</w:t>
            </w:r>
            <w:bookmarkStart w:id="2132" w:name="xdx_F15_zZww4juR3EV5"/>
            <w:bookmarkEnd w:id="2132"/>
          </w:p>
        </w:tc>
        <w:tc>
          <w:tcPr>
            <w:tcW w:w="3995" w:type="dxa"/>
            <w:tcBorders/>
            <w:vAlign w:val="center"/>
          </w:tcPr>
          <w:p>
            <w:pPr>
              <w:pStyle w:val="TableContents"/>
              <w:bidi w:val="0"/>
              <w:spacing w:before="0" w:after="283"/>
              <w:jc w:val="both"/>
              <w:rPr/>
            </w:pPr>
            <w:r>
              <w:rPr/>
              <w:t>Fixed maturity securities available for sale</w:t>
            </w:r>
          </w:p>
        </w:tc>
      </w:tr>
    </w:tbl>
    <w:p>
      <w:pPr>
        <w:pStyle w:val="TextBody"/>
        <w:bidi w:val="0"/>
        <w:spacing w:before="0" w:after="0"/>
        <w:ind w:left="0" w:right="0" w:hanging="0"/>
        <w:jc w:val="both"/>
        <w:rPr>
          <w:caps w:val="false"/>
          <w:smallCaps w:val="false"/>
        </w:rPr>
      </w:pPr>
      <w:bookmarkStart w:id="2133" w:name="xdx_8AA_zlXMcWPvQ1S3"/>
      <w:bookmarkEnd w:id="213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Equity</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4" w:name="xdx_89C_ecustom--AccumulatedBalancesOfOt"/>
      <w:bookmarkEnd w:id="2134"/>
      <w:r>
        <w:rPr>
          <w:rFonts w:ascii="Times New Roman;Times;Serif" w:hAnsi="Times New Roman;Times;Serif"/>
          <w:b w:val="false"/>
          <w:i w:val="false"/>
          <w:caps w:val="false"/>
          <w:smallCaps w:val="false"/>
          <w:sz w:val="20"/>
        </w:rPr>
        <w:t>The following table presents the accumulated balances of other comprehensive income (loss) as of June 30, 2026:</w:t>
      </w:r>
    </w:p>
    <w:p>
      <w:pPr>
        <w:pStyle w:val="TextBody"/>
        <w:bidi w:val="0"/>
        <w:spacing w:before="0" w:after="0"/>
        <w:ind w:left="0" w:right="0" w:hanging="0"/>
        <w:jc w:val="both"/>
        <w:rPr>
          <w:caps w:val="false"/>
          <w:smallCaps w:val="false"/>
        </w:rPr>
      </w:pPr>
      <w:r>
        <w:rPr>
          <w:caps w:val="false"/>
          <w:smallCaps w:val="false"/>
        </w:rPr>
        <w:t> </w:t>
      </w:r>
      <w:bookmarkStart w:id="2135" w:name="xdx_8B0_z4LCu1rOGKyl"/>
      <w:bookmarkEnd w:id="2135"/>
      <w:r>
        <w:rPr>
          <w:rFonts w:ascii="Times New Roman;Times;Serif" w:hAnsi="Times New Roman;Times;Serif"/>
          <w:b w:val="false"/>
          <w:i w:val="false"/>
          <w:caps w:val="false"/>
          <w:smallCaps w:val="false"/>
          <w:sz w:val="20"/>
        </w:rPr>
        <w:t>Schedule of Accumulated Balances of Other Comprehensive Income  </w:t>
      </w:r>
    </w:p>
    <w:tbl>
      <w:tblPr>
        <w:tblW w:w="10205" w:type="dxa"/>
        <w:jc w:val="left"/>
        <w:tblInd w:w="0" w:type="dxa"/>
        <w:tblLayout w:type="fixed"/>
        <w:tblCellMar>
          <w:top w:w="0" w:type="dxa"/>
          <w:left w:w="0" w:type="dxa"/>
          <w:bottom w:w="0" w:type="dxa"/>
          <w:right w:w="0" w:type="dxa"/>
        </w:tblCellMar>
      </w:tblPr>
      <w:tblGrid>
        <w:gridCol w:w="5335"/>
        <w:gridCol w:w="60"/>
        <w:gridCol w:w="191"/>
        <w:gridCol w:w="1510"/>
        <w:gridCol w:w="95"/>
        <w:gridCol w:w="60"/>
        <w:gridCol w:w="140"/>
        <w:gridCol w:w="1100"/>
        <w:gridCol w:w="95"/>
        <w:gridCol w:w="60"/>
        <w:gridCol w:w="163"/>
        <w:gridCol w:w="1284"/>
        <w:gridCol w:w="112"/>
      </w:tblGrid>
      <w:tr>
        <w:trPr/>
        <w:tc>
          <w:tcPr>
            <w:tcW w:w="5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1" w:type="dxa"/>
            <w:gridSpan w:val="2"/>
            <w:tcBorders>
              <w:bottom w:val="single" w:sz="8" w:space="0" w:color="000000"/>
            </w:tcBorders>
            <w:tcMar>
              <w:bottom w:w="28" w:type="dxa"/>
            </w:tcMar>
            <w:vAlign w:val="center"/>
          </w:tcPr>
          <w:p>
            <w:pPr>
              <w:pStyle w:val="TableContents"/>
              <w:bidi w:val="0"/>
              <w:jc w:val="center"/>
              <w:rPr/>
            </w:pPr>
            <w:r>
              <w:rPr/>
              <w:t>Beginning</w:t>
            </w:r>
          </w:p>
          <w:p>
            <w:pPr>
              <w:pStyle w:val="TableContents"/>
              <w:bidi w:val="0"/>
              <w:jc w:val="center"/>
              <w:rPr/>
            </w:pPr>
            <w:r>
              <w:rPr/>
              <w:t>Balance</w:t>
            </w:r>
          </w:p>
          <w:p>
            <w:pPr>
              <w:pStyle w:val="TableContents"/>
              <w:bidi w:val="0"/>
              <w:spacing w:before="0" w:after="283"/>
              <w:jc w:val="center"/>
              <w:rPr/>
            </w:pPr>
            <w:r>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jc w:val="center"/>
              <w:rPr/>
            </w:pPr>
            <w:r>
              <w:rPr/>
              <w:t>Change for</w:t>
            </w:r>
          </w:p>
          <w:p>
            <w:pPr>
              <w:pStyle w:val="TableContents"/>
              <w:bidi w:val="0"/>
              <w:spacing w:before="0" w:after="283"/>
              <w:jc w:val="center"/>
              <w:rPr/>
            </w:pPr>
            <w:r>
              <w:rPr/>
              <w:t>the period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7" w:type="dxa"/>
            <w:gridSpan w:val="2"/>
            <w:tcBorders>
              <w:bottom w:val="single" w:sz="8" w:space="0" w:color="000000"/>
            </w:tcBorders>
            <w:tcMar>
              <w:bottom w:w="28" w:type="dxa"/>
            </w:tcMar>
            <w:vAlign w:val="center"/>
          </w:tcPr>
          <w:p>
            <w:pPr>
              <w:pStyle w:val="TableContents"/>
              <w:bidi w:val="0"/>
              <w:jc w:val="center"/>
              <w:rPr/>
            </w:pPr>
            <w:r>
              <w:rPr/>
              <w:t>Ending Balance</w:t>
            </w:r>
          </w:p>
          <w:p>
            <w:pPr>
              <w:pStyle w:val="TableContents"/>
              <w:bidi w:val="0"/>
              <w:spacing w:before="0" w:after="283"/>
              <w:jc w:val="center"/>
              <w:rPr/>
            </w:pPr>
            <w:r>
              <w:rPr/>
              <w:t>June 30,</w:t>
              <w:br/>
              <w:t>2026</w:t>
            </w:r>
          </w:p>
        </w:tc>
        <w:tc>
          <w:tcPr>
            <w:tcW w:w="112" w:type="dxa"/>
            <w:tcBorders/>
            <w:vAlign w:val="center"/>
          </w:tcPr>
          <w:p>
            <w:pPr>
              <w:pStyle w:val="TableContents"/>
              <w:bidi w:val="0"/>
              <w:spacing w:before="0" w:after="283"/>
              <w:jc w:val="center"/>
              <w:rPr/>
            </w:pPr>
            <w:r>
              <w:rPr/>
              <w:t> </w:t>
            </w:r>
          </w:p>
        </w:tc>
      </w:tr>
      <w:tr>
        <w:trPr/>
        <w:tc>
          <w:tcPr>
            <w:tcW w:w="5335" w:type="dxa"/>
            <w:tcBorders/>
            <w:shd w:fill="CCEEFF" w:val="clear"/>
            <w:vAlign w:val="center"/>
          </w:tcPr>
          <w:p>
            <w:pPr>
              <w:pStyle w:val="TableContents"/>
              <w:bidi w:val="0"/>
              <w:spacing w:before="0" w:after="283"/>
              <w:jc w:val="left"/>
              <w:rPr/>
            </w:pPr>
            <w:r>
              <w:rPr/>
              <w:t>Unrealized gains (losses) on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2136" w:name="xdx_988_ecustom--UnrealizedNetGainsLosse"/>
            <w:bookmarkEnd w:id="2136"/>
          </w:p>
        </w:tc>
        <w:tc>
          <w:tcPr>
            <w:tcW w:w="1510" w:type="dxa"/>
            <w:tcBorders/>
            <w:shd w:fill="CCEEFF" w:val="clear"/>
            <w:vAlign w:val="center"/>
          </w:tcPr>
          <w:p>
            <w:pPr>
              <w:pStyle w:val="TableContents"/>
              <w:bidi w:val="0"/>
              <w:spacing w:before="0" w:after="283"/>
              <w:jc w:val="right"/>
              <w:rPr/>
            </w:pPr>
            <w:r>
              <w:rPr/>
              <w:t>752,551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137" w:name="xdx_983_ecustom--IncreaseDecreaseInUnrea"/>
            <w:bookmarkEnd w:id="2137"/>
          </w:p>
        </w:tc>
        <w:tc>
          <w:tcPr>
            <w:tcW w:w="1100" w:type="dxa"/>
            <w:tcBorders/>
            <w:shd w:fill="CCEEFF" w:val="clear"/>
            <w:vAlign w:val="center"/>
          </w:tcPr>
          <w:p>
            <w:pPr>
              <w:pStyle w:val="TableContents"/>
              <w:bidi w:val="0"/>
              <w:spacing w:before="0" w:after="283"/>
              <w:jc w:val="right"/>
              <w:rPr/>
            </w:pPr>
            <w:r>
              <w:rPr/>
              <w:t>(3,779,860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bookmarkStart w:id="2138" w:name="xdx_98A_ecustom--UnrealizedNetGainsLosse"/>
            <w:bookmarkEnd w:id="2138"/>
          </w:p>
        </w:tc>
        <w:tc>
          <w:tcPr>
            <w:tcW w:w="1284" w:type="dxa"/>
            <w:tcBorders/>
            <w:shd w:fill="CCEEFF" w:val="clear"/>
            <w:vAlign w:val="center"/>
          </w:tcPr>
          <w:p>
            <w:pPr>
              <w:pStyle w:val="TableContents"/>
              <w:bidi w:val="0"/>
              <w:spacing w:before="0" w:after="283"/>
              <w:jc w:val="right"/>
              <w:rPr/>
            </w:pPr>
            <w:r>
              <w:rPr/>
              <w:t>(3,027,309</w:t>
            </w:r>
          </w:p>
        </w:tc>
        <w:tc>
          <w:tcPr>
            <w:tcW w:w="112" w:type="dxa"/>
            <w:tcBorders/>
            <w:shd w:fill="CCEEFF" w:val="clear"/>
            <w:vAlign w:val="center"/>
          </w:tcPr>
          <w:p>
            <w:pPr>
              <w:pStyle w:val="TableContents"/>
              <w:bidi w:val="0"/>
              <w:spacing w:before="0" w:after="283"/>
              <w:jc w:val="left"/>
              <w:rPr/>
            </w:pPr>
            <w:r>
              <w:rPr/>
              <w:t>)</w:t>
            </w:r>
          </w:p>
        </w:tc>
      </w:tr>
      <w:tr>
        <w:trPr/>
        <w:tc>
          <w:tcPr>
            <w:tcW w:w="5335" w:type="dxa"/>
            <w:tcBorders/>
            <w:shd w:fill="FFFFFF" w:val="clear"/>
            <w:vAlign w:val="center"/>
          </w:tcPr>
          <w:p>
            <w:pPr>
              <w:pStyle w:val="TableContents"/>
              <w:bidi w:val="0"/>
              <w:spacing w:before="0" w:after="283"/>
              <w:jc w:val="both"/>
              <w:rPr/>
            </w:pPr>
            <w:r>
              <w:rPr/>
              <w:t>Unrealized gains (losses) on restricted assets (1)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2139" w:name="xdx_989_ecustom--UnrealizedGainsLossesOn"/>
            <w:bookmarkEnd w:id="2139"/>
          </w:p>
        </w:tc>
        <w:tc>
          <w:tcPr>
            <w:tcW w:w="1510"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140" w:name="xdx_98D_ecustom--IncreaseDececreaseInUnr"/>
            <w:bookmarkEnd w:id="2140"/>
          </w:p>
        </w:tc>
        <w:tc>
          <w:tcPr>
            <w:tcW w:w="1100" w:type="dxa"/>
            <w:tcBorders/>
            <w:shd w:fill="FFFFFF" w:val="clear"/>
            <w:vAlign w:val="center"/>
          </w:tcPr>
          <w:p>
            <w:pPr>
              <w:pStyle w:val="TableContents"/>
              <w:bidi w:val="0"/>
              <w:spacing w:before="0" w:after="283"/>
              <w:jc w:val="right"/>
              <w:rPr/>
            </w:pPr>
            <w:r>
              <w:rPr/>
              <w:t>(1,773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2141" w:name="xdx_98F_ecustom--UnrealizedGainsLossesOn"/>
            <w:bookmarkEnd w:id="2141"/>
          </w:p>
        </w:tc>
        <w:tc>
          <w:tcPr>
            <w:tcW w:w="1284" w:type="dxa"/>
            <w:tcBorders/>
            <w:shd w:fill="FFFFFF" w:val="clear"/>
            <w:vAlign w:val="center"/>
          </w:tcPr>
          <w:p>
            <w:pPr>
              <w:pStyle w:val="TableContents"/>
              <w:bidi w:val="0"/>
              <w:spacing w:before="0" w:after="283"/>
              <w:jc w:val="right"/>
              <w:rPr/>
            </w:pPr>
            <w:r>
              <w:rPr/>
              <w:t>(1,104</w:t>
            </w:r>
          </w:p>
        </w:tc>
        <w:tc>
          <w:tcPr>
            <w:tcW w:w="112" w:type="dxa"/>
            <w:tcBorders/>
            <w:shd w:fill="FFFFFF" w:val="clear"/>
            <w:vAlign w:val="center"/>
          </w:tcPr>
          <w:p>
            <w:pPr>
              <w:pStyle w:val="TableContents"/>
              <w:bidi w:val="0"/>
              <w:spacing w:before="0" w:after="283"/>
              <w:jc w:val="left"/>
              <w:rPr/>
            </w:pPr>
            <w:r>
              <w:rPr/>
              <w:t>)</w:t>
            </w:r>
          </w:p>
        </w:tc>
      </w:tr>
      <w:tr>
        <w:trPr/>
        <w:tc>
          <w:tcPr>
            <w:tcW w:w="5335" w:type="dxa"/>
            <w:tcBorders/>
            <w:shd w:fill="CCEEFF" w:val="clear"/>
            <w:vAlign w:val="center"/>
          </w:tcPr>
          <w:p>
            <w:pPr>
              <w:pStyle w:val="TableContents"/>
              <w:bidi w:val="0"/>
              <w:spacing w:before="0" w:after="283"/>
              <w:jc w:val="both"/>
              <w:rPr/>
            </w:pPr>
            <w:r>
              <w:rPr/>
              <w:t>Unrealized gains (losses) on cemetery perpetual care trust investments (1)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2142" w:name="xdx_984_ecustom--UnrealizedGainsLossesOn"/>
            <w:bookmarkEnd w:id="2142"/>
          </w:p>
        </w:tc>
        <w:tc>
          <w:tcPr>
            <w:tcW w:w="1510" w:type="dxa"/>
            <w:tcBorders/>
            <w:shd w:fill="CCEEFF" w:val="clear"/>
            <w:vAlign w:val="center"/>
          </w:tcPr>
          <w:p>
            <w:pPr>
              <w:pStyle w:val="TableContents"/>
              <w:bidi w:val="0"/>
              <w:spacing w:before="0" w:after="283"/>
              <w:jc w:val="right"/>
              <w:rPr/>
            </w:pPr>
            <w:r>
              <w:rPr/>
              <w:t>(1,613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143" w:name="xdx_987_ecustom--IncreaseDececreaseInUnr"/>
            <w:bookmarkEnd w:id="2143"/>
          </w:p>
        </w:tc>
        <w:tc>
          <w:tcPr>
            <w:tcW w:w="1100" w:type="dxa"/>
            <w:tcBorders/>
            <w:shd w:fill="CCEEFF" w:val="cle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bookmarkStart w:id="2144" w:name="xdx_985_ecustom--UnrealizedGainsLossesOn"/>
            <w:bookmarkEnd w:id="2144"/>
          </w:p>
        </w:tc>
        <w:tc>
          <w:tcPr>
            <w:tcW w:w="1284" w:type="dxa"/>
            <w:tcBorders/>
            <w:shd w:fill="CCEEFF" w:val="clear"/>
            <w:vAlign w:val="center"/>
          </w:tcPr>
          <w:p>
            <w:pPr>
              <w:pStyle w:val="TableContents"/>
              <w:bidi w:val="0"/>
              <w:spacing w:before="0" w:after="283"/>
              <w:jc w:val="right"/>
              <w:rPr/>
            </w:pPr>
            <w:r>
              <w:rPr/>
              <w:t>(1,338</w:t>
            </w:r>
          </w:p>
        </w:tc>
        <w:tc>
          <w:tcPr>
            <w:tcW w:w="112" w:type="dxa"/>
            <w:tcBorders/>
            <w:shd w:fill="CCEEFF" w:val="clear"/>
            <w:vAlign w:val="center"/>
          </w:tcPr>
          <w:p>
            <w:pPr>
              <w:pStyle w:val="TableContents"/>
              <w:bidi w:val="0"/>
              <w:spacing w:before="0" w:after="283"/>
              <w:jc w:val="left"/>
              <w:rPr/>
            </w:pPr>
            <w:r>
              <w:rPr/>
              <w:t>)</w:t>
            </w:r>
          </w:p>
        </w:tc>
      </w:tr>
      <w:tr>
        <w:trPr/>
        <w:tc>
          <w:tcPr>
            <w:tcW w:w="5335" w:type="dxa"/>
            <w:tcBorders/>
            <w:shd w:fill="FFFFFF" w:val="clear"/>
            <w:vAlign w:val="center"/>
          </w:tcPr>
          <w:p>
            <w:pPr>
              <w:pStyle w:val="TableContents"/>
              <w:bidi w:val="0"/>
              <w:spacing w:before="0" w:after="283"/>
              <w:jc w:val="both"/>
              <w:rPr/>
            </w:pPr>
            <w:r>
              <w:rPr/>
              <w:t>Interest rate remeasurement of future policy benefits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45" w:name="xdx_981_ecustom--AccumulatedOtherCompreh"/>
            <w:bookmarkEnd w:id="2145"/>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pPr>
            <w:r>
              <w:rPr/>
              <w:t>28,010,516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46" w:name="xdx_984_ecustom--IncreaseDececreaseInInt"/>
            <w:bookmarkEnd w:id="214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10,193,939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47" w:name="xdx_988_ecustom--AccumulatedOtherCompreh"/>
            <w:bookmarkEnd w:id="2147"/>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38,204,455</w:t>
            </w:r>
          </w:p>
        </w:tc>
        <w:tc>
          <w:tcPr>
            <w:tcW w:w="112" w:type="dxa"/>
            <w:tcBorders/>
            <w:shd w:fill="FFFFFF" w:val="clear"/>
            <w:vAlign w:val="center"/>
          </w:tcPr>
          <w:p>
            <w:pPr>
              <w:pStyle w:val="TableContents"/>
              <w:bidi w:val="0"/>
              <w:spacing w:before="0" w:after="283"/>
              <w:jc w:val="left"/>
              <w:rPr/>
            </w:pPr>
            <w:r>
              <w:rPr/>
              <w:t> </w:t>
            </w:r>
          </w:p>
        </w:tc>
      </w:tr>
      <w:tr>
        <w:trPr/>
        <w:tc>
          <w:tcPr>
            <w:tcW w:w="5335"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48" w:name="xdx_984_eus-gaap--AccumulatedOtherCompre"/>
            <w:bookmarkEnd w:id="2148"/>
          </w:p>
        </w:tc>
        <w:tc>
          <w:tcPr>
            <w:tcW w:w="1510" w:type="dxa"/>
            <w:tcBorders>
              <w:bottom w:val="double" w:sz="6" w:space="0" w:color="000000"/>
            </w:tcBorders>
            <w:shd w:fill="CCEEFF" w:val="clear"/>
            <w:tcMar>
              <w:bottom w:w="28" w:type="dxa"/>
            </w:tcMar>
            <w:vAlign w:val="center"/>
          </w:tcPr>
          <w:p>
            <w:pPr>
              <w:pStyle w:val="TableContents"/>
              <w:bidi w:val="0"/>
              <w:spacing w:before="0" w:after="283"/>
              <w:jc w:val="right"/>
              <w:rPr/>
            </w:pPr>
            <w:r>
              <w:rPr/>
              <w:t>28,762,123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49" w:name="xdx_982_ecustom--IncreaseDecreaseInOther"/>
            <w:bookmarkEnd w:id="214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6,412,581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50" w:name="xdx_981_eus-gaap--AccumulatedOtherCompre"/>
            <w:bookmarkEnd w:id="2150"/>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pPr>
            <w:r>
              <w:rPr/>
              <w:t>35,174,704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4300" w:type="dxa"/>
        <w:jc w:val="left"/>
        <w:tblInd w:w="0" w:type="dxa"/>
        <w:tblLayout w:type="fixed"/>
        <w:tblCellMar>
          <w:top w:w="0" w:type="dxa"/>
          <w:left w:w="0" w:type="dxa"/>
          <w:bottom w:w="0" w:type="dxa"/>
          <w:right w:w="0" w:type="dxa"/>
        </w:tblCellMar>
      </w:tblPr>
      <w:tblGrid>
        <w:gridCol w:w="305"/>
        <w:gridCol w:w="3995"/>
      </w:tblGrid>
      <w:tr>
        <w:trPr/>
        <w:tc>
          <w:tcPr>
            <w:tcW w:w="305" w:type="dxa"/>
            <w:tcBorders/>
            <w:vAlign w:val="center"/>
          </w:tcPr>
          <w:p>
            <w:pPr>
              <w:pStyle w:val="TableContents"/>
              <w:bidi w:val="0"/>
              <w:spacing w:before="0" w:after="283"/>
              <w:jc w:val="right"/>
              <w:rPr/>
            </w:pPr>
            <w:bookmarkStart w:id="2151" w:name="xdx_F0A_znwU08leuve7"/>
            <w:bookmarkEnd w:id="2151"/>
            <w:r>
              <w:rPr/>
              <w:t>(1)</w:t>
            </w:r>
            <w:bookmarkStart w:id="2152" w:name="xdx_F18_zNF34Ig24109"/>
            <w:bookmarkEnd w:id="2152"/>
          </w:p>
        </w:tc>
        <w:tc>
          <w:tcPr>
            <w:tcW w:w="3995" w:type="dxa"/>
            <w:tcBorders/>
            <w:vAlign w:val="center"/>
          </w:tcPr>
          <w:p>
            <w:pPr>
              <w:pStyle w:val="TableContents"/>
              <w:bidi w:val="0"/>
              <w:spacing w:before="0" w:after="283"/>
              <w:jc w:val="both"/>
              <w:rPr/>
            </w:pPr>
            <w:r>
              <w:rPr/>
              <w:t>Fixed maturity securities available for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accumulated balances of other comprehensive income (loss)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1"/>
        <w:gridCol w:w="60"/>
        <w:gridCol w:w="192"/>
        <w:gridCol w:w="1515"/>
        <w:gridCol w:w="95"/>
        <w:gridCol w:w="60"/>
        <w:gridCol w:w="140"/>
        <w:gridCol w:w="1175"/>
        <w:gridCol w:w="95"/>
        <w:gridCol w:w="60"/>
        <w:gridCol w:w="148"/>
        <w:gridCol w:w="1172"/>
        <w:gridCol w:w="112"/>
      </w:tblGrid>
      <w:tr>
        <w:trPr/>
        <w:tc>
          <w:tcPr>
            <w:tcW w:w="53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7" w:type="dxa"/>
            <w:gridSpan w:val="2"/>
            <w:tcBorders>
              <w:bottom w:val="single" w:sz="8" w:space="0" w:color="000000"/>
            </w:tcBorders>
            <w:tcMar>
              <w:bottom w:w="28" w:type="dxa"/>
            </w:tcMar>
            <w:vAlign w:val="center"/>
          </w:tcPr>
          <w:p>
            <w:pPr>
              <w:pStyle w:val="TableContents"/>
              <w:bidi w:val="0"/>
              <w:jc w:val="center"/>
              <w:rPr/>
            </w:pPr>
            <w:r>
              <w:rPr/>
              <w:t>Beginning</w:t>
            </w:r>
          </w:p>
          <w:p>
            <w:pPr>
              <w:pStyle w:val="TableContents"/>
              <w:bidi w:val="0"/>
              <w:jc w:val="center"/>
              <w:rPr/>
            </w:pPr>
            <w:r>
              <w:rPr/>
              <w:t>Balance</w:t>
            </w:r>
          </w:p>
          <w:p>
            <w:pPr>
              <w:pStyle w:val="TableContents"/>
              <w:bidi w:val="0"/>
              <w:spacing w:before="0" w:after="283"/>
              <w:jc w:val="center"/>
              <w:rPr/>
            </w:pPr>
            <w:r>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jc w:val="center"/>
              <w:rPr/>
            </w:pPr>
            <w:r>
              <w:rPr/>
              <w:t>Change for</w:t>
            </w:r>
          </w:p>
          <w:p>
            <w:pPr>
              <w:pStyle w:val="TableContents"/>
              <w:bidi w:val="0"/>
              <w:spacing w:before="0" w:after="283"/>
              <w:jc w:val="center"/>
              <w:rPr/>
            </w:pPr>
            <w:r>
              <w:rPr/>
              <w:t>the period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0" w:type="dxa"/>
            <w:gridSpan w:val="2"/>
            <w:tcBorders>
              <w:bottom w:val="single" w:sz="8" w:space="0" w:color="000000"/>
            </w:tcBorders>
            <w:tcMar>
              <w:bottom w:w="28" w:type="dxa"/>
            </w:tcMar>
            <w:vAlign w:val="center"/>
          </w:tcPr>
          <w:p>
            <w:pPr>
              <w:pStyle w:val="TableContents"/>
              <w:bidi w:val="0"/>
              <w:jc w:val="center"/>
              <w:rPr/>
            </w:pPr>
            <w:r>
              <w:rPr/>
              <w:t>Ending</w:t>
            </w:r>
          </w:p>
          <w:p>
            <w:pPr>
              <w:pStyle w:val="TableContents"/>
              <w:bidi w:val="0"/>
              <w:jc w:val="center"/>
              <w:rPr/>
            </w:pPr>
            <w:r>
              <w:rPr/>
              <w:t>Balance</w:t>
            </w:r>
          </w:p>
          <w:p>
            <w:pPr>
              <w:pStyle w:val="TableContents"/>
              <w:bidi w:val="0"/>
              <w:spacing w:before="0" w:after="283"/>
              <w:jc w:val="center"/>
              <w:rPr/>
            </w:pPr>
            <w:r>
              <w:rPr/>
              <w:t>December 31,</w:t>
              <w:br/>
              <w:t>2025</w:t>
            </w:r>
          </w:p>
        </w:tc>
        <w:tc>
          <w:tcPr>
            <w:tcW w:w="112" w:type="dxa"/>
            <w:tcBorders/>
            <w:vAlign w:val="center"/>
          </w:tcPr>
          <w:p>
            <w:pPr>
              <w:pStyle w:val="TableContents"/>
              <w:bidi w:val="0"/>
              <w:spacing w:before="0" w:after="283"/>
              <w:jc w:val="center"/>
              <w:rPr/>
            </w:pPr>
            <w:r>
              <w:rPr/>
              <w:t> </w:t>
            </w:r>
          </w:p>
        </w:tc>
      </w:tr>
      <w:tr>
        <w:trPr/>
        <w:tc>
          <w:tcPr>
            <w:tcW w:w="5381" w:type="dxa"/>
            <w:tcBorders/>
            <w:shd w:fill="CCEEFF" w:val="clear"/>
            <w:vAlign w:val="center"/>
          </w:tcPr>
          <w:p>
            <w:pPr>
              <w:pStyle w:val="TableContents"/>
              <w:bidi w:val="0"/>
              <w:spacing w:before="0" w:after="283"/>
              <w:jc w:val="left"/>
              <w:rPr/>
            </w:pPr>
            <w:r>
              <w:rPr/>
              <w:t>Unrealized gains (losses) on fixed maturity securities available for sale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bookmarkStart w:id="2153" w:name="xdx_989_ecustom--UnrealizedNetGainsLosse"/>
            <w:bookmarkEnd w:id="2153"/>
          </w:p>
        </w:tc>
        <w:tc>
          <w:tcPr>
            <w:tcW w:w="1515" w:type="dxa"/>
            <w:tcBorders/>
            <w:shd w:fill="CCEEFF" w:val="clear"/>
            <w:vAlign w:val="center"/>
          </w:tcPr>
          <w:p>
            <w:pPr>
              <w:pStyle w:val="TableContents"/>
              <w:bidi w:val="0"/>
              <w:spacing w:before="0" w:after="283"/>
              <w:jc w:val="right"/>
              <w:rPr/>
            </w:pPr>
            <w:r>
              <w:rPr/>
              <w:t>(7,147,384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154" w:name="xdx_989_ecustom--IncreaseDecreaseInUnrea"/>
            <w:bookmarkEnd w:id="2154"/>
          </w:p>
        </w:tc>
        <w:tc>
          <w:tcPr>
            <w:tcW w:w="1175" w:type="dxa"/>
            <w:tcBorders/>
            <w:shd w:fill="CCEEFF" w:val="clear"/>
            <w:vAlign w:val="center"/>
          </w:tcPr>
          <w:p>
            <w:pPr>
              <w:pStyle w:val="TableContents"/>
              <w:bidi w:val="0"/>
              <w:spacing w:before="0" w:after="283"/>
              <w:jc w:val="right"/>
              <w:rPr/>
            </w:pPr>
            <w:r>
              <w:rPr/>
              <w:t>7,899,935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bookmarkStart w:id="2155" w:name="xdx_98A_ecustom--UnrealizedNetGainsLosse"/>
            <w:bookmarkEnd w:id="2155"/>
          </w:p>
        </w:tc>
        <w:tc>
          <w:tcPr>
            <w:tcW w:w="1172" w:type="dxa"/>
            <w:tcBorders/>
            <w:shd w:fill="CCEEFF" w:val="clear"/>
            <w:vAlign w:val="center"/>
          </w:tcPr>
          <w:p>
            <w:pPr>
              <w:pStyle w:val="TableContents"/>
              <w:bidi w:val="0"/>
              <w:spacing w:before="0" w:after="283"/>
              <w:jc w:val="right"/>
              <w:rPr/>
            </w:pPr>
            <w:r>
              <w:rPr/>
              <w:t>752,551</w:t>
            </w:r>
          </w:p>
        </w:tc>
        <w:tc>
          <w:tcPr>
            <w:tcW w:w="112"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283"/>
              <w:jc w:val="both"/>
              <w:rPr/>
            </w:pPr>
            <w:r>
              <w:rPr/>
              <w:t>Unrealized gains (losses) on restricted assets (1)</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bookmarkStart w:id="2156" w:name="xdx_983_ecustom--UnrealizedGainsLossesOn"/>
            <w:bookmarkEnd w:id="2156"/>
          </w:p>
        </w:tc>
        <w:tc>
          <w:tcPr>
            <w:tcW w:w="1515" w:type="dxa"/>
            <w:tcBorders/>
            <w:shd w:fill="FFFFFF" w:val="clear"/>
            <w:vAlign w:val="center"/>
          </w:tcPr>
          <w:p>
            <w:pPr>
              <w:pStyle w:val="TableContents"/>
              <w:bidi w:val="0"/>
              <w:spacing w:before="0" w:after="283"/>
              <w:jc w:val="right"/>
              <w:rPr/>
            </w:pPr>
            <w:r>
              <w:rPr/>
              <w:t>(4,126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157" w:name="xdx_984_ecustom--IncreaseDececreaseInUnr"/>
            <w:bookmarkEnd w:id="2157"/>
          </w:p>
        </w:tc>
        <w:tc>
          <w:tcPr>
            <w:tcW w:w="1175" w:type="dxa"/>
            <w:tcBorders/>
            <w:shd w:fill="FFFFFF" w:val="clear"/>
            <w:vAlign w:val="center"/>
          </w:tcPr>
          <w:p>
            <w:pPr>
              <w:pStyle w:val="TableContents"/>
              <w:bidi w:val="0"/>
              <w:spacing w:before="0" w:after="283"/>
              <w:jc w:val="right"/>
              <w:rPr/>
            </w:pPr>
            <w:r>
              <w:rPr/>
              <w:t>4,795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2158" w:name="xdx_982_ecustom--UnrealizedGainsLossesOn"/>
            <w:bookmarkEnd w:id="2158"/>
          </w:p>
        </w:tc>
        <w:tc>
          <w:tcPr>
            <w:tcW w:w="1172" w:type="dxa"/>
            <w:tcBorders/>
            <w:shd w:fill="FFFFFF" w:val="clear"/>
            <w:vAlign w:val="center"/>
          </w:tcPr>
          <w:p>
            <w:pPr>
              <w:pStyle w:val="TableContents"/>
              <w:bidi w:val="0"/>
              <w:spacing w:before="0" w:after="283"/>
              <w:jc w:val="right"/>
              <w:rPr/>
            </w:pPr>
            <w:r>
              <w:rPr/>
              <w:t>669</w:t>
            </w:r>
          </w:p>
        </w:tc>
        <w:tc>
          <w:tcPr>
            <w:tcW w:w="112"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283"/>
              <w:jc w:val="both"/>
              <w:rPr/>
            </w:pPr>
            <w:r>
              <w:rPr/>
              <w:t>Unrealized gains (losses) on cemetery perpetual care trust investments (1)</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bookmarkStart w:id="2159" w:name="xdx_98E_ecustom--UnrealizedGainsLossesOn"/>
            <w:bookmarkEnd w:id="2159"/>
          </w:p>
        </w:tc>
        <w:tc>
          <w:tcPr>
            <w:tcW w:w="1515" w:type="dxa"/>
            <w:tcBorders/>
            <w:shd w:fill="CCEEFF" w:val="clear"/>
            <w:vAlign w:val="center"/>
          </w:tcPr>
          <w:p>
            <w:pPr>
              <w:pStyle w:val="TableContents"/>
              <w:bidi w:val="0"/>
              <w:spacing w:before="0" w:after="283"/>
              <w:jc w:val="right"/>
              <w:rPr/>
            </w:pPr>
            <w:r>
              <w:rPr/>
              <w:t>(5,225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160" w:name="xdx_987_ecustom--IncreaseDececreaseInUnr"/>
            <w:bookmarkEnd w:id="2160"/>
          </w:p>
        </w:tc>
        <w:tc>
          <w:tcPr>
            <w:tcW w:w="1175" w:type="dxa"/>
            <w:tcBorders/>
            <w:shd w:fill="CCEEFF" w:val="clear"/>
            <w:vAlign w:val="center"/>
          </w:tcPr>
          <w:p>
            <w:pPr>
              <w:pStyle w:val="TableContents"/>
              <w:bidi w:val="0"/>
              <w:spacing w:before="0" w:after="283"/>
              <w:jc w:val="right"/>
              <w:rPr/>
            </w:pPr>
            <w:r>
              <w:rPr/>
              <w:t>3,612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2161" w:name="xdx_986_ecustom--UnrealizedGainsLossesOn"/>
            <w:bookmarkEnd w:id="2161"/>
          </w:p>
        </w:tc>
        <w:tc>
          <w:tcPr>
            <w:tcW w:w="1172" w:type="dxa"/>
            <w:tcBorders/>
            <w:shd w:fill="CCEEFF" w:val="clear"/>
            <w:vAlign w:val="center"/>
          </w:tcPr>
          <w:p>
            <w:pPr>
              <w:pStyle w:val="TableContents"/>
              <w:bidi w:val="0"/>
              <w:spacing w:before="0" w:after="283"/>
              <w:jc w:val="right"/>
              <w:rPr/>
            </w:pPr>
            <w:r>
              <w:rPr/>
              <w:t>(1,613</w:t>
            </w:r>
          </w:p>
        </w:tc>
        <w:tc>
          <w:tcPr>
            <w:tcW w:w="112" w:type="dxa"/>
            <w:tcBorders/>
            <w:shd w:fill="CCEEFF" w:val="clear"/>
            <w:vAlign w:val="center"/>
          </w:tcPr>
          <w:p>
            <w:pPr>
              <w:pStyle w:val="TableContents"/>
              <w:bidi w:val="0"/>
              <w:spacing w:before="0" w:after="283"/>
              <w:jc w:val="left"/>
              <w:rPr/>
            </w:pPr>
            <w:r>
              <w:rPr/>
              <w:t>)</w:t>
            </w:r>
          </w:p>
        </w:tc>
      </w:tr>
      <w:tr>
        <w:trPr/>
        <w:tc>
          <w:tcPr>
            <w:tcW w:w="5381" w:type="dxa"/>
            <w:tcBorders/>
            <w:shd w:fill="FFFFFF" w:val="clear"/>
            <w:vAlign w:val="center"/>
          </w:tcPr>
          <w:p>
            <w:pPr>
              <w:pStyle w:val="TableContents"/>
              <w:bidi w:val="0"/>
              <w:spacing w:before="0" w:after="283"/>
              <w:jc w:val="both"/>
              <w:rPr/>
            </w:pPr>
            <w:r>
              <w:rPr/>
              <w:t>Interest rate remeasurement of future policy benefits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2" w:name="xdx_982_ecustom--AccumulatedOtherCompreh"/>
            <w:bookmarkEnd w:id="2162"/>
          </w:p>
        </w:tc>
        <w:tc>
          <w:tcPr>
            <w:tcW w:w="1515" w:type="dxa"/>
            <w:tcBorders>
              <w:bottom w:val="single" w:sz="8" w:space="0" w:color="000000"/>
            </w:tcBorders>
            <w:shd w:fill="FFFFFF" w:val="clear"/>
            <w:tcMar>
              <w:bottom w:w="28" w:type="dxa"/>
            </w:tcMar>
            <w:vAlign w:val="center"/>
          </w:tcPr>
          <w:p>
            <w:pPr>
              <w:pStyle w:val="TableContents"/>
              <w:bidi w:val="0"/>
              <w:spacing w:before="0" w:after="283"/>
              <w:jc w:val="right"/>
              <w:rPr/>
            </w:pPr>
            <w:r>
              <w:rPr/>
              <w:t>40,876,364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163" w:name="xdx_989_ecustom--IncreaseDececreaseInInt"/>
            <w:bookmarkEnd w:id="2163"/>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(12,865,848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4" w:name="xdx_98B_ecustom--AccumulatedOtherCompreh"/>
            <w:bookmarkEnd w:id="2164"/>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28,010,516</w:t>
            </w:r>
          </w:p>
        </w:tc>
        <w:tc>
          <w:tcPr>
            <w:tcW w:w="112"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283"/>
              <w:jc w:val="left"/>
              <w:rPr/>
            </w:pPr>
            <w:r>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65" w:name="xdx_983_eus-gaap--AccumulatedOtherCompre"/>
            <w:bookmarkEnd w:id="2165"/>
          </w:p>
        </w:tc>
        <w:tc>
          <w:tcPr>
            <w:tcW w:w="1515" w:type="dxa"/>
            <w:tcBorders>
              <w:bottom w:val="double" w:sz="6" w:space="0" w:color="000000"/>
            </w:tcBorders>
            <w:shd w:fill="CCEEFF" w:val="clear"/>
            <w:tcMar>
              <w:bottom w:w="28" w:type="dxa"/>
            </w:tcMar>
            <w:vAlign w:val="center"/>
          </w:tcPr>
          <w:p>
            <w:pPr>
              <w:pStyle w:val="TableContents"/>
              <w:bidi w:val="0"/>
              <w:spacing w:before="0" w:after="283"/>
              <w:jc w:val="right"/>
              <w:rPr/>
            </w:pPr>
            <w:r>
              <w:rPr/>
              <w:t>33,719,629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66" w:name="xdx_98C_ecustom--IncreaseDecreaseInOther"/>
            <w:bookmarkEnd w:id="2166"/>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(4,957,506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67" w:name="xdx_984_eus-gaap--AccumulatedOtherCompre"/>
            <w:bookmarkEnd w:id="2167"/>
          </w:p>
        </w:tc>
        <w:tc>
          <w:tcPr>
            <w:tcW w:w="1172" w:type="dxa"/>
            <w:tcBorders>
              <w:bottom w:val="double" w:sz="6" w:space="0" w:color="000000"/>
            </w:tcBorders>
            <w:shd w:fill="CCEEFF" w:val="clear"/>
            <w:tcMar>
              <w:bottom w:w="28" w:type="dxa"/>
            </w:tcMar>
            <w:vAlign w:val="center"/>
          </w:tcPr>
          <w:p>
            <w:pPr>
              <w:pStyle w:val="TableContents"/>
              <w:bidi w:val="0"/>
              <w:spacing w:before="0" w:after="283"/>
              <w:jc w:val="right"/>
              <w:rPr/>
            </w:pPr>
            <w:r>
              <w:rPr/>
              <w:t>28,762,123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4300" w:type="dxa"/>
        <w:jc w:val="left"/>
        <w:tblInd w:w="0" w:type="dxa"/>
        <w:tblLayout w:type="fixed"/>
        <w:tblCellMar>
          <w:top w:w="0" w:type="dxa"/>
          <w:left w:w="0" w:type="dxa"/>
          <w:bottom w:w="0" w:type="dxa"/>
          <w:right w:w="0" w:type="dxa"/>
        </w:tblCellMar>
      </w:tblPr>
      <w:tblGrid>
        <w:gridCol w:w="305"/>
        <w:gridCol w:w="3995"/>
      </w:tblGrid>
      <w:tr>
        <w:trPr/>
        <w:tc>
          <w:tcPr>
            <w:tcW w:w="305" w:type="dxa"/>
            <w:tcBorders/>
            <w:vAlign w:val="center"/>
          </w:tcPr>
          <w:p>
            <w:pPr>
              <w:pStyle w:val="TableContents"/>
              <w:bidi w:val="0"/>
              <w:spacing w:before="0" w:after="283"/>
              <w:jc w:val="right"/>
              <w:rPr/>
            </w:pPr>
            <w:bookmarkStart w:id="2168" w:name="xdx_F01_zz20rhlJ1i9e"/>
            <w:bookmarkEnd w:id="2168"/>
            <w:r>
              <w:rPr/>
              <w:t>(1)</w:t>
            </w:r>
            <w:bookmarkStart w:id="2169" w:name="xdx_F1B_z1Qdn8oAjqIg"/>
            <w:bookmarkEnd w:id="2169"/>
          </w:p>
        </w:tc>
        <w:tc>
          <w:tcPr>
            <w:tcW w:w="3995" w:type="dxa"/>
            <w:tcBorders/>
            <w:vAlign w:val="center"/>
          </w:tcPr>
          <w:p>
            <w:pPr>
              <w:pStyle w:val="TableContents"/>
              <w:bidi w:val="0"/>
              <w:spacing w:before="0" w:after="283"/>
              <w:jc w:val="both"/>
              <w:rPr/>
            </w:pPr>
            <w:r>
              <w:rPr/>
              <w:t>Fixed maturity securities available for sale</w:t>
            </w:r>
          </w:p>
        </w:tc>
      </w:tr>
    </w:tbl>
    <w:p>
      <w:pPr>
        <w:pStyle w:val="TextBody"/>
        <w:bidi w:val="0"/>
        <w:spacing w:before="0" w:after="0"/>
        <w:ind w:left="0" w:right="0" w:hanging="0"/>
        <w:jc w:val="left"/>
        <w:rPr>
          <w:caps w:val="false"/>
          <w:smallCaps w:val="false"/>
        </w:rPr>
      </w:pPr>
      <w:bookmarkStart w:id="2170" w:name="xdx_8A4_z6FqBhTFJpb3"/>
      <w:bookmarkEnd w:id="217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1" w:name="xdx_803_eus-gaap--EarningsPerShareTextBl"/>
      <w:bookmarkEnd w:id="2171"/>
      <w:r>
        <w:rPr>
          <w:rFonts w:ascii="Times New Roman;Times;Serif" w:hAnsi="Times New Roman;Times;Serif"/>
          <w:b w:val="false"/>
          <w:i w:val="false"/>
          <w:caps w:val="false"/>
          <w:smallCaps w:val="false"/>
          <w:sz w:val="20"/>
        </w:rPr>
        <w:t xml:space="preserve">15) </w:t>
      </w:r>
      <w:bookmarkStart w:id="2172" w:name="xdx_82B_zyM1wKuAezod"/>
      <w:bookmarkStart w:id="2173" w:name="f6k_021"/>
      <w:bookmarkEnd w:id="2172"/>
      <w:bookmarkEnd w:id="2173"/>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4" w:name="xdx_89C_eus-gaap--ScheduleOfEarningsPerS"/>
      <w:bookmarkEnd w:id="2174"/>
      <w:r>
        <w:rPr>
          <w:rFonts w:ascii="Times New Roman;Times;Serif" w:hAnsi="Times New Roman;Times;Serif"/>
          <w:b w:val="false"/>
          <w:i w:val="false"/>
          <w:caps w:val="false"/>
          <w:smallCaps w:val="false"/>
          <w:sz w:val="20"/>
        </w:rPr>
        <w:t>Earnings per share have been retroactively adjusted for the effect of annual stock dividends. In accordance with GAAP, the basic and diluted earnings per share were calculated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5" w:name="xdx_8BB_zmIAr8SGXj5"/>
      <w:bookmarkEnd w:id="2175"/>
      <w:r>
        <w:rPr>
          <w:rFonts w:ascii="Times New Roman;Times;Serif" w:hAnsi="Times New Roman;Times;Serif"/>
          <w:b w:val="false"/>
          <w:i w:val="false"/>
          <w:caps w:val="false"/>
          <w:smallCaps w:val="false"/>
          <w:sz w:val="20"/>
        </w:rPr>
        <w:t>Schedule of Earnings Per Share, Basic and Diluted</w:t>
      </w:r>
    </w:p>
    <w:tbl>
      <w:tblPr>
        <w:tblW w:w="8490" w:type="dxa"/>
        <w:jc w:val="left"/>
        <w:tblInd w:w="0" w:type="dxa"/>
        <w:tblLayout w:type="fixed"/>
        <w:tblCellMar>
          <w:top w:w="0" w:type="dxa"/>
          <w:left w:w="0" w:type="dxa"/>
          <w:bottom w:w="0" w:type="dxa"/>
          <w:right w:w="0" w:type="dxa"/>
        </w:tblCellMar>
      </w:tblPr>
      <w:tblGrid>
        <w:gridCol w:w="3695"/>
        <w:gridCol w:w="60"/>
        <w:gridCol w:w="125"/>
        <w:gridCol w:w="950"/>
        <w:gridCol w:w="60"/>
        <w:gridCol w:w="60"/>
        <w:gridCol w:w="125"/>
        <w:gridCol w:w="950"/>
        <w:gridCol w:w="60"/>
        <w:gridCol w:w="60"/>
        <w:gridCol w:w="125"/>
        <w:gridCol w:w="950"/>
        <w:gridCol w:w="60"/>
        <w:gridCol w:w="60"/>
        <w:gridCol w:w="125"/>
        <w:gridCol w:w="950"/>
        <w:gridCol w:w="75"/>
      </w:tblGrid>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76" w:name="xdx_49C_20260401__20260630_zZ4CHckVTAOl"/>
            <w:bookmarkEnd w:id="2176"/>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77" w:name="xdx_494_20250401__20250630_zXTScPxAsuaj"/>
            <w:bookmarkEnd w:id="2177"/>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78" w:name="xdx_491_20260101__20260630_zlFEqVfomv82"/>
            <w:bookmarkEnd w:id="2178"/>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79" w:name="xdx_493_20250101__20250630_zR7CpeWKPwM3"/>
            <w:bookmarkEnd w:id="2179"/>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0" w:name="xdx_40D_eus-gaap--NetIncomeLoss_z2fhTaBw"/>
            <w:bookmarkEnd w:id="2180"/>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8,981,697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8,370,755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15,983,123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14,784,490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1" w:name="xdx_40F_eus-gaap--WeightedAverageNumberO"/>
            <w:bookmarkEnd w:id="2181"/>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weighted-average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26,040,005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26,007,334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26,049,116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25,973,466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2" w:name="xdx_40D_eus-gaap--IncrementalCommonShare"/>
            <w:bookmarkEnd w:id="2182"/>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789,127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933,970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83" w:name="xdx_401_ecustom--IncrementalCommonShares"/>
            <w:bookmarkEnd w:id="2183"/>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4" w:name="xdx_402_eus-gaap--WeightedAverageNumberO"/>
            <w:bookmarkEnd w:id="2184"/>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weighted-average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26,892,689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26,806,867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26,838,648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26,907,436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85" w:name="xdx_404_eus-gaap--EarningsPerShareBasic_"/>
            <w:bookmarkEnd w:id="2185"/>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earnings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6" w:name="xdx_40E_eus-gaap--EarningsPerShareDilute"/>
            <w:bookmarkEnd w:id="2186"/>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earnings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187" w:name="xdx_8AA_zeeiIlQGmoQd"/>
      <w:bookmarkEnd w:id="21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six-month periods ended June 30, 2026, and 2025, there were </w:t>
      </w:r>
      <w:bookmarkStart w:id="2188" w:name="xdx_904_eus-gaap--AntidilutiveSecurities"/>
      <w:bookmarkEnd w:id="2188"/>
      <w:r>
        <w:rPr>
          <w:rFonts w:ascii="Times New Roman;Times;Serif" w:hAnsi="Times New Roman;Times;Serif"/>
          <w:b w:val="false"/>
          <w:i w:val="false"/>
          <w:caps w:val="false"/>
          <w:smallCaps w:val="false"/>
          <w:sz w:val="20"/>
        </w:rPr>
        <w:t xml:space="preserve">423,146 and </w:t>
      </w:r>
      <w:bookmarkStart w:id="2189" w:name="xdx_901_eus-gaap--AntidilutiveSecurities"/>
      <w:bookmarkEnd w:id="2189"/>
      <w:r>
        <w:rPr>
          <w:rFonts w:ascii="Times New Roman;Times;Serif" w:hAnsi="Times New Roman;Times;Serif"/>
          <w:b w:val="false"/>
          <w:i w:val="false"/>
          <w:caps w:val="false"/>
          <w:smallCaps w:val="false"/>
          <w:sz w:val="20"/>
        </w:rPr>
        <w:t>416,539 anti-dilutive stock option shares, respectively, that were not included in the computation of diluted net earnings per common share as their effect would be anti-dilutive. Basic and diluted earnings per share are the same for each class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90" w:name="xdx_802_eus-gaap--SegmentReportingDisclo"/>
      <w:bookmarkEnd w:id="2190"/>
      <w:r>
        <w:rPr>
          <w:rFonts w:ascii="Times New Roman;Times;Serif" w:hAnsi="Times New Roman;Times;Serif"/>
          <w:b w:val="false"/>
          <w:i w:val="false"/>
          <w:caps w:val="false"/>
          <w:smallCaps w:val="false"/>
          <w:sz w:val="20"/>
        </w:rPr>
        <w:t xml:space="preserve">16) </w:t>
      </w:r>
      <w:bookmarkStart w:id="2191" w:name="xdx_82A_zo1CzXuHTqrh"/>
      <w:bookmarkStart w:id="2192" w:name="f6k_020"/>
      <w:bookmarkEnd w:id="2191"/>
      <w:bookmarkEnd w:id="2192"/>
      <w:r>
        <w:rPr>
          <w:rFonts w:ascii="Times New Roman;Times;Serif" w:hAnsi="Times New Roman;Times;Serif"/>
          <w:b w:val="false"/>
          <w:i w:val="false"/>
          <w:caps w:val="false"/>
          <w:smallCaps w:val="false"/>
          <w:sz w:val="20"/>
          <w:u w:val="single"/>
        </w:rPr>
        <w:t>Business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Products and Services by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identified </w:t>
      </w:r>
      <w:bookmarkStart w:id="2193" w:name="xdx_906_eus-gaap--NumberOfReportableSegm"/>
      <w:bookmarkEnd w:id="2193"/>
      <w:r>
        <w:rPr>
          <w:rFonts w:ascii="Times New Roman;Times;Serif" w:hAnsi="Times New Roman;Times;Serif"/>
          <w:b w:val="false"/>
          <w:i w:val="false"/>
          <w:caps w:val="false"/>
          <w:smallCaps w:val="false"/>
          <w:sz w:val="20"/>
        </w:rPr>
        <w:t>three operating and reportable business segments: life insurance, funeral home and cemetery, and mortgage. The Company’s life insurance segment revenue consists of life insurance premiums; fees earned on factored life insurance policies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funeral home and cemetery segment revenue consists of fees from the sale of at-need cemetery and funeral home merchandise, services at its funeral homes and cemeteries, pre-need sales of cemetery spaces and the net investment income from investing surplus cash. Its expenses include operating expenses to maintain funeral home and cemetery operations and commissions related to the sale of insurance products sold by the Company’s agents. The Company’s mortgage segment revenue consists of residential mortgage origination fee income and mortgage interest income. Its expenses include normal operating expenses related to the origination and sale of residential mortgage loans, loan servicing, and warehouse interest and fee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Services and Cost Sharing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Company’s operating and reportable segments are the same as those described in Part II, Item 8, Note 1 - Significant Accounting Policies of the Company’s Annual Report on Form 10-K for the year ended December 31, 2025.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Factors Management Used to Identify the Company’s Operating and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and reportable segments are business units that are managed separately due to the different products provided and the need to report separately to the various regulatory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Chief Operating Decision Maker (“CODM”)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month-over-month and year-over-year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Business Segment Information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94" w:name="xdx_8B2_zHeaNjz41rt2"/>
      <w:bookmarkStart w:id="2195" w:name="xdx_897_eus-gaap--ScheduleOfRevenuesFrom"/>
      <w:bookmarkEnd w:id="2194"/>
      <w:bookmarkEnd w:id="2195"/>
      <w:r>
        <w:rPr>
          <w:rFonts w:ascii="Times New Roman;Times;Serif" w:hAnsi="Times New Roman;Times;Serif"/>
          <w:b/>
          <w:i w:val="false"/>
          <w:caps w:val="false"/>
          <w:smallCaps w:val="false"/>
          <w:sz w:val="20"/>
        </w:rPr>
        <w:t>Schedule of Revenues and Expenses by Reportable Segment </w:t>
      </w:r>
    </w:p>
    <w:tbl>
      <w:tblPr>
        <w:tblW w:w="10205" w:type="dxa"/>
        <w:jc w:val="left"/>
        <w:tblInd w:w="0" w:type="dxa"/>
        <w:tblLayout w:type="fixed"/>
        <w:tblCellMar>
          <w:top w:w="0" w:type="dxa"/>
          <w:left w:w="0" w:type="dxa"/>
          <w:bottom w:w="0" w:type="dxa"/>
          <w:right w:w="0" w:type="dxa"/>
        </w:tblCellMar>
      </w:tblPr>
      <w:tblGrid>
        <w:gridCol w:w="5317"/>
        <w:gridCol w:w="60"/>
        <w:gridCol w:w="125"/>
        <w:gridCol w:w="950"/>
        <w:gridCol w:w="60"/>
        <w:gridCol w:w="60"/>
        <w:gridCol w:w="145"/>
        <w:gridCol w:w="982"/>
        <w:gridCol w:w="60"/>
        <w:gridCol w:w="60"/>
        <w:gridCol w:w="125"/>
        <w:gridCol w:w="950"/>
        <w:gridCol w:w="80"/>
        <w:gridCol w:w="60"/>
        <w:gridCol w:w="125"/>
        <w:gridCol w:w="950"/>
        <w:gridCol w:w="96"/>
      </w:tblGrid>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96" w:name="xdx_490_20260401__20260630__us-gaap--Sta"/>
            <w:bookmarkEnd w:id="2196"/>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97" w:name="xdx_495_20260401__20260630__us-gaap--Sta"/>
            <w:bookmarkEnd w:id="2197"/>
          </w:p>
        </w:tc>
        <w:tc>
          <w:tcPr>
            <w:tcW w:w="1127"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98" w:name="xdx_49A_20260401__20260630__us-gaap--Sta"/>
            <w:bookmarkEnd w:id="2198"/>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99" w:name="xdx_498_20260401__20260630_zfsG0G1hPXXa"/>
            <w:bookmarkEnd w:id="2199"/>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external sources: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0" w:name="xdx_40A_ecustom--RevenueFromCustomers_zt"/>
            <w:bookmarkEnd w:id="2200"/>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28,704,662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7,599,588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25,797,533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62,101,783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1" w:name="xdx_40C_eus-gaap--NetInvestmentIncome_zV"/>
            <w:bookmarkEnd w:id="2201"/>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15,692,590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16,428,901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2" w:name="xdx_401_eus-gaap--GainLossOnInvestments_"/>
            <w:bookmarkEnd w:id="2202"/>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4,580,323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3" w:name="xdx_40A_eus-gaap--OtherIncome_zHM6YXdNcW"/>
            <w:bookmarkEnd w:id="2203"/>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815,041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4" w:name="xdx_400_ecustom--NetInvestmentIncomeInte"/>
            <w:bookmarkEnd w:id="2204"/>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1,831,041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5" w:name="xdx_404_ecustom--SegmentRevenues_zMQ5b8M"/>
            <w:bookmarkEnd w:id="2205"/>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49,517,148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9,913,020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26,326,921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85,757,089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6" w:name="xdx_40B_ecustom--EliminationOfIntersegme"/>
            <w:bookmarkEnd w:id="220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(1,831,041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07" w:name="xdx_405_eus-gaap--Revenues_zOgFynqvfpyc"/>
            <w:bookmarkEnd w:id="220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83,926,048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8" w:name="xdx_404_eus-gaap--PolicyholderBenefitsAn"/>
            <w:bookmarkEnd w:id="2208"/>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24,317,248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9" w:name="xdx_405_eus-gaap--DeferredPolicyAcquisit"/>
            <w:bookmarkEnd w:id="2209"/>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2,716,063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0" w:name="xdx_40B_eus-gaap--SellingGeneralAndAdmin"/>
            <w:bookmarkEnd w:id="2210"/>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1" w:name="xdx_401_eus-gaap--SalesCommissionsAndFee"/>
            <w:bookmarkEnd w:id="2211"/>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478,614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9,514,070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2" w:name="xdx_40F_eus-gaap--SalariesWagesAndOffice"/>
            <w:bookmarkEnd w:id="2212"/>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8,666,571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2,939,810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8,899,596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3" w:name="xdx_405_eus-gaap--AdvertisingExpense_z1s"/>
            <w:bookmarkEnd w:id="2213"/>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4" w:name="xdx_40D_ecustom--RentAndRentRelated_zl9V"/>
            <w:bookmarkEnd w:id="2214"/>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rent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5" w:name="xdx_402_ecustom--DepreciationOnPropertyA"/>
            <w:bookmarkEnd w:id="2215"/>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250,390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6" w:name="xdx_406_ecustom--CostOfFundingMortgageLo"/>
            <w:bookmarkEnd w:id="221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funding mortgage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7" w:name="xdx_40E_eus-gaap--InformationTechnologyA"/>
            <w:bookmarkEnd w:id="221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 processing and IT related </w:t>
            </w:r>
            <w:bookmarkStart w:id="2218" w:name="xdx_F49_zPEgA3Rvw933"/>
            <w:bookmarkEnd w:id="221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9" w:name="xdx_408_ecustom--PremiumTaxesOnInsurance"/>
            <w:bookmarkEnd w:id="2219"/>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taxes on insurance premiums and other considerations </w:t>
            </w:r>
            <w:bookmarkStart w:id="2220" w:name="xdx_F4B_z0lRdc9syKMc"/>
            <w:bookmarkEnd w:id="2220"/>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692,730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1" w:name="xdx_40B_eus-gaap--OtherSellingGeneralAnd"/>
            <w:bookmarkEnd w:id="2221"/>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bookmarkStart w:id="2222" w:name="xdx_F40_zog7TnELlOC4"/>
            <w:bookmarkEnd w:id="2222"/>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2,388,214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3" w:name="xdx_402_ecustom--IntersegmentExpenses_zy"/>
            <w:bookmarkEnd w:id="2223"/>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Intersegment expenses </w:t>
            </w:r>
            <w:bookmarkStart w:id="2224" w:name="xdx_F45_zvvflLXgIHSj"/>
            <w:bookmarkEnd w:id="2224"/>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5" w:name="xdx_40C_eus-gaap--InterestExpenseOther_z"/>
            <w:bookmarkEnd w:id="2225"/>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6" w:name="xdx_409_eus-gaap--CostOfGoodsAndServices"/>
            <w:bookmarkEnd w:id="222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and services sold-mortuaries and cemeteries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1,177,676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7" w:name="xdx_40D_eus-gaap--IncomeTaxExpenseBenefi"/>
            <w:bookmarkEnd w:id="222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752,166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8" w:name="xdx_40C_ecustom--SegmentNetIncomeLoss_zI"/>
            <w:bookmarkEnd w:id="2228"/>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6,647,101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2,288,208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8,981,697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9" w:name="xdx_401_eus-gaap--NetIncomeLoss_zaM5kcE6"/>
            <w:bookmarkEnd w:id="2229"/>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8,981,697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30" w:name="xdx_F0E_zdHz11FBtaHk"/>
            <w:bookmarkEnd w:id="2230"/>
            <w:r>
              <w:rPr>
                <w:rFonts w:ascii="Times New Roman;Times;Serif" w:hAnsi="Times New Roman;Times;Serif"/>
                <w:b w:val="false"/>
                <w:i w:val="false"/>
                <w:caps w:val="false"/>
                <w:smallCaps w:val="false"/>
                <w:sz w:val="20"/>
              </w:rPr>
              <w:t>(1)</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31" w:name="xdx_F1D_zcPHmXrYxL54"/>
            <w:bookmarkEnd w:id="2231"/>
            <w:r>
              <w:rPr>
                <w:rFonts w:ascii="Times New Roman;Times;Serif" w:hAnsi="Times New Roman;Times;Serif"/>
                <w:b w:val="false"/>
                <w:i w:val="false"/>
                <w:caps w:val="false"/>
                <w:smallCaps w:val="false"/>
                <w:sz w:val="20"/>
              </w:rPr>
              <w:t>Included in other expenses on the condensed consolidated statements of earnings. Data processing and IT related expenses includes various software subscriptions, maintenance, consulting, support and storage fees.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32" w:name="xdx_F05_ztEeqq5FMMvj"/>
            <w:bookmarkEnd w:id="2232"/>
            <w:r>
              <w:rPr>
                <w:rFonts w:ascii="Times New Roman;Times;Serif" w:hAnsi="Times New Roman;Times;Serif"/>
                <w:b w:val="false"/>
                <w:i w:val="false"/>
                <w:caps w:val="false"/>
                <w:smallCaps w:val="false"/>
                <w:sz w:val="20"/>
              </w:rPr>
              <w:t>(2)</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33" w:name="xdx_F1C_zIRRyumKhcY"/>
            <w:bookmarkEnd w:id="2233"/>
            <w:r>
              <w:rPr>
                <w:rFonts w:ascii="Times New Roman;Times;Serif" w:hAnsi="Times New Roman;Times;Serif"/>
                <w:b w:val="false"/>
                <w:i w:val="false"/>
                <w:caps w:val="false"/>
                <w:smallCaps w:val="false"/>
                <w:sz w:val="20"/>
              </w:rPr>
              <w:t>For each reportable segment, other segment items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bad debt, insurance expenses, professional service expenses, state insurance department fees,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Home/Cemetery - bad debt, insurance expenses, professional service expenses, maintenance and utility expenses, property taxes,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bad debt, insurance expenses, professional service expenses, business license and registration fees, dues and subscriptions, amortization expense of mortgage servicing rights, and certain overhead expenses.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34" w:name="xdx_F05_zEBWvzWEJzTb"/>
            <w:bookmarkEnd w:id="2234"/>
            <w:r>
              <w:rPr>
                <w:rFonts w:ascii="Times New Roman;Times;Serif" w:hAnsi="Times New Roman;Times;Serif"/>
                <w:b w:val="false"/>
                <w:i w:val="false"/>
                <w:caps w:val="false"/>
                <w:smallCaps w:val="false"/>
                <w:sz w:val="20"/>
              </w:rPr>
              <w:t>(3)</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35" w:name="xdx_F1D_zaYQHcfKShxb"/>
            <w:bookmarkEnd w:id="2235"/>
            <w:r>
              <w:rPr>
                <w:rFonts w:ascii="Times New Roman;Times;Serif" w:hAnsi="Times New Roman;Times;Serif"/>
                <w:b w:val="false"/>
                <w:i w:val="false"/>
                <w:caps w:val="false"/>
                <w:smallCaps w:val="false"/>
                <w:sz w:val="20"/>
              </w:rPr>
              <w:t>For each reportable segment, intersegment expenses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mortgage servicing fees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Home/Cemetery - rent expense, data processing and IT related expenses,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rent expense and interest expense.</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Business Segment Information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7"/>
        <w:gridCol w:w="60"/>
        <w:gridCol w:w="125"/>
        <w:gridCol w:w="950"/>
        <w:gridCol w:w="60"/>
        <w:gridCol w:w="60"/>
        <w:gridCol w:w="145"/>
        <w:gridCol w:w="982"/>
        <w:gridCol w:w="60"/>
        <w:gridCol w:w="60"/>
        <w:gridCol w:w="125"/>
        <w:gridCol w:w="950"/>
        <w:gridCol w:w="80"/>
        <w:gridCol w:w="60"/>
        <w:gridCol w:w="125"/>
        <w:gridCol w:w="950"/>
        <w:gridCol w:w="96"/>
      </w:tblGrid>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36" w:name="xdx_491_20250401__20250630__us-gaap--Sta"/>
            <w:bookmarkEnd w:id="2236"/>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37" w:name="xdx_493_20250401__20250630__us-gaap--Sta"/>
            <w:bookmarkEnd w:id="2237"/>
          </w:p>
        </w:tc>
        <w:tc>
          <w:tcPr>
            <w:tcW w:w="1127"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38" w:name="xdx_493_20250401__20250630__us-gaap--Sta"/>
            <w:bookmarkEnd w:id="2238"/>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39" w:name="xdx_49B_20250401__20250630_zuXxWYbARXp"/>
            <w:bookmarkEnd w:id="2239"/>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external sources: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0" w:name="xdx_402_ecustom--RevenueFromCustomers_ze"/>
            <w:bookmarkEnd w:id="2240"/>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30,185,854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7,257,717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29,485,104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66,928,675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1" w:name="xdx_407_eus-gaap--NetInvestmentIncome_zg"/>
            <w:bookmarkEnd w:id="2241"/>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19,999,873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465,425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20,580,988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2" w:name="xdx_40F_eus-gaap--GainLossOnInvestments_"/>
            <w:bookmarkEnd w:id="2242"/>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1,142,707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3" w:name="xdx_40A_eus-gaap--OtherIncome_ziSiaAalFS"/>
            <w:bookmarkEnd w:id="2243"/>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888,779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4" w:name="xdx_400_ecustom--NetInvestmentIncomeInte"/>
            <w:bookmarkEnd w:id="2244"/>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1,987,667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5" w:name="xdx_404_ecustom--SegmentRevenues_zZ3d0Ov"/>
            <w:bookmarkEnd w:id="2245"/>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53,352,999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29,950,489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91,528,816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6" w:name="xdx_40B_ecustom--EliminationOfIntersegme"/>
            <w:bookmarkEnd w:id="224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(1,987,667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47" w:name="xdx_405_eus-gaap--Revenues_z5Mtnesi4QE3"/>
            <w:bookmarkEnd w:id="224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89,541,149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8" w:name="xdx_406_eus-gaap--PolicyholderBenefitsAn"/>
            <w:bookmarkEnd w:id="2248"/>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25,515,540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9" w:name="xdx_400_eus-gaap--DeferredPolicyAcquisit"/>
            <w:bookmarkEnd w:id="2249"/>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0" w:name="xdx_404_eus-gaap--SellingGeneralAndAdmin"/>
            <w:bookmarkEnd w:id="2250"/>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1" w:name="xdx_401_eus-gaap--SalesCommissionsAndFee"/>
            <w:bookmarkEnd w:id="2251"/>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11,808,454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2" w:name="xdx_40F_eus-gaap--SalariesWagesAndOffice"/>
            <w:bookmarkEnd w:id="2252"/>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8,397,298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11,100,269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3" w:name="xdx_405_eus-gaap--AdvertisingExpense_zAc"/>
            <w:bookmarkEnd w:id="2253"/>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4" w:name="xdx_40D_ecustom--RentAndRentRelated_zsiI"/>
            <w:bookmarkEnd w:id="2254"/>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rent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5" w:name="xdx_402_ecustom--DepreciationOnPropertyA"/>
            <w:bookmarkEnd w:id="2255"/>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6" w:name="xdx_406_ecustom--CostOfFundingMortgageLo"/>
            <w:bookmarkEnd w:id="225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funding mortgage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1,891,789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7" w:name="xdx_40E_eus-gaap--InformationTechnologyA"/>
            <w:bookmarkEnd w:id="225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 processing and IT related </w:t>
            </w:r>
            <w:bookmarkStart w:id="2258" w:name="xdx_F4A_z6NXpVkPBxgi"/>
            <w:bookmarkEnd w:id="225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9" w:name="xdx_408_ecustom--PremiumTaxesOnInsurance"/>
            <w:bookmarkEnd w:id="2259"/>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taxes on insurance premiums and other considerations </w:t>
            </w:r>
            <w:bookmarkStart w:id="2260" w:name="xdx_F49_ziVp3yxdlaf6"/>
            <w:bookmarkEnd w:id="2260"/>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61" w:name="xdx_40B_eus-gaap--OtherSellingGeneralAnd"/>
            <w:bookmarkEnd w:id="2261"/>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bookmarkStart w:id="2262" w:name="xdx_F4B_zX7JxHYgmrqh"/>
            <w:bookmarkEnd w:id="2262"/>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3" w:name="xdx_405_ecustom--IntersegmentExpenses_zJ"/>
            <w:bookmarkEnd w:id="2263"/>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Intersegment expenses </w:t>
            </w:r>
            <w:bookmarkStart w:id="2264" w:name="xdx_F45_zJZmLyp17Dy1"/>
            <w:bookmarkEnd w:id="2264"/>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1,743,926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65" w:name="xdx_40C_eus-gaap--InterestExpenseOther_z"/>
            <w:bookmarkEnd w:id="2265"/>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993,830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6" w:name="xdx_409_eus-gaap--CostOfGoodsAndServices"/>
            <w:bookmarkEnd w:id="2266"/>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and services sold-mortuaries and cemeteries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67" w:name="xdx_40D_eus-gaap--IncomeTaxExpenseBenefi"/>
            <w:bookmarkEnd w:id="2267"/>
          </w:p>
        </w:tc>
      </w:tr>
      <w:tr>
        <w:trPr/>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2,348,731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(410,683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8" w:name="xdx_40C_ecustom--SegmentNetIncomeLoss_z6"/>
            <w:bookmarkEnd w:id="2268"/>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8,267,272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(1,260,869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8,370,755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9" w:name="xdx_401_eus-gaap--NetIncomeLoss_z7GlAlZI"/>
            <w:bookmarkEnd w:id="2269"/>
          </w:p>
        </w:tc>
      </w:tr>
      <w:tr>
        <w:trPr/>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8,370,755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70" w:name="xdx_F0D_zYEgQjbe6a48"/>
            <w:bookmarkEnd w:id="2270"/>
            <w:r>
              <w:rPr>
                <w:rFonts w:ascii="Times New Roman;Times;Serif" w:hAnsi="Times New Roman;Times;Serif"/>
                <w:b w:val="false"/>
                <w:i w:val="false"/>
                <w:caps w:val="false"/>
                <w:smallCaps w:val="false"/>
                <w:sz w:val="20"/>
              </w:rPr>
              <w:t>(1)</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71" w:name="xdx_F10_zPbYtDlhTq06"/>
            <w:bookmarkEnd w:id="2271"/>
            <w:r>
              <w:rPr>
                <w:rFonts w:ascii="Times New Roman;Times;Serif" w:hAnsi="Times New Roman;Times;Serif"/>
                <w:b w:val="false"/>
                <w:i w:val="false"/>
                <w:caps w:val="false"/>
                <w:smallCaps w:val="false"/>
                <w:sz w:val="20"/>
              </w:rPr>
              <w:t>Included in other expenses on the condensed consolidated statements of earnings. Data processing and IT related expenses includes various software subscriptions, maintenance, consulting, support and storage fees.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72" w:name="xdx_F09_zxg3ryY8s6N8"/>
            <w:bookmarkEnd w:id="2272"/>
            <w:r>
              <w:rPr>
                <w:rFonts w:ascii="Times New Roman;Times;Serif" w:hAnsi="Times New Roman;Times;Serif"/>
                <w:b w:val="false"/>
                <w:i w:val="false"/>
                <w:caps w:val="false"/>
                <w:smallCaps w:val="false"/>
                <w:sz w:val="20"/>
              </w:rPr>
              <w:t>(2)</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73" w:name="xdx_F12_zoGHrzebQWKh"/>
            <w:bookmarkEnd w:id="2273"/>
            <w:r>
              <w:rPr>
                <w:rFonts w:ascii="Times New Roman;Times;Serif" w:hAnsi="Times New Roman;Times;Serif"/>
                <w:b w:val="false"/>
                <w:i w:val="false"/>
                <w:caps w:val="false"/>
                <w:smallCaps w:val="false"/>
                <w:sz w:val="20"/>
              </w:rPr>
              <w:t>For each reportable segment, other segment items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bad debt, insurance expenses, professional service expenses, state insurance department fees,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Home/Cemetery - bad debt, insurance expenses, professional service expenses, maintenance and utility expenses, property taxes,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bad debt, insurance expenses, professional service expenses, business license and registration fees, dues and subscriptions, amortization expense of mortgage servicing rights, and certain overhead expenses.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74" w:name="xdx_F0C_zjjxj6d2Seoi"/>
            <w:bookmarkEnd w:id="2274"/>
            <w:r>
              <w:rPr>
                <w:rFonts w:ascii="Times New Roman;Times;Serif" w:hAnsi="Times New Roman;Times;Serif"/>
                <w:b w:val="false"/>
                <w:i w:val="false"/>
                <w:caps w:val="false"/>
                <w:smallCaps w:val="false"/>
                <w:sz w:val="20"/>
              </w:rPr>
              <w:t>(3)</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75" w:name="xdx_F1E_z7TkCyBlH7Se"/>
            <w:bookmarkEnd w:id="2275"/>
            <w:r>
              <w:rPr>
                <w:rFonts w:ascii="Times New Roman;Times;Serif" w:hAnsi="Times New Roman;Times;Serif"/>
                <w:b w:val="false"/>
                <w:i w:val="false"/>
                <w:caps w:val="false"/>
                <w:smallCaps w:val="false"/>
                <w:sz w:val="20"/>
              </w:rPr>
              <w:t>For each reportable segment, intersegment expenses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mortgage servicing fees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Home/Cemetery - rent expense, data processing and IT related expenses,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rent expense and interest expense.</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Business Segment Information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5"/>
        <w:gridCol w:w="60"/>
        <w:gridCol w:w="125"/>
        <w:gridCol w:w="1205"/>
        <w:gridCol w:w="60"/>
        <w:gridCol w:w="60"/>
        <w:gridCol w:w="125"/>
        <w:gridCol w:w="1055"/>
        <w:gridCol w:w="60"/>
        <w:gridCol w:w="60"/>
        <w:gridCol w:w="125"/>
        <w:gridCol w:w="950"/>
        <w:gridCol w:w="80"/>
        <w:gridCol w:w="60"/>
        <w:gridCol w:w="125"/>
        <w:gridCol w:w="1205"/>
        <w:gridCol w:w="95"/>
      </w:tblGrid>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76" w:name="xdx_491_20260101__20260630__us-gaap--Sta"/>
            <w:bookmarkEnd w:id="2276"/>
          </w:p>
        </w:tc>
        <w:tc>
          <w:tcPr>
            <w:tcW w:w="13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77" w:name="xdx_498_20260101__20260630__us-gaap--Sta"/>
            <w:bookmarkEnd w:id="2277"/>
          </w:p>
        </w:tc>
        <w:tc>
          <w:tcPr>
            <w:tcW w:w="11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78" w:name="xdx_490_20260101__20260630__us-gaap--Sta"/>
            <w:bookmarkEnd w:id="2278"/>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279" w:name="xdx_496_20260101__20260630_zB9PFyTpCppa"/>
            <w:bookmarkEnd w:id="2279"/>
          </w:p>
        </w:tc>
        <w:tc>
          <w:tcPr>
            <w:tcW w:w="13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9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Cemetery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external sources: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0" w:name="xdx_40A_ecustom--RevenueFromCustomers_zc"/>
            <w:bookmarkEnd w:id="2280"/>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57,559,916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15,333,411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49,287,192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122,180,519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81" w:name="xdx_400_eus-gaap--NetInvestmentIncome_zC"/>
            <w:bookmarkEnd w:id="2281"/>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33,409,867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1,193,496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34,930,249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2" w:name="xdx_406_eus-gaap--GainLossOnInvestments_"/>
            <w:bookmarkEnd w:id="2282"/>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3,430,116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4,931,071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83" w:name="xdx_40A_eus-gaap--OtherIncome_zkvcpUydy5"/>
            <w:bookmarkEnd w:id="2283"/>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767,817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1,612,989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4" w:name="xdx_40C_ecustom--NetInvestmentIncomeInte"/>
            <w:bookmarkEnd w:id="2284"/>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3,202,675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3,510,329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85" w:name="xdx_40E_ecustom--SegmentRevenues_zNzDECJ"/>
            <w:bookmarkEnd w:id="2285"/>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98,370,391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18,469,524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50,325,242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167,165,157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86" w:name="xdx_404_ecustom--EliminationOfIntersegme"/>
            <w:bookmarkEnd w:id="2286"/>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(3,510,329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87" w:name="xdx_401_eus-gaap--Revenues_zj7N6ZnLdIkd"/>
            <w:bookmarkEnd w:id="2287"/>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163,654,828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88" w:name="xdx_408_eus-gaap--PolicyholderBenefitsAn"/>
            <w:bookmarkEnd w:id="2288"/>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48,856,645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9" w:name="xdx_400_eus-gaap--DeferredPolicyAcquisit"/>
            <w:bookmarkEnd w:id="2289"/>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5,405,437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0" w:name="xdx_408_eus-gaap--SellingGeneralAndAdmin"/>
            <w:bookmarkEnd w:id="2290"/>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1" w:name="xdx_40D_eus-gaap--SalesCommissionsAndFee"/>
            <w:bookmarkEnd w:id="2291"/>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716,823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17,596,895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2" w:name="xdx_40B_eus-gaap--SalariesWagesAndOffice"/>
            <w:bookmarkEnd w:id="2292"/>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17,405,428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18,029,305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3" w:name="xdx_40C_eus-gaap--AdvertisingExpense_zrT"/>
            <w:bookmarkEnd w:id="2293"/>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4" w:name="xdx_40D_ecustom--RentAndRentRelated_z4d3"/>
            <w:bookmarkEnd w:id="2294"/>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rent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5" w:name="xdx_40F_ecustom--DepreciationOnPropertyA"/>
            <w:bookmarkEnd w:id="2295"/>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6" w:name="xdx_405_ecustom--CostOfFundingMortgageLo"/>
            <w:bookmarkEnd w:id="2296"/>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funding mortgage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3,284,088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7" w:name="xdx_40E_eus-gaap--InformationTechnologyA"/>
            <w:bookmarkEnd w:id="2297"/>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 processing and IT related </w:t>
            </w:r>
            <w:bookmarkStart w:id="2298" w:name="xdx_F4D_zgqfkpJXSuld"/>
            <w:bookmarkEnd w:id="229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2,067,857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9" w:name="xdx_40C_ecustom--PremiumTaxesOnInsurance"/>
            <w:bookmarkEnd w:id="2299"/>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taxes on insurance premiums and other considerations </w:t>
            </w:r>
            <w:bookmarkStart w:id="2300" w:name="xdx_F4D_zOM0pVDPUoY"/>
            <w:bookmarkEnd w:id="2300"/>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1,352,345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1" w:name="xdx_40B_eus-gaap--OtherSellingGeneralAnd"/>
            <w:bookmarkEnd w:id="2301"/>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bookmarkStart w:id="2302" w:name="xdx_F40_zGvDCASfGqk1"/>
            <w:bookmarkEnd w:id="2302"/>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4,737,527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2,810,840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3" w:name="xdx_402_ecustom--IntersegmentExpenses_zD"/>
            <w:bookmarkEnd w:id="2303"/>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Intersegment expenses </w:t>
            </w:r>
            <w:bookmarkStart w:id="2304" w:name="xdx_F44_zOEgC8zr6jtk"/>
            <w:bookmarkEnd w:id="2304"/>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3,045,320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5" w:name="xdx_40C_eus-gaap--InterestExpenseOther_z"/>
            <w:bookmarkEnd w:id="2305"/>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1,786,826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6" w:name="xdx_409_eus-gaap--CostOfGoodsAndServices"/>
            <w:bookmarkEnd w:id="2306"/>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and services sold-mortuaries and cemeteries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7" w:name="xdx_40D_eus-gaap--IncomeTaxExpenseBenefi"/>
            <w:bookmarkEnd w:id="2307"/>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3,563,406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1,270,863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8" w:name="xdx_40C_ecustom--SegmentNetIncomeLoss_zY"/>
            <w:bookmarkEnd w:id="2308"/>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12,585,099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3,918,763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(520,739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15,983,123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9" w:name="xdx_401_eus-gaap--NetIncomeLoss_zzNzOHMh"/>
            <w:bookmarkEnd w:id="2309"/>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15,983,123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0" w:name="xdx_98B_ecustom--SegmentAssets_iI_c20260"/>
            <w:bookmarkEnd w:id="2310"/>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1,423,062,141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1" w:name="xdx_980_ecustom--SegmentAssets_iI_c20260"/>
            <w:bookmarkEnd w:id="231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110,989,273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2" w:name="xdx_981_ecustom--SegmentAssets_iI_c20260"/>
            <w:bookmarkEnd w:id="2312"/>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96,186,799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3" w:name="xdx_98E_ecustom--SegmentAssets_iI_c20260"/>
            <w:bookmarkEnd w:id="2313"/>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1,630,238,213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14" w:name="xdx_98A_ecustom--EliminationOfIntersegme"/>
            <w:bookmarkEnd w:id="2314"/>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(20,923,245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5" w:name="xdx_989_eus-gaap--AssetsNet_iI_c20260630"/>
            <w:bookmarkEnd w:id="2315"/>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1,609,314,968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16" w:name="xdx_401_eus-gaap--SegmentExpenditureAddi"/>
            <w:bookmarkEnd w:id="2316"/>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45,649,313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46,133,048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17" w:name="xdx_F02_zWqeldOII9Df"/>
            <w:bookmarkEnd w:id="2317"/>
            <w:r>
              <w:rPr>
                <w:rFonts w:ascii="Times New Roman;Times;Serif" w:hAnsi="Times New Roman;Times;Serif"/>
                <w:b w:val="false"/>
                <w:i w:val="false"/>
                <w:caps w:val="false"/>
                <w:smallCaps w:val="false"/>
                <w:sz w:val="20"/>
              </w:rPr>
              <w:t>(1)</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18" w:name="xdx_F1F_zJSNQsbU5RO9"/>
            <w:bookmarkEnd w:id="2318"/>
            <w:r>
              <w:rPr>
                <w:rFonts w:ascii="Times New Roman;Times;Serif" w:hAnsi="Times New Roman;Times;Serif"/>
                <w:b w:val="false"/>
                <w:i w:val="false"/>
                <w:caps w:val="false"/>
                <w:smallCaps w:val="false"/>
                <w:sz w:val="20"/>
              </w:rPr>
              <w:t>Included in other expenses on the condensed consolidated statements of earnings. Data processing and IT related expenses includes various software subscriptions, maintenance, consulting, support and storage fees.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19" w:name="xdx_F0E_z4krMAekwwLg"/>
            <w:bookmarkEnd w:id="2319"/>
            <w:r>
              <w:rPr>
                <w:rFonts w:ascii="Times New Roman;Times;Serif" w:hAnsi="Times New Roman;Times;Serif"/>
                <w:b w:val="false"/>
                <w:i w:val="false"/>
                <w:caps w:val="false"/>
                <w:smallCaps w:val="false"/>
                <w:sz w:val="20"/>
              </w:rPr>
              <w:t>(2)</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20" w:name="xdx_F10_z7PIoap1Ct1l"/>
            <w:bookmarkEnd w:id="2320"/>
            <w:r>
              <w:rPr>
                <w:rFonts w:ascii="Times New Roman;Times;Serif" w:hAnsi="Times New Roman;Times;Serif"/>
                <w:b w:val="false"/>
                <w:i w:val="false"/>
                <w:caps w:val="false"/>
                <w:smallCaps w:val="false"/>
                <w:sz w:val="20"/>
              </w:rPr>
              <w:t>For each reportable segment, other segment items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bad debt, insurance expenses, professional service expenses, state insurance department fees,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 bad debt, insurance expenses, professional service expenses, maintenance and utility expenses, property taxes,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bad debt, insurance expenses, professional service expenses, business license and registration fees, dues and subscriptions, amortization expense of mortgage servicing rights, and certain overhead expenses.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21" w:name="xdx_F0D_zR4szOQGGIgh"/>
            <w:bookmarkEnd w:id="2321"/>
            <w:r>
              <w:rPr>
                <w:rFonts w:ascii="Times New Roman;Times;Serif" w:hAnsi="Times New Roman;Times;Serif"/>
                <w:b w:val="false"/>
                <w:i w:val="false"/>
                <w:caps w:val="false"/>
                <w:smallCaps w:val="false"/>
                <w:sz w:val="20"/>
              </w:rPr>
              <w:t>(3)</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22" w:name="xdx_F12_zXiotVlRfzA3"/>
            <w:bookmarkEnd w:id="2322"/>
            <w:r>
              <w:rPr>
                <w:rFonts w:ascii="Times New Roman;Times;Serif" w:hAnsi="Times New Roman;Times;Serif"/>
                <w:b w:val="false"/>
                <w:i w:val="false"/>
                <w:caps w:val="false"/>
                <w:smallCaps w:val="false"/>
                <w:sz w:val="20"/>
              </w:rPr>
              <w:t>For each reportable segment, intersegment expenses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mortgage servicing fees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 rent expense, data processing and IT related expenses,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rent expense and interest expense.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Business Segment Information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5"/>
        <w:gridCol w:w="60"/>
        <w:gridCol w:w="125"/>
        <w:gridCol w:w="1205"/>
        <w:gridCol w:w="60"/>
        <w:gridCol w:w="60"/>
        <w:gridCol w:w="125"/>
        <w:gridCol w:w="1055"/>
        <w:gridCol w:w="60"/>
        <w:gridCol w:w="60"/>
        <w:gridCol w:w="125"/>
        <w:gridCol w:w="950"/>
        <w:gridCol w:w="80"/>
        <w:gridCol w:w="60"/>
        <w:gridCol w:w="125"/>
        <w:gridCol w:w="1205"/>
        <w:gridCol w:w="95"/>
      </w:tblGrid>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23" w:name="xdx_496_20250101__20250630__us-gaap--Sta"/>
            <w:bookmarkEnd w:id="2323"/>
          </w:p>
        </w:tc>
        <w:tc>
          <w:tcPr>
            <w:tcW w:w="13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24" w:name="xdx_49E_20250101__20250630__us-gaap--Sta"/>
            <w:bookmarkEnd w:id="2324"/>
          </w:p>
        </w:tc>
        <w:tc>
          <w:tcPr>
            <w:tcW w:w="11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25" w:name="xdx_498_20250101__20250630__us-gaap--Sta"/>
            <w:bookmarkEnd w:id="2325"/>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26" w:name="xdx_49D_20250101__20250630_zoeZwO7m7BG9"/>
            <w:bookmarkEnd w:id="2326"/>
          </w:p>
        </w:tc>
        <w:tc>
          <w:tcPr>
            <w:tcW w:w="13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9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Cemetery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external sources: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27" w:name="xdx_409_ecustom--RevenueFromCustomers_zE"/>
            <w:bookmarkEnd w:id="2327"/>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59,965,379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14,557,938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54,294,345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128,817,662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28" w:name="xdx_409_eus-gaap--NetInvestmentIncome_zI"/>
            <w:bookmarkEnd w:id="2328"/>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38,630,818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886,678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39,783,612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29" w:name="xdx_400_eus-gaap--GainLossOnInvestments_"/>
            <w:bookmarkEnd w:id="2329"/>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1,163,795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1,728,728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0" w:name="xdx_40A_eus-gaap--OtherIncome_zsQH2osK44"/>
            <w:bookmarkEnd w:id="2330"/>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1,950,870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31" w:name="xdx_400_ecustom--NetInvestmentIncomeInte"/>
            <w:bookmarkEnd w:id="2331"/>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3,513,294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2" w:name="xdx_404_ecustom--SegmentRevenues_z5WJ110"/>
            <w:bookmarkEnd w:id="2332"/>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103,959,524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16,428,458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55,406,184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175,794,166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3" w:name="xdx_40B_ecustom--EliminationOfIntersegme"/>
            <w:bookmarkEnd w:id="2333"/>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(3,513,294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34" w:name="xdx_405_eus-gaap--Revenues_zFpo2rdiciSd"/>
            <w:bookmarkEnd w:id="2334"/>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172,280,872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5" w:name="xdx_406_eus-gaap--PolicyholderBenefitsAn"/>
            <w:bookmarkEnd w:id="2335"/>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50,970,714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36" w:name="xdx_400_eus-gaap--DeferredPolicyAcquisit"/>
            <w:bookmarkEnd w:id="2336"/>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5,343,129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7" w:name="xdx_404_eus-gaap--SellingGeneralAndAdmin"/>
            <w:bookmarkEnd w:id="2337"/>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38" w:name="xdx_401_eus-gaap--SalesCommissionsAndFee"/>
            <w:bookmarkEnd w:id="2338"/>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1,939,201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21,176,072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9" w:name="xdx_40F_eus-gaap--SalariesWagesAndOffice"/>
            <w:bookmarkEnd w:id="2339"/>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16,923,486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5,211,804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22,218,463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0" w:name="xdx_405_eus-gaap--AdvertisingExpense_zNf"/>
            <w:bookmarkEnd w:id="2340"/>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1,243,905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41" w:name="xdx_40B_ecustom--RentAndRentRelated_zfnQ"/>
            <w:bookmarkEnd w:id="2341"/>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rent related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2" w:name="xdx_40E_ecustom--DepreciationOnPropertyA"/>
            <w:bookmarkEnd w:id="2342"/>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462,685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315,923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43" w:name="xdx_405_ecustom--CostOfFundingMortgageLo"/>
            <w:bookmarkEnd w:id="2343"/>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funding mortgage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3,307,041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4" w:name="xdx_40E_eus-gaap--InformationTechnologyA"/>
            <w:bookmarkEnd w:id="2344"/>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 processing and IT related </w:t>
            </w:r>
            <w:bookmarkStart w:id="2345" w:name="xdx_F40_zUkzyRHT5Wp1"/>
            <w:bookmarkEnd w:id="2345"/>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1,777,119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46" w:name="xdx_408_ecustom--PremiumTaxesOnInsurance"/>
            <w:bookmarkEnd w:id="2346"/>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taxes on insurance premiums and other considerations (</w:t>
            </w:r>
            <w:bookmarkStart w:id="2347" w:name="xdx_F40_z7N5qHCoFpe5"/>
            <w:bookmarkEnd w:id="2347"/>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1,452,274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8" w:name="xdx_40B_eus-gaap--OtherSellingGeneralAnd"/>
            <w:bookmarkEnd w:id="2348"/>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bookmarkStart w:id="2349" w:name="xdx_F43_zhKutsK82l8e"/>
            <w:bookmarkEnd w:id="2349"/>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5,027,184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3,871,848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0" w:name="xdx_406_ecustom--IntersegmentExpenses_z8"/>
            <w:bookmarkEnd w:id="2350"/>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Intersegment expenses </w:t>
            </w:r>
            <w:bookmarkStart w:id="2351" w:name="xdx_F47_zLk1G1qUB2v9"/>
            <w:bookmarkEnd w:id="2351"/>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364,814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2,976,554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52" w:name="xdx_402_eus-gaap--InterestExpenseOther_z"/>
            <w:bookmarkEnd w:id="2352"/>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1,900,277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3" w:name="xdx_408_eus-gaap--CostOfGoodsAndServices"/>
            <w:bookmarkEnd w:id="2353"/>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and services sold-mortuaries and cemeteries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54" w:name="xdx_401_eus-gaap--IncomeTaxExpenseBenefi"/>
            <w:bookmarkEnd w:id="2354"/>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4,133,938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5" w:name="xdx_40C_ecustom--SegmentNetIncomeLoss_zj"/>
            <w:bookmarkEnd w:id="2355"/>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14,488,871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3,067,609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(2,771,990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14,784,490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6" w:name="xdx_401_eus-gaap--NetIncomeLoss_zAeLTiZG"/>
            <w:bookmarkEnd w:id="2356"/>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14,784,490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57" w:name="xdx_981_ecustom--SegmentAssets_iI_c20250"/>
            <w:bookmarkEnd w:id="2357"/>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1,392,400,255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58" w:name="xdx_986_ecustom--SegmentAssets_iI_c20250"/>
            <w:bookmarkEnd w:id="235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101,407,961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59" w:name="xdx_98B_ecustom--SegmentAssets_iI_c20250"/>
            <w:bookmarkEnd w:id="2359"/>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86,674,977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60" w:name="xdx_98D_ecustom--SegmentAssets_iI_c20250"/>
            <w:bookmarkEnd w:id="2360"/>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1,580,483,193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intersegment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61" w:name="xdx_987_ecustom--EliminationOfIntersegme"/>
            <w:bookmarkEnd w:id="2361"/>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(26,857,765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consolidated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62" w:name="xdx_981_eus-gaap--AssetsNet_iI_c20250630"/>
            <w:bookmarkEnd w:id="2362"/>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1,553,625,428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3" w:name="xdx_401_eus-gaap--SegmentExpenditureAddi"/>
            <w:bookmarkEnd w:id="2363"/>
          </w:p>
        </w:tc>
      </w:tr>
      <w:tr>
        <w:trPr/>
        <w:tc>
          <w:tcPr>
            <w:tcW w:w="4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38,588,008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535,256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39,376,495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64" w:name="xdx_F02_zMPxuR00osf2"/>
            <w:bookmarkEnd w:id="2364"/>
            <w:r>
              <w:rPr>
                <w:rFonts w:ascii="Times New Roman;Times;Serif" w:hAnsi="Times New Roman;Times;Serif"/>
                <w:b w:val="false"/>
                <w:i w:val="false"/>
                <w:caps w:val="false"/>
                <w:smallCaps w:val="false"/>
                <w:sz w:val="20"/>
              </w:rPr>
              <w:t>(1)</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65" w:name="xdx_F16_zmtD87Ggd103"/>
            <w:bookmarkEnd w:id="2365"/>
            <w:r>
              <w:rPr>
                <w:rFonts w:ascii="Times New Roman;Times;Serif" w:hAnsi="Times New Roman;Times;Serif"/>
                <w:b w:val="false"/>
                <w:i w:val="false"/>
                <w:caps w:val="false"/>
                <w:smallCaps w:val="false"/>
                <w:sz w:val="20"/>
              </w:rPr>
              <w:t>Included in other expenses on the condensed consolidated statements of earnings. Data processing and IT related expenses includes various software subscriptions, maintenance, consulting, support and storage fees.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66" w:name="xdx_F05_z1XFDAaX1mAc"/>
            <w:bookmarkEnd w:id="2366"/>
            <w:r>
              <w:rPr>
                <w:rFonts w:ascii="Times New Roman;Times;Serif" w:hAnsi="Times New Roman;Times;Serif"/>
                <w:b w:val="false"/>
                <w:i w:val="false"/>
                <w:caps w:val="false"/>
                <w:smallCaps w:val="false"/>
                <w:sz w:val="20"/>
              </w:rPr>
              <w:t>(2)</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67" w:name="xdx_F16_zrgU14Pw56Uf"/>
            <w:bookmarkEnd w:id="2367"/>
            <w:r>
              <w:rPr>
                <w:rFonts w:ascii="Times New Roman;Times;Serif" w:hAnsi="Times New Roman;Times;Serif"/>
                <w:b w:val="false"/>
                <w:i w:val="false"/>
                <w:caps w:val="false"/>
                <w:smallCaps w:val="false"/>
                <w:sz w:val="20"/>
              </w:rPr>
              <w:t>For each reportable segment, other segment items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bad debt, insurance expenses, professional service expenses, state insurance department fees,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 bad debt, insurance expenses, professional service expenses, maintenance and utility expenses, property taxes, amortization of intangible assets, and certain overhead expenses.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bad debt, insurance expenses, professional service expenses, business license and registration fees, dues and subscriptions, amortization expense of mortgage servicing rights, and certain overhead expenses.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68" w:name="xdx_F0B_z2kHuj8weeFg"/>
            <w:bookmarkEnd w:id="2368"/>
            <w:r>
              <w:rPr>
                <w:rFonts w:ascii="Times New Roman;Times;Serif" w:hAnsi="Times New Roman;Times;Serif"/>
                <w:b w:val="false"/>
                <w:i w:val="false"/>
                <w:caps w:val="false"/>
                <w:smallCaps w:val="false"/>
                <w:sz w:val="20"/>
              </w:rPr>
              <w:t>(3)</w:t>
            </w:r>
          </w:p>
        </w:tc>
        <w:tc>
          <w:tcPr>
            <w:tcW w:w="997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69" w:name="xdx_F16_zzko9m9UN1Ai"/>
            <w:bookmarkEnd w:id="2369"/>
            <w:r>
              <w:rPr>
                <w:rFonts w:ascii="Times New Roman;Times;Serif" w:hAnsi="Times New Roman;Times;Serif"/>
                <w:b w:val="false"/>
                <w:i w:val="false"/>
                <w:caps w:val="false"/>
                <w:smallCaps w:val="false"/>
                <w:sz w:val="20"/>
              </w:rPr>
              <w:t>For each reportable segment, intersegment expenses includes:</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Insurance - mortgage servicing fees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 rent expense, data processing and IT related expenses, and interest expense.</w:t>
            </w:r>
          </w:p>
        </w:tc>
      </w:tr>
      <w:tr>
        <w:trPr/>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 rent expense and interest expense.</w:t>
            </w:r>
          </w:p>
        </w:tc>
      </w:tr>
    </w:tbl>
    <w:p>
      <w:pPr>
        <w:pStyle w:val="TextBody"/>
        <w:bidi w:val="0"/>
        <w:spacing w:before="0" w:after="0"/>
        <w:ind w:left="0" w:right="0" w:hanging="0"/>
        <w:jc w:val="both"/>
        <w:rPr>
          <w:caps w:val="false"/>
          <w:smallCaps w:val="false"/>
        </w:rPr>
      </w:pPr>
      <w:bookmarkStart w:id="2370" w:name="xdx_8A1_ziZoIgJw7DK8"/>
      <w:bookmarkEnd w:id="237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71" w:name="xdx_804_eus-gaap--FairValueDisclosuresTe"/>
      <w:bookmarkEnd w:id="2371"/>
      <w:r>
        <w:rPr>
          <w:rFonts w:ascii="Times New Roman;Times;Serif" w:hAnsi="Times New Roman;Times;Serif"/>
          <w:b w:val="false"/>
          <w:i w:val="false"/>
          <w:caps w:val="false"/>
          <w:smallCaps w:val="false"/>
          <w:sz w:val="20"/>
        </w:rPr>
        <w:t xml:space="preserve">17) </w:t>
      </w:r>
      <w:bookmarkStart w:id="2372" w:name="xdx_821_z98m9h8o7Qua"/>
      <w:bookmarkStart w:id="2373" w:name="f6k_022"/>
      <w:bookmarkEnd w:id="2372"/>
      <w:bookmarkEnd w:id="2373"/>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1: </w:t>
      </w:r>
      <w:r>
        <w:rPr>
          <w:rFonts w:ascii="Times New Roman;Times;Serif" w:hAnsi="Times New Roman;Times;Serif"/>
          <w:b w:val="false"/>
          <w:i w:val="false"/>
          <w:caps w:val="false"/>
          <w:smallCaps w:val="false"/>
          <w:sz w:val="20"/>
        </w:rPr>
        <w:t>Financial assets and financial liabilities whose values are based on unadjusted quoted prices for identical assets or liabilities in an active market that the Company can access.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2: </w:t>
      </w:r>
      <w:r>
        <w:rPr>
          <w:rFonts w:ascii="Times New Roman;Times;Serif" w:hAnsi="Times New Roman;Times;Serif"/>
          <w:b w:val="false"/>
          <w:i w:val="false"/>
          <w:caps w:val="false"/>
          <w:smallCaps w:val="false"/>
          <w:sz w:val="20"/>
        </w:rPr>
        <w:t>Financial assets and financial liabilities whose values are based on the following:</w:t>
      </w:r>
    </w:p>
    <w:p>
      <w:pPr>
        <w:pStyle w:val="TextBody"/>
        <w:bidi w:val="0"/>
        <w:spacing w:before="0" w:after="0"/>
        <w:ind w:left="720" w:right="0" w:firstLine="12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85"/>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prices for similar assets or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prices for identical or similar assets or liabilities in non-active markets; or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models whose inputs are observable, directly or indirectly, for substantially the full term of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3: </w:t>
      </w:r>
      <w:r>
        <w:rPr>
          <w:rFonts w:ascii="Times New Roman;Times;Serif" w:hAnsi="Times New Roman;Times;Serif"/>
          <w:b w:val="false"/>
          <w:i w:val="false"/>
          <w:caps w:val="false"/>
          <w:smallCaps w:val="false"/>
          <w:sz w:val="20"/>
        </w:rPr>
        <w:t>Financial assets and financial liabilities whose values are based on prices or valuation techniques that require inputs that are both unobservable and significant to the overall fair value measurement. These inputs may reflect the Company’s estimates of the assumptions that market participants would use in valuing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utilizes a combination of third-party valuation service providers, brokers, and internal valuation models to determine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methods and assumptions were used by the Company in estimating the fair value presented in its disclosures related to significant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items shown under Level 1 and Level 2 are valued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Fixed Maturity Securities Available for Sale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fair values of fixed maturity securities are based on quoted market prices (when available). For fixed 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Equity Securities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fair values for equity securities are based on quoted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Restricted Assets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 portion of these assets include equity securities and fixed maturity securities that have quoted market prices that are 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Cemetery Perpetual Care Trust Investments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 portion of these assets include equity securities and fixed maturity securities that have quoted market prices that are used to determine fair value. Also included are cash and cash equivalents. The carrying amounts reported in the accompanying condensed consolidated balance sheets for these financial instruments approximate their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were no transfers between Level 1 and Level 2 in the fair value hierarchy.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items shown under Level 3 are valued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Loans Held for Sale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elected the fair value option for loans held for sale. The fair value is based on quoted market prices (when available). When a quoted market price is not readily available, the Company uses the market price from its last sale of similar assets. Fair value is often difficult to determine in volatile markets and may contain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Loan Commitments and Forward Sale Commitments</w:t>
      </w:r>
      <w:r>
        <w:rPr>
          <w:rFonts w:ascii="Times New Roman;Times;Serif" w:hAnsi="Times New Roman;Times;Serif"/>
          <w:b w:val="false"/>
          <w:i w:val="false"/>
          <w:caps w:val="false"/>
          <w:smallCaps w:val="false"/>
          <w:sz w:val="20"/>
        </w:rPr>
        <w:t>: The Company’s mortgage segment enters loan commitments with potential borrowers and forward 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Impaired Mortgage Loans Held for Investment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believes that the fair value of these nonperforming loans will approximate the unpaid 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Impaired Real Estate Held for Investment</w:t>
      </w:r>
      <w:r>
        <w:rPr>
          <w:rFonts w:ascii="Times New Roman;Times;Serif" w:hAnsi="Times New Roman;Times;Serif"/>
          <w:b w:val="false"/>
          <w:i w:val="false"/>
          <w:caps w:val="false"/>
          <w:smallCaps w:val="false"/>
          <w:sz w:val="20"/>
        </w:rPr>
        <w:t>: Fair value is generally determined by obtaining an independent appraisal, which typically considers area comparable properties and property conditions.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property with the funds required for estimated future policy benefits. Accordingly, in addition to an appraisal, the determination of fair value will generally be weighed more heavily toward the rental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net rental income over seven years. The Company also considers comparable properties in the area and property conditions when determining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Mortgage Servicing Rights</w:t>
      </w:r>
      <w:r>
        <w:rPr>
          <w:rFonts w:ascii="Times New Roman;Times;Serif" w:hAnsi="Times New Roman;Times;Serif"/>
          <w:b w:val="false"/>
          <w:i w:val="false"/>
          <w:caps w:val="false"/>
          <w:smallCaps w:val="false"/>
          <w:sz w:val="20"/>
        </w:rPr>
        <w:t>: The Company initially recognizes Mortgage Servicing Rights (“MSRs”) at their estimated fair values derived from the net cash flows associated with the servicing contracts, where the Company assumes the obligation to service the loan in the sale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74" w:name="xdx_898_eus-gaap--ScheduleOfFairValueAss"/>
      <w:bookmarkEnd w:id="2374"/>
      <w:r>
        <w:rPr>
          <w:rFonts w:ascii="Times New Roman;Times;Serif" w:hAnsi="Times New Roman;Times;Serif"/>
          <w:b w:val="false"/>
          <w:i w:val="false"/>
          <w:caps w:val="false"/>
          <w:smallCaps w:val="false"/>
          <w:sz w:val="20"/>
        </w:rPr>
        <w:t>The following tables summarize Level 1, 2 and 3 financial assets and financial liabilities measured at fair value on a recurring basis by their classification in the condensed consolidated balance sheet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75" w:name="xdx_8B5_zl6v6aZZBHli"/>
      <w:bookmarkEnd w:id="2375"/>
      <w:r>
        <w:rPr>
          <w:rFonts w:ascii="Times New Roman;Times;Serif" w:hAnsi="Times New Roman;Times;Serif"/>
          <w:b w:val="false"/>
          <w:i w:val="false"/>
          <w:caps w:val="false"/>
          <w:smallCaps w:val="false"/>
          <w:sz w:val="20"/>
        </w:rPr>
        <w:t>Schedule of Fair Value Assets and Liabilities Measured on a Recurring Basis </w:t>
      </w:r>
    </w:p>
    <w:tbl>
      <w:tblPr>
        <w:tblW w:w="10205" w:type="dxa"/>
        <w:jc w:val="left"/>
        <w:tblInd w:w="0" w:type="dxa"/>
        <w:tblLayout w:type="fixed"/>
        <w:tblCellMar>
          <w:top w:w="0" w:type="dxa"/>
          <w:left w:w="0" w:type="dxa"/>
          <w:bottom w:w="0" w:type="dxa"/>
          <w:right w:w="0" w:type="dxa"/>
        </w:tblCellMar>
      </w:tblPr>
      <w:tblGrid>
        <w:gridCol w:w="2685"/>
        <w:gridCol w:w="60"/>
        <w:gridCol w:w="125"/>
        <w:gridCol w:w="1055"/>
        <w:gridCol w:w="80"/>
        <w:gridCol w:w="60"/>
        <w:gridCol w:w="271"/>
        <w:gridCol w:w="2066"/>
        <w:gridCol w:w="60"/>
        <w:gridCol w:w="60"/>
        <w:gridCol w:w="179"/>
        <w:gridCol w:w="1513"/>
        <w:gridCol w:w="60"/>
        <w:gridCol w:w="60"/>
        <w:gridCol w:w="187"/>
        <w:gridCol w:w="1587"/>
        <w:gridCol w:w="97"/>
      </w:tblGrid>
      <w:tr>
        <w:trPr/>
        <w:tc>
          <w:tcPr>
            <w:tcW w:w="2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76" w:name="xdx_49F_20260630_zlUR87DIzOkk"/>
            <w:bookmarkEnd w:id="2376"/>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77" w:name="xdx_49D_20260630__us-gaap--FairValueByFa"/>
            <w:bookmarkEnd w:id="2377"/>
          </w:p>
        </w:tc>
        <w:tc>
          <w:tcPr>
            <w:tcW w:w="23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Quoted Prices in Active Markets for Identical Assets </w:t>
              <w:b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78" w:name="xdx_49E_20260630__us-gaap--FairValueByFa"/>
            <w:bookmarkEnd w:id="2378"/>
          </w:p>
        </w:tc>
        <w:tc>
          <w:tcPr>
            <w:tcW w:w="16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Observable Inputs </w:t>
              <w:b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79" w:name="xdx_499_20260630__us-gaap--FairValueByFa"/>
            <w:bookmarkEnd w:id="2379"/>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Unobservable Inputs </w:t>
              <w:br/>
              <w:t>(Level 3)</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accounted for at fair value on a recurring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0" w:name="xdx_406_eus-gaap--AvailableForSaleSecuri"/>
            <w:bookmarkEnd w:id="2380"/>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380,428,850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379,854,776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574,074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1" w:name="xdx_407_eus-gaap--EquitySecuritiesFvNi_i"/>
            <w:bookmarkEnd w:id="2381"/>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20,782,573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20,782,573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2" w:name="xdx_406_eus-gaap--LoansReceivableHeldFor"/>
            <w:bookmarkEnd w:id="2382"/>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146,871,985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146,871,985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3" w:name="xdx_401_eus-gaap--DebtSecuritiesAvailabl"/>
            <w:bookmarkEnd w:id="2383"/>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assets </w:t>
            </w:r>
            <w:bookmarkStart w:id="2384" w:name="xdx_F46_zIXcpQVDkNq8"/>
            <w:bookmarkEnd w:id="2384"/>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5" w:name="xdx_40C_eus-gaap--EquitySecuritiesFvNiRe"/>
            <w:bookmarkEnd w:id="2385"/>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assets </w:t>
            </w:r>
            <w:bookmarkStart w:id="2386" w:name="xdx_F4E_z5nBHNitudic"/>
            <w:bookmarkEnd w:id="2386"/>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18,451,065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18,451,065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7" w:name="xdx_407_ecustom--CemeteryPerpetualCareTr"/>
            <w:bookmarkEnd w:id="2387"/>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Cemetery perpetual care trust investments </w:t>
            </w:r>
            <w:bookmarkStart w:id="2388" w:name="xdx_F49_zdycOrpCkrja"/>
            <w:bookmarkEnd w:id="238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9" w:name="xdx_402_ecustom--CemeteryPerpetualCareTr"/>
            <w:bookmarkEnd w:id="2389"/>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Cemetery perpetual care trust investments </w:t>
            </w:r>
            <w:bookmarkStart w:id="2390" w:name="xdx_F45_znWxptBHVxh6"/>
            <w:bookmarkEnd w:id="2390"/>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7,024,235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7,024,235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91" w:name="xdx_40C_ecustom--DerivativesInterestRate"/>
            <w:bookmarkEnd w:id="2391"/>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Derivatives - loan commitments </w:t>
            </w:r>
            <w:bookmarkStart w:id="2392" w:name="xdx_F46_z3IrfoE7x9zf"/>
            <w:bookmarkEnd w:id="2392"/>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2,588,911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93" w:name="xdx_40F_ecustom--AssetsFairValueDisclosu"/>
            <w:bookmarkEnd w:id="2393"/>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576,542,830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46,257,873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380,249,987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150,034,970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94" w:name="xdx_40E_ecustom--DerivativesBankLoanInte"/>
            <w:bookmarkEnd w:id="2394"/>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Derivatives - loan commitments </w:t>
            </w:r>
            <w:bookmarkStart w:id="2395" w:name="xdx_F44_z22y3JlOHdVh"/>
            <w:bookmarkEnd w:id="2395"/>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96" w:name="xdx_408_eus-gaap--FairValueLiabilitiesMe"/>
            <w:bookmarkEnd w:id="2396"/>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97" w:name="xdx_F0F_z0cFXeskByx6"/>
            <w:bookmarkEnd w:id="2397"/>
            <w:r>
              <w:rPr>
                <w:rFonts w:ascii="Times New Roman;Times;Serif" w:hAnsi="Times New Roman;Times;Serif"/>
                <w:b w:val="false"/>
                <w:i w:val="false"/>
                <w:caps w:val="false"/>
                <w:smallCaps w:val="false"/>
                <w:sz w:val="20"/>
              </w:rPr>
              <w:t xml:space="preserve">(1)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98" w:name="xdx_F10_zXoUpnXGc3Q3"/>
            <w:bookmarkEnd w:id="2398"/>
            <w:r>
              <w:rPr>
                <w:rFonts w:ascii="Times New Roman;Times;Serif" w:hAnsi="Times New Roman;Times;Serif"/>
                <w:b w:val="false"/>
                <w:i w:val="false"/>
                <w:caps w:val="false"/>
                <w:smallCaps w:val="false"/>
                <w:sz w:val="20"/>
              </w:rPr>
              <w:t>Fixed maturity securities available for sale </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99" w:name="xdx_F06_zQyPRKN3WlAg"/>
            <w:bookmarkEnd w:id="2399"/>
            <w:r>
              <w:rPr>
                <w:rFonts w:ascii="Times New Roman;Times;Serif" w:hAnsi="Times New Roman;Times;Serif"/>
                <w:b w:val="false"/>
                <w:i w:val="false"/>
                <w:caps w:val="false"/>
                <w:smallCaps w:val="false"/>
                <w:sz w:val="20"/>
              </w:rPr>
              <w:t xml:space="preserve">(2)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00" w:name="xdx_F1F_zWbh4NH7hEd3"/>
            <w:bookmarkEnd w:id="2400"/>
            <w:r>
              <w:rPr>
                <w:rFonts w:ascii="Times New Roman;Times;Serif" w:hAnsi="Times New Roman;Times;Serif"/>
                <w:b w:val="false"/>
                <w:i w:val="false"/>
                <w:caps w:val="false"/>
                <w:smallCaps w:val="false"/>
                <w:sz w:val="20"/>
              </w:rPr>
              <w:t>Equity securities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01" w:name="xdx_F0B_z3FhuCjGAO34"/>
            <w:bookmarkEnd w:id="2401"/>
            <w:r>
              <w:rPr>
                <w:rFonts w:ascii="Times New Roman;Times;Serif" w:hAnsi="Times New Roman;Times;Serif"/>
                <w:b w:val="false"/>
                <w:i w:val="false"/>
                <w:caps w:val="false"/>
                <w:smallCaps w:val="false"/>
                <w:sz w:val="20"/>
              </w:rPr>
              <w:t xml:space="preserve">(3)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02" w:name="xdx_F1E_z0MfRiy9ZJ7l"/>
            <w:bookmarkEnd w:id="2402"/>
            <w:r>
              <w:rPr>
                <w:rFonts w:ascii="Times New Roman;Times;Serif" w:hAnsi="Times New Roman;Times;Serif"/>
                <w:b w:val="false"/>
                <w:i w:val="false"/>
                <w:caps w:val="false"/>
                <w:smallCaps w:val="false"/>
                <w:sz w:val="20"/>
              </w:rPr>
              <w:t>Included in other assets on the condensed consolidated balance sheets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03" w:name="xdx_F05_zQkhxy0D8n22"/>
            <w:bookmarkEnd w:id="2403"/>
            <w:r>
              <w:rPr>
                <w:rFonts w:ascii="Times New Roman;Times;Serif" w:hAnsi="Times New Roman;Times;Serif"/>
                <w:b w:val="false"/>
                <w:i w:val="false"/>
                <w:caps w:val="false"/>
                <w:smallCaps w:val="false"/>
                <w:sz w:val="20"/>
              </w:rPr>
              <w:t xml:space="preserve">(4)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04" w:name="xdx_F14_zgeFe6sELsX"/>
            <w:bookmarkEnd w:id="2404"/>
            <w:r>
              <w:rPr>
                <w:rFonts w:ascii="Times New Roman;Times;Serif" w:hAnsi="Times New Roman;Times;Serif"/>
                <w:b w:val="false"/>
                <w:i w:val="false"/>
                <w:caps w:val="false"/>
                <w:smallCaps w:val="false"/>
                <w:sz w:val="20"/>
              </w:rPr>
              <w:t>Included in other liabilities and accrued expenses on the condensed consolidated balance sheets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Level 1, 2 and 3 financial assets and financial liabilities measured at fair value on a recurring basis by their classification in the condensed consolidated balance sheet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5"/>
        <w:gridCol w:w="60"/>
        <w:gridCol w:w="125"/>
        <w:gridCol w:w="1055"/>
        <w:gridCol w:w="80"/>
        <w:gridCol w:w="60"/>
        <w:gridCol w:w="271"/>
        <w:gridCol w:w="2066"/>
        <w:gridCol w:w="60"/>
        <w:gridCol w:w="60"/>
        <w:gridCol w:w="179"/>
        <w:gridCol w:w="1513"/>
        <w:gridCol w:w="60"/>
        <w:gridCol w:w="60"/>
        <w:gridCol w:w="187"/>
        <w:gridCol w:w="1587"/>
        <w:gridCol w:w="97"/>
      </w:tblGrid>
      <w:tr>
        <w:trPr/>
        <w:tc>
          <w:tcPr>
            <w:tcW w:w="2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05" w:name="xdx_499_20251231_zB7Y9K7khjKc"/>
            <w:bookmarkEnd w:id="2405"/>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06" w:name="xdx_492_20251231__us-gaap--FairValueByFa"/>
            <w:bookmarkEnd w:id="2406"/>
          </w:p>
        </w:tc>
        <w:tc>
          <w:tcPr>
            <w:tcW w:w="23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Quoted Prices in Active Markets for Identical Assets </w:t>
              <w:b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07" w:name="xdx_49A_20251231__us-gaap--FairValueByFa"/>
            <w:bookmarkEnd w:id="2407"/>
          </w:p>
        </w:tc>
        <w:tc>
          <w:tcPr>
            <w:tcW w:w="16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Observable Inputs </w:t>
              <w:b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08" w:name="xdx_49D_20251231__us-gaap--FairValueByFa"/>
            <w:bookmarkEnd w:id="2408"/>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Unobservable Inputs </w:t>
              <w:br/>
              <w:t>(Level 3)</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accounted for at fair value on a recurring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09" w:name="xdx_406_eus-gaap--AvailableForSaleSecuri"/>
            <w:bookmarkEnd w:id="2409"/>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382,777,918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382,203,275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574,643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10" w:name="xdx_407_eus-gaap--EquitySecuritiesFvNi_i"/>
            <w:bookmarkEnd w:id="2410"/>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18,050,062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18,050,062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11" w:name="xdx_406_eus-gaap--LoansReceivableHeldFor"/>
            <w:bookmarkEnd w:id="2411"/>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155,968,266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155,968,266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12" w:name="xdx_400_eus-gaap--DebtSecuritiesAvailabl"/>
            <w:bookmarkEnd w:id="2412"/>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assets </w:t>
            </w:r>
            <w:bookmarkStart w:id="2413" w:name="xdx_F43_zJTAY3UXSw9e"/>
            <w:bookmarkEnd w:id="2413"/>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14" w:name="xdx_40C_eus-gaap--EquitySecuritiesFvNiRe"/>
            <w:bookmarkEnd w:id="2414"/>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assets </w:t>
            </w:r>
            <w:bookmarkStart w:id="2415" w:name="xdx_F4D_zRZx3VwVElQ9"/>
            <w:bookmarkEnd w:id="2415"/>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14,928,917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14,928,917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16" w:name="xdx_407_ecustom--CemeteryPerpetualCareTr"/>
            <w:bookmarkEnd w:id="2416"/>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Cemetery perpetual care trust investments </w:t>
            </w:r>
            <w:bookmarkStart w:id="2417" w:name="xdx_F4F_zJAauu1gWQY7"/>
            <w:bookmarkEnd w:id="2417"/>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18" w:name="xdx_402_ecustom--CemeteryPerpetualCareTr"/>
            <w:bookmarkEnd w:id="2418"/>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Cemetery perpetual care trust investments </w:t>
            </w:r>
            <w:bookmarkStart w:id="2419" w:name="xdx_F40_zJEnVzGUIi4a"/>
            <w:bookmarkEnd w:id="2419"/>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6,303,732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6,303,732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20" w:name="xdx_40C_ecustom--DerivativesInterestRate"/>
            <w:bookmarkEnd w:id="2420"/>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Derivatives - loan commitments </w:t>
            </w:r>
            <w:bookmarkStart w:id="2421" w:name="xdx_F4C_zeB9TO4UtOi9"/>
            <w:bookmarkEnd w:id="2421"/>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1,700,742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22" w:name="xdx_40F_ecustom--AssetsFairValueDisclosu"/>
            <w:bookmarkEnd w:id="2422"/>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581,178,900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39,282,711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383,652,538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158,243,651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23" w:name="xdx_40E_ecustom--DerivativesBankLoanInte"/>
            <w:bookmarkEnd w:id="2423"/>
          </w:p>
        </w:tc>
      </w:tr>
      <w:tr>
        <w:trPr/>
        <w:tc>
          <w:tcPr>
            <w:tcW w:w="2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Derivatives - loan commitments </w:t>
            </w:r>
            <w:bookmarkStart w:id="2424" w:name="xdx_F48_zFRQUiGeGYPf"/>
            <w:bookmarkEnd w:id="2424"/>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(220,605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25" w:name="xdx_408_eus-gaap--FairValueLiabilitiesMe"/>
            <w:bookmarkEnd w:id="2425"/>
          </w:p>
        </w:tc>
      </w:tr>
      <w:tr>
        <w:trPr/>
        <w:tc>
          <w:tcPr>
            <w:tcW w:w="2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accounted for at fair value on a recurring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(220,605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26" w:name="xdx_F05_zsIxAlrGDDAc"/>
            <w:bookmarkEnd w:id="2426"/>
            <w:r>
              <w:rPr>
                <w:rFonts w:ascii="Times New Roman;Times;Serif" w:hAnsi="Times New Roman;Times;Serif"/>
                <w:b w:val="false"/>
                <w:i w:val="false"/>
                <w:caps w:val="false"/>
                <w:smallCaps w:val="false"/>
                <w:sz w:val="20"/>
              </w:rPr>
              <w:t xml:space="preserve">(1)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27" w:name="xdx_F1E_zEmGcPFpPH7f"/>
            <w:bookmarkEnd w:id="2427"/>
            <w:r>
              <w:rPr>
                <w:rFonts w:ascii="Times New Roman;Times;Serif" w:hAnsi="Times New Roman;Times;Serif"/>
                <w:b w:val="false"/>
                <w:i w:val="false"/>
                <w:caps w:val="false"/>
                <w:smallCaps w:val="false"/>
                <w:sz w:val="20"/>
              </w:rPr>
              <w:t>Fixed maturity securities available for sale </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28" w:name="xdx_F00_zZoGC0SjhCvb"/>
            <w:bookmarkEnd w:id="2428"/>
            <w:r>
              <w:rPr>
                <w:rFonts w:ascii="Times New Roman;Times;Serif" w:hAnsi="Times New Roman;Times;Serif"/>
                <w:b w:val="false"/>
                <w:i w:val="false"/>
                <w:caps w:val="false"/>
                <w:smallCaps w:val="false"/>
                <w:sz w:val="20"/>
              </w:rPr>
              <w:t xml:space="preserve">(2)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29" w:name="xdx_F10_zPSw4okExsxk"/>
            <w:bookmarkEnd w:id="2429"/>
            <w:r>
              <w:rPr>
                <w:rFonts w:ascii="Times New Roman;Times;Serif" w:hAnsi="Times New Roman;Times;Serif"/>
                <w:b w:val="false"/>
                <w:i w:val="false"/>
                <w:caps w:val="false"/>
                <w:smallCaps w:val="false"/>
                <w:sz w:val="20"/>
              </w:rPr>
              <w:t>Equity securities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30" w:name="xdx_F01_z1uOFUkUjGii"/>
            <w:bookmarkEnd w:id="2430"/>
            <w:r>
              <w:rPr>
                <w:rFonts w:ascii="Times New Roman;Times;Serif" w:hAnsi="Times New Roman;Times;Serif"/>
                <w:b w:val="false"/>
                <w:i w:val="false"/>
                <w:caps w:val="false"/>
                <w:smallCaps w:val="false"/>
                <w:sz w:val="20"/>
              </w:rPr>
              <w:t xml:space="preserve">(3)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31" w:name="xdx_F1C_zORqYOkQbycl"/>
            <w:bookmarkEnd w:id="2431"/>
            <w:r>
              <w:rPr>
                <w:rFonts w:ascii="Times New Roman;Times;Serif" w:hAnsi="Times New Roman;Times;Serif"/>
                <w:b w:val="false"/>
                <w:i w:val="false"/>
                <w:caps w:val="false"/>
                <w:smallCaps w:val="false"/>
                <w:sz w:val="20"/>
              </w:rPr>
              <w:t>Included in other assets on the condensed consolidated balance sheets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32" w:name="xdx_F09_z1RZDYHRpWmd"/>
            <w:bookmarkEnd w:id="2432"/>
            <w:r>
              <w:rPr>
                <w:rFonts w:ascii="Times New Roman;Times;Serif" w:hAnsi="Times New Roman;Times;Serif"/>
                <w:b w:val="false"/>
                <w:i w:val="false"/>
                <w:caps w:val="false"/>
                <w:smallCaps w:val="false"/>
                <w:sz w:val="20"/>
              </w:rPr>
              <w:t xml:space="preserve">(4)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33" w:name="xdx_F11_z0fpd5Z0g3Ki"/>
            <w:bookmarkEnd w:id="2433"/>
            <w:r>
              <w:rPr>
                <w:rFonts w:ascii="Times New Roman;Times;Serif" w:hAnsi="Times New Roman;Times;Serif"/>
                <w:b w:val="false"/>
                <w:i w:val="false"/>
                <w:caps w:val="false"/>
                <w:smallCaps w:val="false"/>
                <w:sz w:val="20"/>
              </w:rPr>
              <w:t>Included in other liabilities and accrued expenses on the condensed consolidated balance sheets</w:t>
            </w:r>
          </w:p>
        </w:tc>
      </w:tr>
    </w:tbl>
    <w:p>
      <w:pPr>
        <w:pStyle w:val="TextBody"/>
        <w:bidi w:val="0"/>
        <w:spacing w:before="0" w:after="0"/>
        <w:ind w:left="0" w:right="0" w:hanging="0"/>
        <w:jc w:val="both"/>
        <w:rPr>
          <w:caps w:val="false"/>
          <w:smallCaps w:val="false"/>
        </w:rPr>
      </w:pPr>
      <w:bookmarkStart w:id="2434" w:name="xdx_8A3_zCQaJbKckxTj"/>
      <w:bookmarkEnd w:id="24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35" w:name="xdx_89E_eus-gaap--FairValueLiabilitiesMe"/>
      <w:bookmarkEnd w:id="2435"/>
      <w:r>
        <w:rPr>
          <w:rFonts w:ascii="Times New Roman;Times;Serif" w:hAnsi="Times New Roman;Times;Serif"/>
          <w:b w:val="false"/>
          <w:i w:val="false"/>
          <w:caps w:val="false"/>
          <w:smallCaps w:val="false"/>
          <w:sz w:val="20"/>
        </w:rPr>
        <w:t>For Level 3 assets and liabilities measured at fair value on a recurring basis as of June 30, 2026, the significant unobservable inputs used in the fair value measurements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36" w:name="xdx_8B1_zLt6yQX1bfYe"/>
      <w:bookmarkEnd w:id="2436"/>
      <w:r>
        <w:rPr>
          <w:rFonts w:ascii="Times New Roman;Times;Serif" w:hAnsi="Times New Roman;Times;Serif"/>
          <w:b w:val="false"/>
          <w:i w:val="false"/>
          <w:caps w:val="false"/>
          <w:smallCaps w:val="false"/>
          <w:sz w:val="20"/>
        </w:rPr>
        <w:t>Schedule of Level 3 Assets and Liabilities Measured at Fair Value on Recurring Basis </w:t>
      </w:r>
    </w:p>
    <w:tbl>
      <w:tblPr>
        <w:tblW w:w="10205" w:type="dxa"/>
        <w:jc w:val="left"/>
        <w:tblInd w:w="0" w:type="dxa"/>
        <w:tblLayout w:type="fixed"/>
        <w:tblCellMar>
          <w:top w:w="0" w:type="dxa"/>
          <w:left w:w="0" w:type="dxa"/>
          <w:bottom w:w="0" w:type="dxa"/>
          <w:right w:w="0" w:type="dxa"/>
        </w:tblCellMar>
      </w:tblPr>
      <w:tblGrid>
        <w:gridCol w:w="1890"/>
        <w:gridCol w:w="60"/>
        <w:gridCol w:w="125"/>
        <w:gridCol w:w="1055"/>
        <w:gridCol w:w="60"/>
        <w:gridCol w:w="60"/>
        <w:gridCol w:w="1055"/>
        <w:gridCol w:w="60"/>
        <w:gridCol w:w="2583"/>
        <w:gridCol w:w="60"/>
        <w:gridCol w:w="145"/>
        <w:gridCol w:w="685"/>
        <w:gridCol w:w="185"/>
        <w:gridCol w:w="60"/>
        <w:gridCol w:w="150"/>
        <w:gridCol w:w="710"/>
        <w:gridCol w:w="185"/>
        <w:gridCol w:w="60"/>
        <w:gridCol w:w="142"/>
        <w:gridCol w:w="673"/>
        <w:gridCol w:w="202"/>
      </w:tblGrid>
      <w:tr>
        <w:trPr/>
        <w:tc>
          <w:tcPr>
            <w:tcW w:w="1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Inputs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Technique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37" w:name="xdx_987_eus-gaap--LoansReceivableHeldFor"/>
            <w:bookmarkEnd w:id="243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146,871,985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approach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contract pricing as a percentage of unpaid principal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38" w:name="xdx_90F_ecustom--FairValueMeasurementWit"/>
            <w:bookmarkEnd w:id="2438"/>
            <w:r>
              <w:rPr>
                <w:rFonts w:ascii="Times New Roman;Times;Serif" w:hAnsi="Times New Roman;Times;Serif"/>
                <w:b w:val="false"/>
                <w:i w:val="false"/>
                <w:caps w:val="false"/>
                <w:smallCaps w:val="false"/>
                <w:sz w:val="20"/>
              </w:rPr>
              <w:t>87.0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39" w:name="xdx_904_ecustom--FairValueMeasurementWit"/>
            <w:bookmarkEnd w:id="2439"/>
            <w:r>
              <w:rPr>
                <w:rFonts w:ascii="Times New Roman;Times;Serif" w:hAnsi="Times New Roman;Times;Serif"/>
                <w:b w:val="false"/>
                <w:i w:val="false"/>
                <w:caps w:val="false"/>
                <w:smallCaps w:val="false"/>
                <w:sz w:val="20"/>
              </w:rPr>
              <w:t>109.0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40" w:name="xdx_909_ecustom--FairValueMeasurementWit"/>
            <w:bookmarkEnd w:id="2440"/>
            <w:r>
              <w:rPr>
                <w:rFonts w:ascii="Times New Roman;Times;Serif" w:hAnsi="Times New Roman;Times;Serif"/>
                <w:b w:val="false"/>
                <w:i w:val="false"/>
                <w:caps w:val="false"/>
                <w:smallCaps w:val="false"/>
                <w:sz w:val="20"/>
              </w:rPr>
              <w:t>102.0</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 loan commitments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41" w:name="xdx_983_ecustom--DerivativesInterestRate"/>
            <w:bookmarkEnd w:id="2441"/>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approach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Pull-through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42" w:name="xdx_90D_ecustom--FairValueMeasurementWit"/>
            <w:bookmarkEnd w:id="2442"/>
            <w:r>
              <w:rPr>
                <w:rFonts w:ascii="Times New Roman;Times;Serif" w:hAnsi="Times New Roman;Times;Serif"/>
                <w:b w:val="false"/>
                <w:i w:val="false"/>
                <w:caps w:val="false"/>
                <w:smallCaps w:val="false"/>
                <w:sz w:val="20"/>
              </w:rPr>
              <w:t>64.0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43" w:name="xdx_906_ecustom--FairValueMeasurementWit"/>
            <w:bookmarkEnd w:id="2443"/>
            <w:r>
              <w:rPr>
                <w:rFonts w:ascii="Times New Roman;Times;Serif" w:hAnsi="Times New Roman;Times;Serif"/>
                <w:b w:val="false"/>
                <w:i w:val="false"/>
                <w:caps w:val="false"/>
                <w:smallCaps w:val="false"/>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44" w:name="xdx_90A_ecustom--FairValueMeasurementWit"/>
            <w:bookmarkEnd w:id="2444"/>
            <w:r>
              <w:rPr>
                <w:rFonts w:ascii="Times New Roman;Times;Serif" w:hAnsi="Times New Roman;Times;Serif"/>
                <w:b w:val="false"/>
                <w:i w:val="false"/>
                <w:caps w:val="false"/>
                <w:smallCaps w:val="false"/>
                <w:sz w:val="20"/>
              </w:rPr>
              <w:t>92.0</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bps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bps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bps</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45" w:name="xdx_98F_ecustom--DerivativesInterestRate"/>
            <w:bookmarkEnd w:id="2445"/>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quotes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quotes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46" w:name="xdx_98B_ecustom--FairValueMeasurementWit"/>
            <w:bookmarkEnd w:id="2446"/>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47" w:name="xdx_98A_ecustom--FairValueMeasurementWit"/>
            <w:bookmarkEnd w:id="2447"/>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48" w:name="xdx_98F_ecustom--FairValueMeasurementWit"/>
            <w:bookmarkEnd w:id="2448"/>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Level 3 assets and liabilities measured at fair value on a recurring basis as of December 31, 2025, the significant unobservable inputs used in the fair value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9"/>
        <w:gridCol w:w="60"/>
        <w:gridCol w:w="138"/>
        <w:gridCol w:w="1169"/>
        <w:gridCol w:w="60"/>
        <w:gridCol w:w="60"/>
        <w:gridCol w:w="1046"/>
        <w:gridCol w:w="60"/>
        <w:gridCol w:w="2506"/>
        <w:gridCol w:w="60"/>
        <w:gridCol w:w="145"/>
        <w:gridCol w:w="685"/>
        <w:gridCol w:w="185"/>
        <w:gridCol w:w="60"/>
        <w:gridCol w:w="150"/>
        <w:gridCol w:w="710"/>
        <w:gridCol w:w="185"/>
        <w:gridCol w:w="60"/>
        <w:gridCol w:w="142"/>
        <w:gridCol w:w="673"/>
        <w:gridCol w:w="202"/>
      </w:tblGrid>
      <w:tr>
        <w:trPr/>
        <w:tc>
          <w:tcPr>
            <w:tcW w:w="18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Range of Inputs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Technique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49" w:name="xdx_98B_eus-gaap--LoansReceivableHeldFor"/>
            <w:bookmarkEnd w:id="2449"/>
          </w:p>
        </w:tc>
        <w:tc>
          <w:tcPr>
            <w:tcW w:w="11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155,968,266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approach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contract pricing as a percentage of unpaid principal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0" w:name="xdx_901_ecustom--FairValueMeasurementWit"/>
            <w:bookmarkEnd w:id="2450"/>
            <w:r>
              <w:rPr>
                <w:rFonts w:ascii="Times New Roman;Times;Serif" w:hAnsi="Times New Roman;Times;Serif"/>
                <w:b w:val="false"/>
                <w:i w:val="false"/>
                <w:caps w:val="false"/>
                <w:smallCaps w:val="false"/>
                <w:sz w:val="20"/>
              </w:rPr>
              <w:t>86.0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1" w:name="xdx_90E_ecustom--FairValueMeasurementWit"/>
            <w:bookmarkEnd w:id="2451"/>
            <w:r>
              <w:rPr>
                <w:rFonts w:ascii="Times New Roman;Times;Serif" w:hAnsi="Times New Roman;Times;Serif"/>
                <w:b w:val="false"/>
                <w:i w:val="false"/>
                <w:caps w:val="false"/>
                <w:smallCaps w:val="false"/>
                <w:sz w:val="20"/>
              </w:rPr>
              <w:t>107.0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2" w:name="xdx_904_ecustom--FairValueMeasurementWit"/>
            <w:bookmarkEnd w:id="2452"/>
            <w:r>
              <w:rPr>
                <w:rFonts w:ascii="Times New Roman;Times;Serif" w:hAnsi="Times New Roman;Times;Serif"/>
                <w:b w:val="false"/>
                <w:i w:val="false"/>
                <w:caps w:val="false"/>
                <w:smallCaps w:val="false"/>
                <w:sz w:val="20"/>
              </w:rPr>
              <w:t>102.0</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 loan commitments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53" w:name="xdx_98A_ecustom--DerivativesInterestRate"/>
            <w:bookmarkEnd w:id="2453"/>
          </w:p>
        </w:tc>
        <w:tc>
          <w:tcPr>
            <w:tcW w:w="11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1,480,137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approach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Pull-through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4" w:name="xdx_906_ecustom--FairValueMeasurementWit"/>
            <w:bookmarkEnd w:id="2454"/>
            <w:r>
              <w:rPr>
                <w:rFonts w:ascii="Times New Roman;Times;Serif" w:hAnsi="Times New Roman;Times;Serif"/>
                <w:b w:val="false"/>
                <w:i w:val="false"/>
                <w:caps w:val="false"/>
                <w:smallCaps w:val="false"/>
                <w:sz w:val="20"/>
              </w:rPr>
              <w:t>60.0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5" w:name="xdx_902_ecustom--FairValueMeasurementWit"/>
            <w:bookmarkEnd w:id="2455"/>
            <w:r>
              <w:rPr>
                <w:rFonts w:ascii="Times New Roman;Times;Serif" w:hAnsi="Times New Roman;Times;Serif"/>
                <w:b w:val="false"/>
                <w:i w:val="false"/>
                <w:caps w:val="false"/>
                <w:smallCaps w:val="false"/>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56" w:name="xdx_904_ecustom--FairValueMeasurementWit"/>
            <w:bookmarkEnd w:id="2456"/>
            <w:r>
              <w:rPr>
                <w:rFonts w:ascii="Times New Roman;Times;Serif" w:hAnsi="Times New Roman;Times;Serif"/>
                <w:b w:val="false"/>
                <w:i w:val="false"/>
                <w:caps w:val="false"/>
                <w:smallCaps w:val="false"/>
                <w:sz w:val="20"/>
              </w:rPr>
              <w:t>89.0</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bps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 bps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bps</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57" w:name="xdx_98F_eus-gaap--AvailableForSaleSecuri"/>
            <w:bookmarkEnd w:id="2457"/>
          </w:p>
        </w:tc>
        <w:tc>
          <w:tcPr>
            <w:tcW w:w="11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quotes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quotes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58" w:name="xdx_98E_ecustom--FairValueMeasurementWit"/>
            <w:bookmarkEnd w:id="2458"/>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59" w:name="xdx_981_ecustom--FairValueMeasurementWit"/>
            <w:bookmarkEnd w:id="2459"/>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60" w:name="xdx_98C_ecustom--FairValueMeasurementWit"/>
            <w:bookmarkEnd w:id="2460"/>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461" w:name="xdx_8AB_z5ozzpzq9uz3"/>
      <w:bookmarkEnd w:id="246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62" w:name="xdx_899_ecustom--ScheduleOfChangesInTheC"/>
      <w:bookmarkEnd w:id="2462"/>
      <w:r>
        <w:rPr>
          <w:rFonts w:ascii="Times New Roman;Times;Serif" w:hAnsi="Times New Roman;Times;Serif"/>
          <w:b w:val="false"/>
          <w:i w:val="false"/>
          <w:caps w:val="false"/>
          <w:smallCaps w:val="false"/>
          <w:sz w:val="20"/>
        </w:rPr>
        <w:t>The following table is a summary of changes in the condensed consolidated balance sheet line items measured using level 3 inputs for the three-month period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63" w:name="xdx_8B4_z9a5Bub8L4wb"/>
      <w:bookmarkEnd w:id="2463"/>
      <w:r>
        <w:rPr>
          <w:rFonts w:ascii="Times New Roman;Times;Serif" w:hAnsi="Times New Roman;Times;Serif"/>
          <w:b w:val="false"/>
          <w:i w:val="false"/>
          <w:caps w:val="false"/>
          <w:smallCaps w:val="false"/>
          <w:sz w:val="20"/>
        </w:rPr>
        <w:t>Schedule of Changes in the Consolidated Balance Sheet Line Items Measured Using Level 3 Inputs  </w:t>
      </w:r>
    </w:p>
    <w:tbl>
      <w:tblPr>
        <w:tblW w:w="10205" w:type="dxa"/>
        <w:jc w:val="left"/>
        <w:tblInd w:w="0" w:type="dxa"/>
        <w:tblLayout w:type="fixed"/>
        <w:tblCellMar>
          <w:top w:w="0" w:type="dxa"/>
          <w:left w:w="0" w:type="dxa"/>
          <w:bottom w:w="0" w:type="dxa"/>
          <w:right w:w="0" w:type="dxa"/>
        </w:tblCellMar>
      </w:tblPr>
      <w:tblGrid>
        <w:gridCol w:w="2916"/>
        <w:gridCol w:w="60"/>
        <w:gridCol w:w="229"/>
        <w:gridCol w:w="1559"/>
        <w:gridCol w:w="292"/>
        <w:gridCol w:w="60"/>
        <w:gridCol w:w="154"/>
        <w:gridCol w:w="1378"/>
        <w:gridCol w:w="232"/>
        <w:gridCol w:w="60"/>
        <w:gridCol w:w="459"/>
        <w:gridCol w:w="2554"/>
        <w:gridCol w:w="252"/>
      </w:tblGrid>
      <w:tr>
        <w:trPr/>
        <w:tc>
          <w:tcPr>
            <w:tcW w:w="29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Loan Commitments</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2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64" w:name="xdx_987_ecustom--DerivativesInterestRate"/>
            <w:bookmarkEnd w:id="2464"/>
          </w:p>
        </w:tc>
        <w:tc>
          <w:tcPr>
            <w:tcW w:w="1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2,864,864</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65" w:name="xdx_98E_eus-gaap--LoansReceivableHeldFor"/>
            <w:bookmarkEnd w:id="2465"/>
          </w:p>
        </w:tc>
        <w:tc>
          <w:tcPr>
            <w:tcW w:w="1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137,607,689</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66" w:name="xdx_98F_eus-gaap--AvailableForSaleSecuri"/>
            <w:bookmarkEnd w:id="2466"/>
          </w:p>
        </w:tc>
        <w:tc>
          <w:tcPr>
            <w:tcW w:w="2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574,643</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Originations and 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67" w:name="xdx_983_ecustom--Originations_pp0p0_c202"/>
            <w:bookmarkEnd w:id="2467"/>
          </w:p>
        </w:tc>
        <w:tc>
          <w:tcPr>
            <w:tcW w:w="1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68" w:name="xdx_980_ecustom--OriginationsOfLoansHeld"/>
            <w:bookmarkEnd w:id="2468"/>
          </w:p>
        </w:tc>
        <w:tc>
          <w:tcPr>
            <w:tcW w:w="13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547,528,180</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69" w:name="xdx_98A_eus-gaap--ProceedsFromSaleAndMat"/>
            <w:bookmarkEnd w:id="2469"/>
          </w:p>
        </w:tc>
        <w:tc>
          <w:tcPr>
            <w:tcW w:w="25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maturities and paydowns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0" w:name="xdx_986_ecustom--Sales_c20260401__202606"/>
            <w:bookmarkEnd w:id="2470"/>
          </w:p>
        </w:tc>
        <w:tc>
          <w:tcPr>
            <w:tcW w:w="1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1" w:name="xdx_98B_eus-gaap--ProceedsFromSaleOfLoan"/>
            <w:bookmarkEnd w:id="2471"/>
          </w:p>
        </w:tc>
        <w:tc>
          <w:tcPr>
            <w:tcW w:w="1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(550,161,814</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gains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2" w:name="xdx_980_ecustom--FairValueLossesGainsInc"/>
            <w:bookmarkEnd w:id="2472"/>
          </w:p>
        </w:tc>
        <w:tc>
          <w:tcPr>
            <w:tcW w:w="1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(365,260</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3" w:name="xdx_98F_ecustom--FairValueLossesGainsInc"/>
            <w:bookmarkEnd w:id="2473"/>
          </w:p>
        </w:tc>
        <w:tc>
          <w:tcPr>
            <w:tcW w:w="1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11,897,930</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4" w:name="xdx_989_eus-gaap--InvestmentIncomeNetAmo"/>
            <w:bookmarkEnd w:id="2474"/>
          </w:p>
        </w:tc>
        <w:tc>
          <w:tcPr>
            <w:tcW w:w="25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9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75" w:name="xdx_987_ecustom--TotalGainsLossesInclude"/>
            <w:bookmarkEnd w:id="2475"/>
          </w:p>
        </w:tc>
        <w:tc>
          <w:tcPr>
            <w:tcW w:w="1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76" w:name="xdx_98A_ecustom--TotalGainsLossesInclude"/>
            <w:bookmarkEnd w:id="2476"/>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77" w:name="xdx_986_eus-gaap--OtherComprehensiveInco"/>
            <w:bookmarkEnd w:id="2477"/>
          </w:p>
        </w:tc>
        <w:tc>
          <w:tcPr>
            <w:tcW w:w="25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78" w:name="xdx_983_ecustom--DerivativesInterestRate"/>
            <w:bookmarkEnd w:id="2478"/>
          </w:p>
        </w:tc>
        <w:tc>
          <w:tcPr>
            <w:tcW w:w="1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2,499,604</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79" w:name="xdx_989_eus-gaap--LoansReceivableHeldFor"/>
            <w:bookmarkEnd w:id="2479"/>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146,871,985</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80" w:name="xdx_98D_eus-gaap--AvailableForSaleSecuri"/>
            <w:bookmarkEnd w:id="2480"/>
          </w:p>
        </w:tc>
        <w:tc>
          <w:tcPr>
            <w:tcW w:w="25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574,074</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81" w:name="xdx_F09_z23i8guFx7S7"/>
            <w:bookmarkEnd w:id="2481"/>
            <w:r>
              <w:rPr>
                <w:rFonts w:ascii="Times New Roman;Times;Serif" w:hAnsi="Times New Roman;Times;Serif"/>
                <w:b w:val="false"/>
                <w:i w:val="false"/>
                <w:caps w:val="false"/>
                <w:smallCaps w:val="false"/>
                <w:sz w:val="20"/>
              </w:rPr>
              <w:t xml:space="preserve">(1)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82" w:name="xdx_F13_zdea4Lj9kJE2"/>
            <w:bookmarkEnd w:id="2482"/>
            <w:r>
              <w:rPr>
                <w:rFonts w:ascii="Times New Roman;Times;Serif" w:hAnsi="Times New Roman;Times;Serif"/>
                <w:b w:val="false"/>
                <w:i w:val="false"/>
                <w:caps w:val="false"/>
                <w:smallCaps w:val="false"/>
                <w:sz w:val="20"/>
              </w:rPr>
              <w:t>As a component of Mortgage fee income on the condensed consolidated statements of earnings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83" w:name="xdx_F04_z1grLgEfmZM4"/>
            <w:bookmarkEnd w:id="2483"/>
            <w:r>
              <w:rPr>
                <w:rFonts w:ascii="Times New Roman;Times;Serif" w:hAnsi="Times New Roman;Times;Serif"/>
                <w:b w:val="false"/>
                <w:i w:val="false"/>
                <w:caps w:val="false"/>
                <w:smallCaps w:val="false"/>
                <w:sz w:val="20"/>
              </w:rPr>
              <w:t xml:space="preserve">(2)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84" w:name="xdx_F45_ztTyATKQ1iN"/>
            <w:bookmarkEnd w:id="2484"/>
            <w:r>
              <w:rPr>
                <w:rFonts w:ascii="Times New Roman;Times;Serif" w:hAnsi="Times New Roman;Times;Serif"/>
                <w:b w:val="false"/>
                <w:i w:val="false"/>
                <w:caps w:val="false"/>
                <w:smallCaps w:val="false"/>
                <w:sz w:val="20"/>
              </w:rPr>
              <w:t>As a component of Net investment income on the condensed consolidated statements of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summary of changes in the condensed consolidated balance sheet line items measured using level 3 inputs for the three-month period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8"/>
        <w:gridCol w:w="60"/>
        <w:gridCol w:w="215"/>
        <w:gridCol w:w="1461"/>
        <w:gridCol w:w="224"/>
        <w:gridCol w:w="60"/>
        <w:gridCol w:w="149"/>
        <w:gridCol w:w="1330"/>
        <w:gridCol w:w="224"/>
        <w:gridCol w:w="60"/>
        <w:gridCol w:w="344"/>
        <w:gridCol w:w="2328"/>
        <w:gridCol w:w="242"/>
      </w:tblGrid>
      <w:tr>
        <w:trPr/>
        <w:tc>
          <w:tcPr>
            <w:tcW w:w="35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Loan Commitments</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85" w:name="xdx_985_ecustom--DerivativesInterestRate"/>
            <w:bookmarkEnd w:id="2485"/>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2,787,750</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86" w:name="xdx_98D_eus-gaap--LoansReceivableHeldFor"/>
            <w:bookmarkEnd w:id="2486"/>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139,834,226</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87" w:name="xdx_988_eus-gaap--AvailableForSaleSecuri"/>
            <w:bookmarkEnd w:id="2487"/>
          </w:p>
        </w:tc>
        <w:tc>
          <w:tcPr>
            <w:tcW w:w="2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1,150,304</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Originations and 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88" w:name="xdx_98D_ecustom--Originations_pp0p0_c202"/>
            <w:bookmarkEnd w:id="2488"/>
          </w:p>
        </w:tc>
        <w:tc>
          <w:tcPr>
            <w:tcW w:w="14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89" w:name="xdx_98E_ecustom--OriginationsOfLoansHeld"/>
            <w:bookmarkEnd w:id="2489"/>
          </w:p>
        </w:tc>
        <w:tc>
          <w:tcPr>
            <w:tcW w:w="13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616,896,709</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90" w:name="xdx_980_eus-gaap--PaymentsToAcquireAvail"/>
            <w:bookmarkEnd w:id="2490"/>
          </w:p>
        </w:tc>
        <w:tc>
          <w:tcPr>
            <w:tcW w:w="2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maturities and paydowns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1" w:name="xdx_989_ecustom--Sales_c20250401__202506"/>
            <w:bookmarkEnd w:id="2491"/>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2" w:name="xdx_98C_eus-gaap--ProceedsFromSaleOfLoan"/>
            <w:bookmarkEnd w:id="2492"/>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(603,595,597</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3" w:name="xdx_98E_eus-gaap--ProceedsFromSaleAndMat"/>
            <w:bookmarkEnd w:id="2493"/>
          </w:p>
        </w:tc>
        <w:tc>
          <w:tcPr>
            <w:tcW w:w="2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to mortgagte loans held for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94" w:name="xdx_98E_ecustom--TransferToMortgageLoans"/>
            <w:bookmarkEnd w:id="2494"/>
          </w:p>
        </w:tc>
        <w:tc>
          <w:tcPr>
            <w:tcW w:w="13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(828,063</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 foreclosed into real estate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5" w:name="xdx_98D_ecustom--LoansHeldForSaleForeclo"/>
            <w:bookmarkEnd w:id="2495"/>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(380,000</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gains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6" w:name="xdx_988_ecustom--FairValueLossesGainsInc"/>
            <w:bookmarkEnd w:id="2496"/>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132,404</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7" w:name="xdx_98A_ecustom--FairValueLossesGainsInc"/>
            <w:bookmarkEnd w:id="2497"/>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13,948,844</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8" w:name="xdx_988_eus-gaap--InvestmentIncomeNetAmo"/>
            <w:bookmarkEnd w:id="2498"/>
          </w:p>
        </w:tc>
        <w:tc>
          <w:tcPr>
            <w:tcW w:w="2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5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99" w:name="xdx_987_ecustom--TotalGainsLossesInclude"/>
            <w:bookmarkEnd w:id="2499"/>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00" w:name="xdx_980_ecustom--TotalGainsLossesInclude"/>
            <w:bookmarkEnd w:id="2500"/>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01" w:name="xdx_980_eus-gaap--OtherComprehensiveInco"/>
            <w:bookmarkEnd w:id="2501"/>
          </w:p>
        </w:tc>
        <w:tc>
          <w:tcPr>
            <w:tcW w:w="23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02" w:name="xdx_989_ecustom--DerivativesInterestRate"/>
            <w:bookmarkEnd w:id="2502"/>
          </w:p>
        </w:tc>
        <w:tc>
          <w:tcPr>
            <w:tcW w:w="14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2,920,154</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03" w:name="xdx_987_eus-gaap--LoansReceivableHeldFor"/>
            <w:bookmarkEnd w:id="2503"/>
          </w:p>
        </w:tc>
        <w:tc>
          <w:tcPr>
            <w:tcW w:w="13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165,876,119</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04" w:name="xdx_98E_eus-gaap--AvailableForSaleSecuri"/>
            <w:bookmarkEnd w:id="2504"/>
          </w:p>
        </w:tc>
        <w:tc>
          <w:tcPr>
            <w:tcW w:w="2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1,149,738</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05" w:name="xdx_F0F_zEfCZZgmfjef"/>
            <w:bookmarkEnd w:id="2505"/>
            <w:r>
              <w:rPr>
                <w:rFonts w:ascii="Times New Roman;Times;Serif" w:hAnsi="Times New Roman;Times;Serif"/>
                <w:b w:val="false"/>
                <w:i w:val="false"/>
                <w:caps w:val="false"/>
                <w:smallCaps w:val="false"/>
                <w:sz w:val="20"/>
              </w:rPr>
              <w:t xml:space="preserve">(1)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06" w:name="xdx_F17_zmXPDkwmF76"/>
            <w:bookmarkEnd w:id="2506"/>
            <w:r>
              <w:rPr>
                <w:rFonts w:ascii="Times New Roman;Times;Serif" w:hAnsi="Times New Roman;Times;Serif"/>
                <w:b w:val="false"/>
                <w:i w:val="false"/>
                <w:caps w:val="false"/>
                <w:smallCaps w:val="false"/>
                <w:sz w:val="20"/>
              </w:rPr>
              <w:t>As a component of Mortgage fee income on the condensed consolidated statements of earnings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07" w:name="xdx_F0D_zJTjRyHvPwD2"/>
            <w:bookmarkEnd w:id="2507"/>
            <w:r>
              <w:rPr>
                <w:rFonts w:ascii="Times New Roman;Times;Serif" w:hAnsi="Times New Roman;Times;Serif"/>
                <w:b w:val="false"/>
                <w:i w:val="false"/>
                <w:caps w:val="false"/>
                <w:smallCaps w:val="false"/>
                <w:sz w:val="20"/>
              </w:rPr>
              <w:t xml:space="preserve">(2)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08" w:name="xdx_F11_zpAqeLPNEvz9"/>
            <w:bookmarkEnd w:id="2508"/>
            <w:r>
              <w:rPr>
                <w:rFonts w:ascii="Times New Roman;Times;Serif" w:hAnsi="Times New Roman;Times;Serif"/>
                <w:b w:val="false"/>
                <w:i w:val="false"/>
                <w:caps w:val="false"/>
                <w:smallCaps w:val="false"/>
                <w:sz w:val="20"/>
              </w:rPr>
              <w:t>As a component of Net investment income on the condensed consolidated statements of earnings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summary of changes in the condensed consolidated balance sheet line items measured using level 3 inputs for the six-month period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5"/>
        <w:gridCol w:w="60"/>
        <w:gridCol w:w="233"/>
        <w:gridCol w:w="1644"/>
        <w:gridCol w:w="257"/>
        <w:gridCol w:w="60"/>
        <w:gridCol w:w="154"/>
        <w:gridCol w:w="1633"/>
        <w:gridCol w:w="257"/>
        <w:gridCol w:w="60"/>
        <w:gridCol w:w="410"/>
        <w:gridCol w:w="2345"/>
        <w:gridCol w:w="277"/>
      </w:tblGrid>
      <w:tr>
        <w:trPr/>
        <w:tc>
          <w:tcPr>
            <w:tcW w:w="2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7" w:type="dxa"/>
            <w:gridSpan w:val="2"/>
            <w:tcBorders>
              <w:bottom w:val="single" w:sz="8" w:space="0" w:color="000000"/>
            </w:tcBorders>
            <w:tcMar>
              <w:bottom w:w="28" w:type="dxa"/>
            </w:tcMar>
            <w:vAlign w:val="center"/>
          </w:tcPr>
          <w:p>
            <w:pPr>
              <w:pStyle w:val="TableContents"/>
              <w:bidi w:val="0"/>
              <w:spacing w:before="0" w:after="283"/>
              <w:jc w:val="center"/>
              <w:rPr/>
            </w:pPr>
            <w:r>
              <w:rPr/>
              <w:t>Net Loan Commitments</w:t>
            </w:r>
          </w:p>
        </w:tc>
        <w:tc>
          <w:tcPr>
            <w:tcW w:w="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bottom w:val="single" w:sz="8" w:space="0" w:color="000000"/>
            </w:tcBorders>
            <w:tcMar>
              <w:bottom w:w="28" w:type="dxa"/>
            </w:tcMar>
            <w:vAlign w:val="center"/>
          </w:tcPr>
          <w:p>
            <w:pPr>
              <w:pStyle w:val="TableContents"/>
              <w:bidi w:val="0"/>
              <w:spacing w:before="0" w:after="283"/>
              <w:jc w:val="center"/>
              <w:rPr/>
            </w:pPr>
            <w:r>
              <w:rPr/>
              <w:t>Loans Held for Sale</w:t>
            </w:r>
          </w:p>
        </w:tc>
        <w:tc>
          <w:tcPr>
            <w:tcW w:w="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2"/>
            <w:tcBorders>
              <w:bottom w:val="single" w:sz="8" w:space="0" w:color="000000"/>
            </w:tcBorders>
            <w:tcMar>
              <w:bottom w:w="28" w:type="dxa"/>
            </w:tcMar>
            <w:vAlign w:val="center"/>
          </w:tcPr>
          <w:p>
            <w:pPr>
              <w:pStyle w:val="TableContents"/>
              <w:bidi w:val="0"/>
              <w:spacing w:before="0" w:after="283"/>
              <w:jc w:val="center"/>
              <w:rPr/>
            </w:pPr>
            <w:r>
              <w:rPr/>
              <w:t>Fixed Maturity Securities Available for Sale</w:t>
            </w:r>
          </w:p>
        </w:tc>
        <w:tc>
          <w:tcPr>
            <w:tcW w:w="277"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2509" w:name="xdx_986_ecustom--DerivativesInterestRate"/>
            <w:bookmarkEnd w:id="2509"/>
          </w:p>
        </w:tc>
        <w:tc>
          <w:tcPr>
            <w:tcW w:w="1644" w:type="dxa"/>
            <w:tcBorders/>
            <w:shd w:fill="CCEEFF" w:val="clear"/>
            <w:vAlign w:val="center"/>
          </w:tcPr>
          <w:p>
            <w:pPr>
              <w:pStyle w:val="TableContents"/>
              <w:bidi w:val="0"/>
              <w:spacing w:before="0" w:after="283"/>
              <w:jc w:val="right"/>
              <w:rPr/>
            </w:pPr>
            <w:r>
              <w:rPr/>
              <w:t>1,480,137</w:t>
            </w:r>
          </w:p>
        </w:tc>
        <w:tc>
          <w:tcPr>
            <w:tcW w:w="2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bookmarkStart w:id="2510" w:name="xdx_989_eus-gaap--LoansReceivableHeldFor"/>
            <w:bookmarkEnd w:id="2510"/>
          </w:p>
        </w:tc>
        <w:tc>
          <w:tcPr>
            <w:tcW w:w="1633" w:type="dxa"/>
            <w:tcBorders/>
            <w:shd w:fill="CCEEFF" w:val="clear"/>
            <w:vAlign w:val="center"/>
          </w:tcPr>
          <w:p>
            <w:pPr>
              <w:pStyle w:val="TableContents"/>
              <w:bidi w:val="0"/>
              <w:spacing w:before="0" w:after="283"/>
              <w:jc w:val="right"/>
              <w:rPr/>
            </w:pPr>
            <w:r>
              <w:rPr/>
              <w:t>155,968,266</w:t>
            </w:r>
          </w:p>
        </w:tc>
        <w:tc>
          <w:tcPr>
            <w:tcW w:w="2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bookmarkStart w:id="2511" w:name="xdx_981_eus-gaap--AvailableForSaleSecuri"/>
            <w:bookmarkEnd w:id="2511"/>
          </w:p>
        </w:tc>
        <w:tc>
          <w:tcPr>
            <w:tcW w:w="2345" w:type="dxa"/>
            <w:tcBorders/>
            <w:shd w:fill="CCEEFF" w:val="clear"/>
            <w:vAlign w:val="center"/>
          </w:tcPr>
          <w:p>
            <w:pPr>
              <w:pStyle w:val="TableContents"/>
              <w:bidi w:val="0"/>
              <w:spacing w:before="0" w:after="283"/>
              <w:jc w:val="right"/>
              <w:rPr/>
            </w:pPr>
            <w:r>
              <w:rPr/>
              <w:t>574,643</w:t>
            </w:r>
          </w:p>
        </w:tc>
        <w:tc>
          <w:tcPr>
            <w:tcW w:w="277"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Originations and purchases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2512" w:name="xdx_986_ecustom--Originations_pp0p0_c202"/>
            <w:bookmarkEnd w:id="2512"/>
          </w:p>
        </w:tc>
        <w:tc>
          <w:tcPr>
            <w:tcW w:w="1644" w:type="dxa"/>
            <w:tcBorders/>
            <w:shd w:fill="FFFFFF" w:val="clear"/>
            <w:vAlign w:val="center"/>
          </w:tcPr>
          <w:p>
            <w:pPr>
              <w:pStyle w:val="TableContents"/>
              <w:bidi w:val="0"/>
              <w:spacing w:before="0" w:after="283"/>
              <w:jc w:val="right"/>
              <w:rPr/>
            </w:pPr>
            <w:r>
              <w:rPr/>
              <w:t>-</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2513" w:name="xdx_984_ecustom--OriginationsOfLoansHeld"/>
            <w:bookmarkEnd w:id="2513"/>
          </w:p>
        </w:tc>
        <w:tc>
          <w:tcPr>
            <w:tcW w:w="1633" w:type="dxa"/>
            <w:tcBorders/>
            <w:shd w:fill="FFFFFF" w:val="clear"/>
            <w:vAlign w:val="center"/>
          </w:tcPr>
          <w:p>
            <w:pPr>
              <w:pStyle w:val="TableContents"/>
              <w:bidi w:val="0"/>
              <w:spacing w:before="0" w:after="283"/>
              <w:jc w:val="right"/>
              <w:rPr/>
            </w:pPr>
            <w:r>
              <w:rPr/>
              <w:t>1,036,088,480</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bookmarkStart w:id="2514" w:name="xdx_986_eus-gaap--PaymentsToAcquireAvail"/>
            <w:bookmarkEnd w:id="2514"/>
          </w:p>
        </w:tc>
        <w:tc>
          <w:tcPr>
            <w:tcW w:w="2345" w:type="dxa"/>
            <w:tcBorders/>
            <w:shd w:fill="FFFFFF" w:val="clear"/>
            <w:vAlign w:val="center"/>
          </w:tcPr>
          <w:p>
            <w:pPr>
              <w:pStyle w:val="TableContents"/>
              <w:bidi w:val="0"/>
              <w:spacing w:before="0" w:after="283"/>
              <w:jc w:val="right"/>
              <w:rPr/>
            </w:pPr>
            <w:r>
              <w:rPr/>
              <w:t>-</w:t>
            </w:r>
          </w:p>
        </w:tc>
        <w:tc>
          <w:tcPr>
            <w:tcW w:w="277"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Sales, maturities and paydowns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2515" w:name="xdx_985_ecustom--Sales_c20260101__202606"/>
            <w:bookmarkEnd w:id="2515"/>
          </w:p>
        </w:tc>
        <w:tc>
          <w:tcPr>
            <w:tcW w:w="164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bookmarkStart w:id="2516" w:name="xdx_985_eus-gaap--ProceedsFromSaleOfLoan"/>
            <w:bookmarkEnd w:id="2516"/>
          </w:p>
        </w:tc>
        <w:tc>
          <w:tcPr>
            <w:tcW w:w="1633" w:type="dxa"/>
            <w:tcBorders/>
            <w:shd w:fill="CCEEFF" w:val="clear"/>
            <w:vAlign w:val="center"/>
          </w:tcPr>
          <w:p>
            <w:pPr>
              <w:pStyle w:val="TableContents"/>
              <w:bidi w:val="0"/>
              <w:spacing w:before="0" w:after="283"/>
              <w:jc w:val="right"/>
              <w:rPr/>
            </w:pPr>
            <w:r>
              <w:rPr/>
              <w:t>(1,066,874,319</w:t>
            </w:r>
          </w:p>
        </w:tc>
        <w:tc>
          <w:tcPr>
            <w:tcW w:w="25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bookmarkStart w:id="2517" w:name="xdx_985_eus-gaap--ProceedsFromSaleAndMat"/>
            <w:bookmarkEnd w:id="2517"/>
          </w:p>
        </w:tc>
        <w:tc>
          <w:tcPr>
            <w:tcW w:w="2345" w:type="dxa"/>
            <w:tcBorders/>
            <w:shd w:fill="CCEEFF" w:val="clear"/>
            <w:vAlign w:val="center"/>
          </w:tcPr>
          <w:p>
            <w:pPr>
              <w:pStyle w:val="TableContents"/>
              <w:bidi w:val="0"/>
              <w:spacing w:before="0" w:after="283"/>
              <w:jc w:val="right"/>
              <w:rPr/>
            </w:pPr>
            <w:r>
              <w:rPr/>
              <w:t>-</w:t>
            </w:r>
          </w:p>
        </w:tc>
        <w:tc>
          <w:tcPr>
            <w:tcW w:w="277"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Total gains (losses):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Included in earnings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2518" w:name="xdx_986_ecustom--FairValueLossesGainsInc"/>
            <w:bookmarkEnd w:id="2518"/>
          </w:p>
        </w:tc>
        <w:tc>
          <w:tcPr>
            <w:tcW w:w="1644" w:type="dxa"/>
            <w:tcBorders/>
            <w:shd w:fill="CCEEFF" w:val="clear"/>
            <w:vAlign w:val="center"/>
          </w:tcPr>
          <w:p>
            <w:pPr>
              <w:pStyle w:val="TableContents"/>
              <w:bidi w:val="0"/>
              <w:spacing w:before="0" w:after="283"/>
              <w:jc w:val="right"/>
              <w:rPr/>
            </w:pPr>
            <w:r>
              <w:rPr/>
              <w:t>1,019,467</w:t>
            </w:r>
          </w:p>
        </w:tc>
        <w:tc>
          <w:tcPr>
            <w:tcW w:w="257"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bookmarkStart w:id="2519" w:name="xdx_980_ecustom--FairValueLossesGainsInc"/>
            <w:bookmarkEnd w:id="2519"/>
          </w:p>
        </w:tc>
        <w:tc>
          <w:tcPr>
            <w:tcW w:w="1633" w:type="dxa"/>
            <w:tcBorders/>
            <w:shd w:fill="CCEEFF" w:val="clear"/>
            <w:vAlign w:val="center"/>
          </w:tcPr>
          <w:p>
            <w:pPr>
              <w:pStyle w:val="TableContents"/>
              <w:bidi w:val="0"/>
              <w:spacing w:before="0" w:after="283"/>
              <w:jc w:val="right"/>
              <w:rPr/>
            </w:pPr>
            <w:r>
              <w:rPr/>
              <w:t>21,689,558</w:t>
            </w:r>
          </w:p>
        </w:tc>
        <w:tc>
          <w:tcPr>
            <w:tcW w:w="257"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bookmarkStart w:id="2520" w:name="xdx_982_eus-gaap--InvestmentIncomeNetAmo"/>
            <w:bookmarkEnd w:id="2520"/>
          </w:p>
        </w:tc>
        <w:tc>
          <w:tcPr>
            <w:tcW w:w="2345" w:type="dxa"/>
            <w:tcBorders/>
            <w:shd w:fill="CCEEFF" w:val="clear"/>
            <w:vAlign w:val="center"/>
          </w:tcPr>
          <w:p>
            <w:pPr>
              <w:pStyle w:val="TableContents"/>
              <w:bidi w:val="0"/>
              <w:spacing w:before="0" w:after="283"/>
              <w:jc w:val="right"/>
              <w:rPr/>
            </w:pPr>
            <w:r>
              <w:rPr/>
              <w:t>-</w:t>
            </w:r>
          </w:p>
        </w:tc>
        <w:tc>
          <w:tcPr>
            <w:tcW w:w="277" w:type="dxa"/>
            <w:tcBorders/>
            <w:shd w:fill="CCEEFF" w:val="clear"/>
            <w:vAlign w:val="center"/>
          </w:tcPr>
          <w:p>
            <w:pPr>
              <w:pStyle w:val="TableContents"/>
              <w:bidi w:val="0"/>
              <w:spacing w:before="0" w:after="283"/>
              <w:jc w:val="left"/>
              <w:rPr/>
            </w:pPr>
            <w:r>
              <w:rPr/>
              <w:t>(2)</w:t>
            </w:r>
          </w:p>
        </w:tc>
      </w:tr>
      <w:tr>
        <w:trPr/>
        <w:tc>
          <w:tcPr>
            <w:tcW w:w="2815" w:type="dxa"/>
            <w:tcBorders/>
            <w:shd w:fill="FFFFFF" w:val="clear"/>
            <w:vAlign w:val="center"/>
          </w:tcPr>
          <w:p>
            <w:pPr>
              <w:pStyle w:val="TableContents"/>
              <w:bidi w:val="0"/>
              <w:spacing w:before="0" w:after="283"/>
              <w:jc w:val="left"/>
              <w:rPr/>
            </w:pPr>
            <w:r>
              <w:rPr/>
              <w:t>Included in other comprehensive income</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21" w:name="xdx_98D_ecustom--TotalGainsLossesInclude"/>
            <w:bookmarkEnd w:id="2521"/>
          </w:p>
        </w:tc>
        <w:tc>
          <w:tcPr>
            <w:tcW w:w="16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22" w:name="xdx_98D_ecustom--TotalGainsLossesInclude"/>
            <w:bookmarkEnd w:id="2522"/>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23" w:name="xdx_983_eus-gaap--OtherComprehensiveInco"/>
            <w:bookmarkEnd w:id="2523"/>
          </w:p>
        </w:tc>
        <w:tc>
          <w:tcPr>
            <w:tcW w:w="2345" w:type="dxa"/>
            <w:tcBorders>
              <w:bottom w:val="single" w:sz="8" w:space="0" w:color="000000"/>
            </w:tcBorders>
            <w:shd w:fill="FFFFFF" w:val="clear"/>
            <w:tcMar>
              <w:bottom w:w="28" w:type="dxa"/>
            </w:tcMar>
            <w:vAlign w:val="center"/>
          </w:tcPr>
          <w:p>
            <w:pPr>
              <w:pStyle w:val="TableContents"/>
              <w:bidi w:val="0"/>
              <w:spacing w:before="0" w:after="283"/>
              <w:jc w:val="right"/>
              <w:rPr/>
            </w:pPr>
            <w:r>
              <w:rPr/>
              <w:t>(569</w:t>
            </w:r>
          </w:p>
        </w:tc>
        <w:tc>
          <w:tcPr>
            <w:tcW w:w="277"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Balance - June 30, 2026</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24" w:name="xdx_986_ecustom--DerivativesInterestRate"/>
            <w:bookmarkEnd w:id="2524"/>
          </w:p>
        </w:tc>
        <w:tc>
          <w:tcPr>
            <w:tcW w:w="1644" w:type="dxa"/>
            <w:tcBorders>
              <w:bottom w:val="double" w:sz="6" w:space="0" w:color="000000"/>
            </w:tcBorders>
            <w:shd w:fill="CCEEFF" w:val="clear"/>
            <w:tcMar>
              <w:bottom w:w="28" w:type="dxa"/>
            </w:tcMar>
            <w:vAlign w:val="center"/>
          </w:tcPr>
          <w:p>
            <w:pPr>
              <w:pStyle w:val="TableContents"/>
              <w:bidi w:val="0"/>
              <w:spacing w:before="0" w:after="283"/>
              <w:jc w:val="right"/>
              <w:rPr/>
            </w:pPr>
            <w:r>
              <w:rPr/>
              <w:t>2,499,604</w:t>
            </w:r>
          </w:p>
        </w:tc>
        <w:tc>
          <w:tcPr>
            <w:tcW w:w="2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25" w:name="xdx_989_eus-gaap--LoansReceivableHeldFor"/>
            <w:bookmarkEnd w:id="2525"/>
          </w:p>
        </w:tc>
        <w:tc>
          <w:tcPr>
            <w:tcW w:w="1633" w:type="dxa"/>
            <w:tcBorders>
              <w:bottom w:val="double" w:sz="6" w:space="0" w:color="000000"/>
            </w:tcBorders>
            <w:shd w:fill="CCEEFF" w:val="clear"/>
            <w:tcMar>
              <w:bottom w:w="28" w:type="dxa"/>
            </w:tcMar>
            <w:vAlign w:val="center"/>
          </w:tcPr>
          <w:p>
            <w:pPr>
              <w:pStyle w:val="TableContents"/>
              <w:bidi w:val="0"/>
              <w:spacing w:before="0" w:after="283"/>
              <w:jc w:val="right"/>
              <w:rPr/>
            </w:pPr>
            <w:r>
              <w:rPr/>
              <w:t>146,871,985</w:t>
            </w:r>
          </w:p>
        </w:tc>
        <w:tc>
          <w:tcPr>
            <w:tcW w:w="2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526" w:name="xdx_98A_eus-gaap--AvailableForSaleSecuri"/>
            <w:bookmarkEnd w:id="2526"/>
          </w:p>
        </w:tc>
        <w:tc>
          <w:tcPr>
            <w:tcW w:w="2345" w:type="dxa"/>
            <w:tcBorders>
              <w:bottom w:val="double" w:sz="6" w:space="0" w:color="000000"/>
            </w:tcBorders>
            <w:shd w:fill="CCEEFF" w:val="clear"/>
            <w:tcMar>
              <w:bottom w:w="28" w:type="dxa"/>
            </w:tcMar>
            <w:vAlign w:val="center"/>
          </w:tcPr>
          <w:p>
            <w:pPr>
              <w:pStyle w:val="TableContents"/>
              <w:bidi w:val="0"/>
              <w:spacing w:before="0" w:after="283"/>
              <w:jc w:val="right"/>
              <w:rPr/>
            </w:pPr>
            <w:r>
              <w:rPr/>
              <w:t>574,074</w:t>
            </w:r>
          </w:p>
        </w:tc>
        <w:tc>
          <w:tcPr>
            <w:tcW w:w="2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27" w:name="xdx_F0B_zFglzniYwTP7"/>
            <w:bookmarkEnd w:id="2527"/>
            <w:r>
              <w:rPr>
                <w:rFonts w:ascii="Times New Roman;Times;Serif" w:hAnsi="Times New Roman;Times;Serif"/>
                <w:b w:val="false"/>
                <w:i w:val="false"/>
                <w:caps w:val="false"/>
                <w:smallCaps w:val="false"/>
                <w:sz w:val="20"/>
              </w:rPr>
              <w:t xml:space="preserve">(1)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28" w:name="xdx_F17_z8nfGfPiSb9c"/>
            <w:bookmarkEnd w:id="2528"/>
            <w:r>
              <w:rPr>
                <w:rFonts w:ascii="Times New Roman;Times;Serif" w:hAnsi="Times New Roman;Times;Serif"/>
                <w:b w:val="false"/>
                <w:i w:val="false"/>
                <w:caps w:val="false"/>
                <w:smallCaps w:val="false"/>
                <w:sz w:val="20"/>
              </w:rPr>
              <w:t>As a component of Mortgage fee income on the condensed consolidated statements of earnings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29" w:name="xdx_F0A_z0oJqMQ1IrOi"/>
            <w:bookmarkEnd w:id="2529"/>
            <w:r>
              <w:rPr>
                <w:rFonts w:ascii="Times New Roman;Times;Serif" w:hAnsi="Times New Roman;Times;Serif"/>
                <w:b w:val="false"/>
                <w:i w:val="false"/>
                <w:caps w:val="false"/>
                <w:smallCaps w:val="false"/>
                <w:sz w:val="20"/>
              </w:rPr>
              <w:t xml:space="preserve">(2)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30" w:name="xdx_F13_zDX7gJ66Utpk"/>
            <w:bookmarkEnd w:id="2530"/>
            <w:r>
              <w:rPr>
                <w:rFonts w:ascii="Times New Roman;Times;Serif" w:hAnsi="Times New Roman;Times;Serif"/>
                <w:b w:val="false"/>
                <w:i w:val="false"/>
                <w:caps w:val="false"/>
                <w:smallCaps w:val="false"/>
                <w:sz w:val="20"/>
              </w:rPr>
              <w:t>As a component of Net investment income on the condensed consolidated statements of earnings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summary of changes in the condensed consolidated balance sheet line items measured using level 3 inputs for the six-month period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3"/>
        <w:gridCol w:w="60"/>
        <w:gridCol w:w="214"/>
        <w:gridCol w:w="1456"/>
        <w:gridCol w:w="223"/>
        <w:gridCol w:w="60"/>
        <w:gridCol w:w="137"/>
        <w:gridCol w:w="1393"/>
        <w:gridCol w:w="223"/>
        <w:gridCol w:w="60"/>
        <w:gridCol w:w="341"/>
        <w:gridCol w:w="2312"/>
        <w:gridCol w:w="243"/>
      </w:tblGrid>
      <w:tr>
        <w:trPr/>
        <w:tc>
          <w:tcPr>
            <w:tcW w:w="34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Loan Commitments</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w:t>
            </w:r>
          </w:p>
        </w:tc>
        <w:tc>
          <w:tcPr>
            <w:tcW w:w="2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31" w:name="xdx_987_ecustom--DerivativesInterestRate"/>
            <w:bookmarkEnd w:id="2531"/>
          </w:p>
        </w:tc>
        <w:tc>
          <w:tcPr>
            <w:tcW w:w="1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2,313,210</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32" w:name="xdx_984_eus-gaap--LoansReceivableHeldFor"/>
            <w:bookmarkEnd w:id="2532"/>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131,181,148</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33" w:name="xdx_988_eus-gaap--AvailableForSaleSecuri"/>
            <w:bookmarkEnd w:id="2533"/>
          </w:p>
        </w:tc>
        <w:tc>
          <w:tcPr>
            <w:tcW w:w="23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1,149,926</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Originations and 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34" w:name="xdx_983_ecustom--Originations_pp0p0_c202"/>
            <w:bookmarkEnd w:id="2534"/>
          </w:p>
        </w:tc>
        <w:tc>
          <w:tcPr>
            <w:tcW w:w="1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35" w:name="xdx_985_ecustom--OriginationsOfLoansHeld"/>
            <w:bookmarkEnd w:id="2535"/>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1,134,783,086</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36" w:name="xdx_98A_eus-gaap--PaymentsToAcquireAvail"/>
            <w:bookmarkEnd w:id="2536"/>
          </w:p>
        </w:tc>
        <w:tc>
          <w:tcPr>
            <w:tcW w:w="23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maturities and paydowns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37" w:name="xdx_98A_ecustom--Sales_c20250101__202506"/>
            <w:bookmarkEnd w:id="2537"/>
          </w:p>
        </w:tc>
        <w:tc>
          <w:tcPr>
            <w:tcW w:w="1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38" w:name="xdx_98B_eus-gaap--ProceedsFromSaleOfLoan"/>
            <w:bookmarkEnd w:id="2538"/>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(1,124,978,173</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39" w:name="xdx_98B_eus-gaap--ProceedsFromSaleAndMat"/>
            <w:bookmarkEnd w:id="2539"/>
          </w:p>
        </w:tc>
        <w:tc>
          <w:tcPr>
            <w:tcW w:w="23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to mortgage loans held for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40" w:name="xdx_982_ecustom--TransferToMortgageLoans"/>
            <w:bookmarkEnd w:id="2540"/>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(828,063</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 for sale foreclosed into real estate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41" w:name="xdx_982_ecustom--LoansHeldForSaleForeclo"/>
            <w:bookmarkEnd w:id="2541"/>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(380,000</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gains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42" w:name="xdx_98A_ecustom--FairValueLossesGainsInc"/>
            <w:bookmarkEnd w:id="2542"/>
          </w:p>
        </w:tc>
        <w:tc>
          <w:tcPr>
            <w:tcW w:w="1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606,944</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43" w:name="xdx_98D_ecustom--FairValueLossesGainsInc"/>
            <w:bookmarkEnd w:id="2543"/>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26,098,121</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44" w:name="xdx_980_eus-gaap--InvestmentIncomeNetAmo"/>
            <w:bookmarkEnd w:id="2544"/>
          </w:p>
        </w:tc>
        <w:tc>
          <w:tcPr>
            <w:tcW w:w="23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45" w:name="xdx_984_ecustom--TotalGainsLossesInclude"/>
            <w:bookmarkEnd w:id="2545"/>
          </w:p>
        </w:tc>
        <w:tc>
          <w:tcPr>
            <w:tcW w:w="14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46" w:name="xdx_987_ecustom--TotalGainsLossesInclude"/>
            <w:bookmarkEnd w:id="2546"/>
          </w:p>
        </w:tc>
        <w:tc>
          <w:tcPr>
            <w:tcW w:w="13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47" w:name="xdx_980_eus-gaap--OtherComprehensiveInco"/>
            <w:bookmarkEnd w:id="2547"/>
          </w:p>
        </w:tc>
        <w:tc>
          <w:tcPr>
            <w:tcW w:w="23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48" w:name="xdx_983_ecustom--DerivativesInterestRate"/>
            <w:bookmarkEnd w:id="2548"/>
          </w:p>
        </w:tc>
        <w:tc>
          <w:tcPr>
            <w:tcW w:w="14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2,920,154</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49" w:name="xdx_98E_eus-gaap--LoansReceivableHeldFor"/>
            <w:bookmarkEnd w:id="2549"/>
          </w:p>
        </w:tc>
        <w:tc>
          <w:tcPr>
            <w:tcW w:w="13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165,876,119</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0" w:name="xdx_982_eus-gaap--AvailableForSaleSecuri"/>
            <w:bookmarkEnd w:id="2550"/>
          </w:p>
        </w:tc>
        <w:tc>
          <w:tcPr>
            <w:tcW w:w="23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1,149,738</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component of Mortgage fee income on the condensed consolidated statements of earnings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component of Net investment income on the condensed consolidated statements of earnings</w:t>
            </w:r>
          </w:p>
        </w:tc>
      </w:tr>
    </w:tbl>
    <w:p>
      <w:pPr>
        <w:pStyle w:val="TextBody"/>
        <w:bidi w:val="0"/>
        <w:jc w:val="left"/>
        <w:rPr>
          <w:caps w:val="false"/>
          <w:smallCaps w:val="false"/>
        </w:rPr>
      </w:pPr>
      <w:bookmarkStart w:id="2551" w:name="xdx_8A7_z677EtjcHxX9"/>
      <w:bookmarkEnd w:id="255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any financial assets and financial liabilities measured at fair value on a nonrecurring basis as of June 30, 2026, or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 Carried at Other Than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52" w:name="xdx_894_ecustom--ScheduleOfFinancialInst"/>
      <w:bookmarkEnd w:id="2552"/>
      <w:r>
        <w:rPr>
          <w:rFonts w:ascii="Times New Roman;Times;Serif" w:hAnsi="Times New Roman;Times;Serif"/>
          <w:b w:val="false"/>
          <w:i w:val="false"/>
          <w:caps w:val="false"/>
          <w:smallCaps w:val="false"/>
          <w:sz w:val="20"/>
        </w:rPr>
        <w:t>The carrying values and estimated fair values for such financial instruments, and their corresponding placement in the fair value hierarchy, are summarized as follows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53" w:name="xdx_8B6_zW60BdlLQWcf"/>
      <w:bookmarkEnd w:id="2553"/>
      <w:r>
        <w:rPr>
          <w:rFonts w:ascii="Times New Roman;Times;Serif" w:hAnsi="Times New Roman;Times;Serif"/>
          <w:b w:val="false"/>
          <w:i w:val="false"/>
          <w:caps w:val="false"/>
          <w:smallCaps w:val="false"/>
          <w:sz w:val="20"/>
        </w:rPr>
        <w:t>Schedule of Financial Instruments Carried at Other Than Fair Value </w:t>
      </w:r>
    </w:p>
    <w:tbl>
      <w:tblPr>
        <w:tblW w:w="10205" w:type="dxa"/>
        <w:jc w:val="left"/>
        <w:tblInd w:w="0" w:type="dxa"/>
        <w:tblLayout w:type="fixed"/>
        <w:tblCellMar>
          <w:top w:w="0" w:type="dxa"/>
          <w:left w:w="0" w:type="dxa"/>
          <w:bottom w:w="0" w:type="dxa"/>
          <w:right w:w="0" w:type="dxa"/>
        </w:tblCellMar>
      </w:tblPr>
      <w:tblGrid>
        <w:gridCol w:w="3665"/>
        <w:gridCol w:w="60"/>
        <w:gridCol w:w="126"/>
        <w:gridCol w:w="1135"/>
        <w:gridCol w:w="80"/>
        <w:gridCol w:w="60"/>
        <w:gridCol w:w="378"/>
        <w:gridCol w:w="243"/>
        <w:gridCol w:w="60"/>
        <w:gridCol w:w="60"/>
        <w:gridCol w:w="378"/>
        <w:gridCol w:w="243"/>
        <w:gridCol w:w="60"/>
        <w:gridCol w:w="60"/>
        <w:gridCol w:w="125"/>
        <w:gridCol w:w="1115"/>
        <w:gridCol w:w="80"/>
        <w:gridCol w:w="60"/>
        <w:gridCol w:w="213"/>
        <w:gridCol w:w="1904"/>
        <w:gridCol w:w="100"/>
      </w:tblGrid>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Fair Value</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4" w:name="xdx_98D_eus-gaap--MortgageLoansOnRealEst"/>
            <w:bookmarkEnd w:id="2554"/>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83,478,108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5" w:name="xdx_98F_eus-gaap--MortgageLoansOnRealEst"/>
            <w:bookmarkEnd w:id="2555"/>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6" w:name="xdx_98A_eus-gaap--MortgageLoansOnRealEst"/>
            <w:bookmarkEnd w:id="2556"/>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7" w:name="xdx_98F_eus-gaap--MortgageLoansOnRealEst"/>
            <w:bookmarkEnd w:id="2557"/>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85,079,523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58" w:name="xdx_984_eus-gaap--FinancialInstrumentsOw"/>
            <w:bookmarkEnd w:id="2558"/>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85,079,523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59" w:name="xdx_986_eus-gaap--MortgageLoansOnRealEst"/>
            <w:bookmarkEnd w:id="255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140,177,507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0" w:name="xdx_989_eus-gaap--MortgageLoansOnRealEst"/>
            <w:bookmarkEnd w:id="256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1" w:name="xdx_984_eus-gaap--MortgageLoansOnRealEst"/>
            <w:bookmarkEnd w:id="256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2" w:name="xdx_986_eus-gaap--MortgageLoansOnRealEst"/>
            <w:bookmarkEnd w:id="256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140,177,507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3" w:name="xdx_988_eus-gaap--FinancialInstrumentsOw"/>
            <w:bookmarkEnd w:id="256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140,177,507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64" w:name="xdx_982_eus-gaap--MortgageLoansOnRealEst"/>
            <w:bookmarkEnd w:id="2564"/>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67,029,573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65" w:name="xdx_98A_eus-gaap--MortgageLoansOnRealEst"/>
            <w:bookmarkEnd w:id="2565"/>
          </w:p>
        </w:tc>
        <w:tc>
          <w:tcPr>
            <w:tcW w:w="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66" w:name="xdx_98E_eus-gaap--MortgageLoansOnRealEst"/>
            <w:bookmarkEnd w:id="2566"/>
          </w:p>
        </w:tc>
        <w:tc>
          <w:tcPr>
            <w:tcW w:w="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67" w:name="xdx_98F_eus-gaap--MortgageLoansOnRealEst"/>
            <w:bookmarkEnd w:id="2567"/>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68,386,002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568" w:name="xdx_983_eus-gaap--FinancialInstrumentsOw"/>
            <w:bookmarkEnd w:id="2568"/>
          </w:p>
        </w:tc>
        <w:tc>
          <w:tcPr>
            <w:tcW w:w="1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68,386,002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69" w:name="xdx_982_eus-gaap--MortgageLoansOnRealEst"/>
            <w:bookmarkEnd w:id="256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290,685,188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70" w:name="xdx_988_eus-gaap--MortgageLoansOnRealEst"/>
            <w:bookmarkEnd w:id="257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71" w:name="xdx_983_eus-gaap--MortgageLoansOnRealEst"/>
            <w:bookmarkEnd w:id="257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72" w:name="xdx_98C_eus-gaap--MortgageLoansOnRealEst"/>
            <w:bookmarkEnd w:id="257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293,643,032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73" w:name="xdx_98E_eus-gaap--FinancialInstrumentsOw"/>
            <w:bookmarkEnd w:id="257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293,643,032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loans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4" w:name="xdx_982_ecustom--PolicyAndOtherLoansRece"/>
            <w:bookmarkEnd w:id="2574"/>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14,616,118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5" w:name="xdx_98B_ecustom--PolicyAndOtherLoansRece"/>
            <w:bookmarkEnd w:id="2575"/>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6" w:name="xdx_989_eus-gaap--MortgageLoansOnRealEst"/>
            <w:bookmarkEnd w:id="2576"/>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7" w:name="xdx_982_eus-gaap--FinancialInstrumentsOw"/>
            <w:bookmarkEnd w:id="2577"/>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14,616,118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8" w:name="xdx_988_eus-gaap--FinancialInstrumentsOw"/>
            <w:bookmarkEnd w:id="2578"/>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14,616,118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assignments, net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79" w:name="xdx_98F_ecustom--PolicyAndOtherLoansRece"/>
            <w:bookmarkEnd w:id="257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0" w:name="xdx_984_ecustom--PolicyAndOtherLoansRece"/>
            <w:bookmarkEnd w:id="258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1" w:name="xdx_986_ecustom--PolicyAndOtherLoansRece"/>
            <w:bookmarkEnd w:id="258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2" w:name="xdx_987_ecustom--FairValueOfPolicyAndOth"/>
            <w:bookmarkEnd w:id="258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3" w:name="xdx_98B_ecustom--FairValueOfPolicyAndOth"/>
            <w:bookmarkEnd w:id="258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42,533,215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assets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4" w:name="xdx_980_eus-gaap--RestrictedInvestments_"/>
            <w:bookmarkEnd w:id="2584"/>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5" w:name="xdx_982_eus-gaap--RestrictedInvestments_"/>
            <w:bookmarkEnd w:id="2585"/>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6" w:name="xdx_981_eus-gaap--RestrictedInvestments_"/>
            <w:bookmarkEnd w:id="2586"/>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7" w:name="xdx_988_eus-gaap--RestrictedInvestments_"/>
            <w:bookmarkEnd w:id="2587"/>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8" w:name="xdx_98A_eus-gaap--RestrictedInvestmentsA"/>
            <w:bookmarkEnd w:id="2588"/>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775,992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perpetual care trust investments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9" w:name="xdx_986_ecustom--CemeteryPerpetualCareTr"/>
            <w:bookmarkEnd w:id="258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90" w:name="xdx_982_ecustom--CemeteryPerpetualCareTr"/>
            <w:bookmarkEnd w:id="259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91" w:name="xdx_98C_ecustom--CemeteryPerpetualCareTr"/>
            <w:bookmarkEnd w:id="259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92" w:name="xdx_98E_ecustom--CemeteryPerpetualCareTr"/>
            <w:bookmarkEnd w:id="259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93" w:name="xdx_984_ecustom--FairValueOfCemeteryPerp"/>
            <w:bookmarkEnd w:id="259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1,006,713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servicing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4" w:name="xdx_98C_eus-gaap--ServicingAssetAtAmorti"/>
            <w:bookmarkEnd w:id="2594"/>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5" w:name="xdx_981_eus-gaap--ServicingAssetAtAmorti"/>
            <w:bookmarkEnd w:id="2595"/>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6" w:name="xdx_98B_eus-gaap--ServicingAssetAtAmorti"/>
            <w:bookmarkEnd w:id="2596"/>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7" w:name="xdx_98E_eus-gaap--ServicingAssetAtAmorti"/>
            <w:bookmarkEnd w:id="2597"/>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8" w:name="xdx_982_eus-gaap--ServicingAssetAtFairVa"/>
            <w:bookmarkEnd w:id="2598"/>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4,146,075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and other loans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99" w:name="xdx_98B_eus-gaap--LoansPayableToBank_iNI"/>
            <w:bookmarkEnd w:id="259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(122,230,135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0" w:name="xdx_984_eus-gaap--LoansPayableToBank_iNI"/>
            <w:bookmarkEnd w:id="260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1" w:name="xdx_98B_eus-gaap--LoansPayableToBank_iNI"/>
            <w:bookmarkEnd w:id="260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2" w:name="xdx_980_eus-gaap--LoansPayableToBank_iNI"/>
            <w:bookmarkEnd w:id="260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(110,534,559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3" w:name="xdx_983_eus-gaap--LoansPayableFairValueD"/>
            <w:bookmarkEnd w:id="260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(110,534,559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account balances - universal life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4" w:name="xdx_98A_eus-gaap--PolicyholderFunds_iNI_"/>
            <w:bookmarkEnd w:id="2604"/>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(34,990,504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5" w:name="xdx_985_ecustom--FairValueOfPolicyholder"/>
            <w:bookmarkEnd w:id="2605"/>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6" w:name="xdx_98F_ecustom--FairValueOfPolicyholder"/>
            <w:bookmarkEnd w:id="2606"/>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7" w:name="xdx_98E_ecustom--FairValueOfPolicyholder"/>
            <w:bookmarkEnd w:id="2607"/>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(35,015,185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8" w:name="xdx_980_ecustom--FairValueOfPolicyholder"/>
            <w:bookmarkEnd w:id="2608"/>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(35,015,185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account balances - fixed annuities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09" w:name="xdx_984_eus-gaap--PolicyholderFunds_iNI_"/>
            <w:bookmarkEnd w:id="2609"/>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(103,035,928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0" w:name="xdx_982_ecustom--FairValueOfPolicyholder"/>
            <w:bookmarkEnd w:id="2610"/>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1" w:name="xdx_981_ecustom--FairValueOfPolicyholder"/>
            <w:bookmarkEnd w:id="2611"/>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2" w:name="xdx_98D_ecustom--FairValueOfPolicyholder"/>
            <w:bookmarkEnd w:id="261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(137,195,977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3" w:name="xdx_982_ecustom--FairValueOfPolicyholder"/>
            <w:bookmarkEnd w:id="2613"/>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(137,195,977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14" w:name="xdx_F02_zIYgQJaJjCN1"/>
            <w:bookmarkEnd w:id="2614"/>
            <w:r>
              <w:rPr>
                <w:rFonts w:ascii="Times New Roman;Times;Serif" w:hAnsi="Times New Roman;Times;Serif"/>
                <w:b w:val="false"/>
                <w:i w:val="false"/>
                <w:caps w:val="false"/>
                <w:smallCaps w:val="false"/>
                <w:sz w:val="20"/>
              </w:rPr>
              <w:t xml:space="preserve">(1) </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15" w:name="xdx_F17_zLv4NDq9RUL6"/>
            <w:bookmarkEnd w:id="2615"/>
            <w:r>
              <w:rPr>
                <w:rFonts w:ascii="Times New Roman;Times;Serif" w:hAnsi="Times New Roman;Times;Serif"/>
                <w:b w:val="false"/>
                <w:i w:val="false"/>
                <w:caps w:val="false"/>
                <w:smallCaps w:val="false"/>
                <w:sz w:val="20"/>
              </w:rPr>
              <w:t>Included in other investments and policy loans on the condensed consolidated balance sheets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16" w:name="xdx_F02_zs2dqxgLZMr4"/>
            <w:bookmarkEnd w:id="2616"/>
            <w:r>
              <w:rPr>
                <w:rFonts w:ascii="Times New Roman;Times;Serif" w:hAnsi="Times New Roman;Times;Serif"/>
                <w:b w:val="false"/>
                <w:i w:val="false"/>
                <w:caps w:val="false"/>
                <w:smallCaps w:val="false"/>
                <w:sz w:val="20"/>
              </w:rPr>
              <w:t xml:space="preserve">(2) </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17" w:name="xdx_F17_zf70SxpF5tge"/>
            <w:bookmarkEnd w:id="2617"/>
            <w:r>
              <w:rPr>
                <w:rFonts w:ascii="Times New Roman;Times;Serif" w:hAnsi="Times New Roman;Times;Serif"/>
                <w:b w:val="false"/>
                <w:i w:val="false"/>
                <w:caps w:val="false"/>
                <w:smallCaps w:val="false"/>
                <w:sz w:val="20"/>
              </w:rPr>
              <w:t>Mortgage loans held for investment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and estimated fair values for such financial instruments, and their corresponding placement in the fair value hierarchy, are summarized as follows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5"/>
        <w:gridCol w:w="60"/>
        <w:gridCol w:w="126"/>
        <w:gridCol w:w="1135"/>
        <w:gridCol w:w="80"/>
        <w:gridCol w:w="60"/>
        <w:gridCol w:w="378"/>
        <w:gridCol w:w="243"/>
        <w:gridCol w:w="60"/>
        <w:gridCol w:w="60"/>
        <w:gridCol w:w="378"/>
        <w:gridCol w:w="243"/>
        <w:gridCol w:w="60"/>
        <w:gridCol w:w="60"/>
        <w:gridCol w:w="125"/>
        <w:gridCol w:w="1115"/>
        <w:gridCol w:w="80"/>
        <w:gridCol w:w="60"/>
        <w:gridCol w:w="213"/>
        <w:gridCol w:w="1904"/>
        <w:gridCol w:w="100"/>
      </w:tblGrid>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Fair Value</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18" w:name="xdx_98D_eus-gaap--MortgageLoansOnRealEst"/>
            <w:bookmarkEnd w:id="2618"/>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88,348,354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19" w:name="xdx_988_eus-gaap--MortgageLoansOnRealEst"/>
            <w:bookmarkEnd w:id="2619"/>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20" w:name="xdx_98C_eus-gaap--MortgageLoansOnRealEst"/>
            <w:bookmarkEnd w:id="2620"/>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21" w:name="xdx_983_eus-gaap--MortgageLoansOnRealEst"/>
            <w:bookmarkEnd w:id="2621"/>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89,318,434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22" w:name="xdx_984_eus-gaap--FinancialInstrumentsOw"/>
            <w:bookmarkEnd w:id="2622"/>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89,318,434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3" w:name="xdx_989_eus-gaap--MortgageLoansOnRealEst"/>
            <w:bookmarkEnd w:id="262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156,744,272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4" w:name="xdx_982_eus-gaap--MortgageLoansOnRealEst"/>
            <w:bookmarkEnd w:id="262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5" w:name="xdx_981_eus-gaap--MortgageLoansOnRealEst"/>
            <w:bookmarkEnd w:id="262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6" w:name="xdx_984_eus-gaap--MortgageLoansOnRealEst"/>
            <w:bookmarkEnd w:id="262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156,744,272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7" w:name="xdx_985_eus-gaap--FinancialInstrumentsOw"/>
            <w:bookmarkEnd w:id="262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156,744,272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628" w:name="xdx_98C_eus-gaap--MortgageLoansOnRealEst"/>
            <w:bookmarkEnd w:id="2628"/>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77,342,759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629" w:name="xdx_984_eus-gaap--MortgageLoansOnRealEst"/>
            <w:bookmarkEnd w:id="2629"/>
          </w:p>
        </w:tc>
        <w:tc>
          <w:tcPr>
            <w:tcW w:w="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630" w:name="xdx_98F_eus-gaap--MortgageLoansOnRealEst"/>
            <w:bookmarkEnd w:id="2630"/>
          </w:p>
        </w:tc>
        <w:tc>
          <w:tcPr>
            <w:tcW w:w="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631" w:name="xdx_981_eus-gaap--MortgageLoansOnRealEst"/>
            <w:bookmarkEnd w:id="2631"/>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78,683,341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632" w:name="xdx_985_eus-gaap--FinancialInstrumentsOw"/>
            <w:bookmarkEnd w:id="2632"/>
          </w:p>
        </w:tc>
        <w:tc>
          <w:tcPr>
            <w:tcW w:w="1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78,683,341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33" w:name="xdx_98C_eus-gaap--MortgageLoansOnRealEst"/>
            <w:bookmarkEnd w:id="263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322,435,385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34" w:name="xdx_987_eus-gaap--MortgageLoansOnRealEst"/>
            <w:bookmarkEnd w:id="263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35" w:name="xdx_985_eus-gaap--MortgageLoansOnRealEst"/>
            <w:bookmarkEnd w:id="263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36" w:name="xdx_984_eus-gaap--MortgageLoansOnRealEst"/>
            <w:bookmarkEnd w:id="263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324,746,047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37" w:name="xdx_986_eus-gaap--FinancialInstrumentsOw"/>
            <w:bookmarkEnd w:id="263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324,746,047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loans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38" w:name="xdx_98E_ecustom--PolicyAndOtherLoansRece"/>
            <w:bookmarkEnd w:id="2638"/>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39" w:name="xdx_98C_eus-gaap--MortgageLoansOnRealEst"/>
            <w:bookmarkEnd w:id="2639"/>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40" w:name="xdx_98E_eus-gaap--MortgageLoansOnRealEst"/>
            <w:bookmarkEnd w:id="2640"/>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41" w:name="xdx_98F_eus-gaap--MortgageLoansOnRealEst"/>
            <w:bookmarkEnd w:id="2641"/>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42" w:name="xdx_98A_eus-gaap--FinancialInstrumentsOw"/>
            <w:bookmarkEnd w:id="2642"/>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14,467,357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assignments, net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3" w:name="xdx_988_ecustom--PolicyAndOtherLoansRece"/>
            <w:bookmarkEnd w:id="264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44,507,531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4" w:name="xdx_986_eus-gaap--MortgageLoansOnRealEst"/>
            <w:bookmarkEnd w:id="264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5" w:name="xdx_984_eus-gaap--MortgageLoansOnRealEst"/>
            <w:bookmarkEnd w:id="264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6" w:name="xdx_98D_eus-gaap--MortgageLoansOnRealEst"/>
            <w:bookmarkEnd w:id="264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44,507,531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7" w:name="xdx_983_ecustom--FairValueOfPolicyAndOth"/>
            <w:bookmarkEnd w:id="264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44,507,531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assets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48" w:name="xdx_988_eus-gaap--RestrictedInvestments_"/>
            <w:bookmarkEnd w:id="2648"/>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49" w:name="xdx_985_eus-gaap--RestrictedInvestments_"/>
            <w:bookmarkEnd w:id="2649"/>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0" w:name="xdx_983_eus-gaap--RestrictedInvestments_"/>
            <w:bookmarkEnd w:id="2650"/>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1" w:name="xdx_989_eus-gaap--RestrictedInvestments_"/>
            <w:bookmarkEnd w:id="2651"/>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2" w:name="xdx_985_eus-gaap--RestrictedInvestmentsA"/>
            <w:bookmarkEnd w:id="2652"/>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810,802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perpetual care trust investments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3" w:name="xdx_984_ecustom--CemeteryPerpetualCareTr"/>
            <w:bookmarkEnd w:id="265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4" w:name="xdx_980_ecustom--CemeteryPerpetualCareTr"/>
            <w:bookmarkEnd w:id="265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5" w:name="xdx_989_ecustom--CemeteryPerpetualCareTr"/>
            <w:bookmarkEnd w:id="265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6" w:name="xdx_98B_ecustom--CemeteryPerpetualCareTr"/>
            <w:bookmarkEnd w:id="265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57" w:name="xdx_981_ecustom--FairValueOfCemeteryPerp"/>
            <w:bookmarkEnd w:id="265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66,209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servicing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8" w:name="xdx_985_eus-gaap--ServicingAssetAtAmorti"/>
            <w:bookmarkEnd w:id="2658"/>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2,528,459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9" w:name="xdx_98E_eus-gaap--ServicingAssetAtAmorti"/>
            <w:bookmarkEnd w:id="2659"/>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0" w:name="xdx_985_eus-gaap--ServicingAssetAtAmorti"/>
            <w:bookmarkEnd w:id="2660"/>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1" w:name="xdx_984_eus-gaap--ServicingAssetAtAmorti"/>
            <w:bookmarkEnd w:id="2661"/>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4,035,635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2" w:name="xdx_98E_eus-gaap--ServicingAssetAtFairVa"/>
            <w:bookmarkEnd w:id="2662"/>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4,035,635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and other loans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3" w:name="xdx_985_eus-gaap--LoansPayableToBank_iNI"/>
            <w:bookmarkEnd w:id="266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(98,387,919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4" w:name="xdx_982_eus-gaap--LoansPayableToBank_iNI"/>
            <w:bookmarkEnd w:id="266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5" w:name="xdx_98A_eus-gaap--LoansPayableToBank_iNI"/>
            <w:bookmarkEnd w:id="266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6" w:name="xdx_988_eus-gaap--LoansPayableToBank_iNI"/>
            <w:bookmarkEnd w:id="266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(87,490,315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7" w:name="xdx_982_eus-gaap--LoansPayableFairValueD"/>
            <w:bookmarkEnd w:id="266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(87,490,315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account balances - universal life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8" w:name="xdx_98A_eus-gaap--PolicyholderFunds_iNI_"/>
            <w:bookmarkEnd w:id="2668"/>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(35,825,494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69" w:name="xdx_983_ecustom--FairValueOfPolicyholder"/>
            <w:bookmarkEnd w:id="2669"/>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70" w:name="xdx_98C_ecustom--FairValueOfPolicyholder"/>
            <w:bookmarkEnd w:id="2670"/>
          </w:p>
        </w:tc>
        <w:tc>
          <w:tcPr>
            <w:tcW w:w="2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71" w:name="xdx_980_ecustom--FairValueOfPolicyholder"/>
            <w:bookmarkEnd w:id="2671"/>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(35,986,392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72" w:name="xdx_98B_ecustom--FairValueOfPolicyholder"/>
            <w:bookmarkEnd w:id="2672"/>
          </w:p>
        </w:tc>
        <w:tc>
          <w:tcPr>
            <w:tcW w:w="1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(35,986,392</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account balances - fixed annuities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3" w:name="xdx_980_eus-gaap--PolicyholderFunds_iNI_"/>
            <w:bookmarkEnd w:id="2673"/>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(104,780,256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4" w:name="xdx_98D_ecustom--FairValueOfPolicyholder"/>
            <w:bookmarkEnd w:id="2674"/>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5" w:name="xdx_98B_ecustom--FairValueOfPolicyholder"/>
            <w:bookmarkEnd w:id="2675"/>
          </w:p>
        </w:tc>
        <w:tc>
          <w:tcPr>
            <w:tcW w:w="2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6" w:name="xdx_98B_ecustom--FairValueOfPolicyholder"/>
            <w:bookmarkEnd w:id="2676"/>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(103,880,576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7" w:name="xdx_98C_ecustom--FairValueOfPolicyholder"/>
            <w:bookmarkEnd w:id="2677"/>
          </w:p>
        </w:tc>
        <w:tc>
          <w:tcPr>
            <w:tcW w:w="1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(103,880,576</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015" w:type="dxa"/>
        <w:jc w:val="left"/>
        <w:tblInd w:w="0" w:type="dxa"/>
        <w:tblLayout w:type="fixed"/>
        <w:tblCellMar>
          <w:top w:w="0" w:type="dxa"/>
          <w:left w:w="0" w:type="dxa"/>
          <w:bottom w:w="0" w:type="dxa"/>
          <w:right w:w="0" w:type="dxa"/>
        </w:tblCellMar>
      </w:tblPr>
      <w:tblGrid>
        <w:gridCol w:w="305"/>
        <w:gridCol w:w="671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78" w:name="xdx_F06_zy47jCSSUlbk"/>
            <w:bookmarkEnd w:id="2678"/>
            <w:r>
              <w:rPr>
                <w:rFonts w:ascii="Times New Roman;Times;Serif" w:hAnsi="Times New Roman;Times;Serif"/>
                <w:b w:val="false"/>
                <w:i w:val="false"/>
                <w:caps w:val="false"/>
                <w:smallCaps w:val="false"/>
                <w:sz w:val="20"/>
              </w:rPr>
              <w:t xml:space="preserve">(1) </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investments and policy loans on the consolidated balance sheets</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79" w:name="xdx_F1B_zQXiNfousaZg"/>
            <w:bookmarkEnd w:id="2679"/>
            <w:r>
              <w:rPr>
                <w:rFonts w:ascii="Times New Roman;Times;Serif" w:hAnsi="Times New Roman;Times;Serif"/>
                <w:b w:val="false"/>
                <w:i w:val="false"/>
                <w:caps w:val="false"/>
                <w:smallCaps w:val="false"/>
                <w:sz w:val="20"/>
              </w:rPr>
              <w:t xml:space="preserve">(2) </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investment</w:t>
            </w:r>
          </w:p>
        </w:tc>
      </w:tr>
    </w:tbl>
    <w:p>
      <w:pPr>
        <w:pStyle w:val="TextBody"/>
        <w:bidi w:val="0"/>
        <w:spacing w:before="0" w:after="0"/>
        <w:ind w:left="0" w:right="0" w:hanging="0"/>
        <w:jc w:val="both"/>
        <w:rPr>
          <w:caps w:val="false"/>
          <w:smallCaps w:val="false"/>
        </w:rPr>
      </w:pPr>
      <w:bookmarkStart w:id="2680" w:name="xdx_8A8_zP9qDhNUMn64"/>
      <w:bookmarkEnd w:id="26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assumptions and significant valuation techniques and inputs used to estimate the fair value of these financial instruments are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Mortgage Loans Held for Investment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estimated fair value of the Company’s mortgage loans held for 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 – These loans primarily have short term maturities. Accordingly, the estimated fair value is determined to be the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 The estimated fair value is determined by estimating expected future cash flows of payments and discounting them using current interest rates for commercial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Policy Loans</w:t>
      </w:r>
      <w:r>
        <w:rPr>
          <w:rFonts w:ascii="Times New Roman;Times;Serif" w:hAnsi="Times New Roman;Times;Serif"/>
          <w:b w:val="false"/>
          <w:i w:val="false"/>
          <w:caps w:val="false"/>
          <w:smallCaps w:val="false"/>
          <w:sz w:val="20"/>
        </w:rPr>
        <w:t>: These loans are fully collateralized by the cash surrender value of the underlying policy. Accordingly, the carrying amounts reported in the accompanying condensed consolidated balance sheet approximates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Insurance Assignments, Net</w:t>
      </w:r>
      <w:r>
        <w:rPr>
          <w:rFonts w:ascii="Times New Roman;Times;Serif" w:hAnsi="Times New Roman;Times;Serif"/>
          <w:b w:val="false"/>
          <w:i w:val="false"/>
          <w:caps w:val="false"/>
          <w:smallCaps w:val="false"/>
          <w:sz w:val="20"/>
        </w:rPr>
        <w:t>: These investments primarily have short-term maturities. Accordingly, the carrying amounts reported in the accompanying condensed consolidated balance sheet approximates their fair values.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Fair Value of Financial Instrument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Bank and Other Loans Payable</w:t>
      </w:r>
      <w:r>
        <w:rPr>
          <w:rFonts w:ascii="Times New Roman;Times;Serif" w:hAnsi="Times New Roman;Times;Serif"/>
          <w:b w:val="false"/>
          <w:i w:val="false"/>
          <w:caps w:val="false"/>
          <w:smallCaps w:val="false"/>
          <w:sz w:val="20"/>
        </w:rPr>
        <w:t>: The carrying amounts reported in the accompanying condensed consolidated balance sheet for warehouse lines of credit 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Policyholder Account Balances</w:t>
      </w:r>
      <w:r>
        <w:rPr>
          <w:rFonts w:ascii="Times New Roman;Times;Serif" w:hAnsi="Times New Roman;Times;Serif"/>
          <w:b w:val="false"/>
          <w:i w:val="false"/>
          <w:caps w:val="false"/>
          <w:smallCaps w:val="false"/>
          <w:sz w:val="20"/>
        </w:rPr>
        <w:t xml:space="preserve">: Policyholder account balances for interest-sensitive insurance products are computed 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w:t>
      </w:r>
      <w:bookmarkStart w:id="2681" w:name="xdx_908_ecustom--InterestSensitiveInsura"/>
      <w:bookmarkEnd w:id="2681"/>
      <w:r>
        <w:rPr>
          <w:rFonts w:ascii="Times New Roman;Times;Serif" w:hAnsi="Times New Roman;Times;Serif"/>
          <w:b w:val="false"/>
          <w:i w:val="false"/>
          <w:caps w:val="false"/>
          <w:smallCaps w:val="false"/>
          <w:sz w:val="20"/>
        </w:rPr>
        <w:t xml:space="preserve">1.5% to </w:t>
      </w:r>
      <w:bookmarkStart w:id="2682" w:name="xdx_90F_ecustom--InterestSensitiveInsura"/>
      <w:bookmarkEnd w:id="2682"/>
      <w:r>
        <w:rPr>
          <w:rFonts w:ascii="Times New Roman;Times;Serif" w:hAnsi="Times New Roman;Times;Serif"/>
          <w:b w:val="false"/>
          <w:i w:val="false"/>
          <w:caps w:val="false"/>
          <w:smallCaps w:val="false"/>
          <w:sz w:val="20"/>
        </w:rPr>
        <w:t>6.5%. The fair values for these investment-type insurance policies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83" w:name="xdx_800_eus-gaap--DisclosureOfCompensati"/>
      <w:bookmarkEnd w:id="2683"/>
      <w:r>
        <w:rPr>
          <w:rFonts w:ascii="Times New Roman;Times;Serif" w:hAnsi="Times New Roman;Times;Serif"/>
          <w:b w:val="false"/>
          <w:i w:val="false"/>
          <w:caps w:val="false"/>
          <w:smallCaps w:val="false"/>
          <w:sz w:val="20"/>
        </w:rPr>
        <w:t xml:space="preserve">18) </w:t>
      </w:r>
      <w:bookmarkStart w:id="2684" w:name="xdx_82B_z9L2nnVGEXA4"/>
      <w:bookmarkStart w:id="2685" w:name="f6k_023"/>
      <w:bookmarkEnd w:id="2684"/>
      <w:bookmarkEnd w:id="2685"/>
      <w:r>
        <w:rPr>
          <w:rFonts w:ascii="Times New Roman;Times;Serif" w:hAnsi="Times New Roman;Times;Serif"/>
          <w:b w:val="false"/>
          <w:i w:val="false"/>
          <w:caps w:val="false"/>
          <w:smallCaps w:val="false"/>
          <w:sz w:val="20"/>
          <w:u w:val="single"/>
        </w:rPr>
        <w:t>Stock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active equity incentive plans (the “2013 Plan”, the “2014 Director Plan” and the “2022 Plan” or “the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for stock options issued of $</w:t>
      </w:r>
      <w:bookmarkStart w:id="2686" w:name="xdx_902_eus-gaap--AllocatedShareBasedCom"/>
      <w:bookmarkEnd w:id="2686"/>
      <w:r>
        <w:rPr>
          <w:rFonts w:ascii="Times New Roman;Times;Serif" w:hAnsi="Times New Roman;Times;Serif"/>
          <w:b w:val="false"/>
          <w:i w:val="false"/>
          <w:caps w:val="false"/>
          <w:smallCaps w:val="false"/>
          <w:sz w:val="20"/>
        </w:rPr>
        <w:t>450,299 and $</w:t>
      </w:r>
      <w:bookmarkStart w:id="2687" w:name="xdx_90C_eus-gaap--AllocatedShareBasedCom"/>
      <w:bookmarkEnd w:id="2687"/>
      <w:r>
        <w:rPr>
          <w:rFonts w:ascii="Times New Roman;Times;Serif" w:hAnsi="Times New Roman;Times;Serif"/>
          <w:b w:val="false"/>
          <w:i w:val="false"/>
          <w:caps w:val="false"/>
          <w:smallCaps w:val="false"/>
          <w:sz w:val="20"/>
        </w:rPr>
        <w:t>310,430 has been recognized for these Plans for the three-month periods ended June 30, 2026, and 2025, respectively, and $</w:t>
      </w:r>
      <w:bookmarkStart w:id="2688" w:name="xdx_901_eus-gaap--AllocatedShareBasedCom"/>
      <w:bookmarkEnd w:id="2688"/>
      <w:r>
        <w:rPr>
          <w:rFonts w:ascii="Times New Roman;Times;Serif" w:hAnsi="Times New Roman;Times;Serif"/>
          <w:b w:val="false"/>
          <w:i w:val="false"/>
          <w:caps w:val="false"/>
          <w:smallCaps w:val="false"/>
          <w:sz w:val="20"/>
        </w:rPr>
        <w:t>913,999 and $</w:t>
      </w:r>
      <w:bookmarkStart w:id="2689" w:name="xdx_900_eus-gaap--AllocatedShareBasedCom"/>
      <w:bookmarkEnd w:id="2689"/>
      <w:r>
        <w:rPr>
          <w:rFonts w:ascii="Times New Roman;Times;Serif" w:hAnsi="Times New Roman;Times;Serif"/>
          <w:b w:val="false"/>
          <w:i w:val="false"/>
          <w:caps w:val="false"/>
          <w:smallCaps w:val="false"/>
          <w:sz w:val="20"/>
        </w:rPr>
        <w:t>609,703 has been recognized for these Plans for the six-month periods ended June 30, 2026, and 2025, respectively, and is included in personnel expenses on the condensed consolidated statements of earnings. As of June 30, 2026, the total unrecognized compensation expense related to the options issued was $</w:t>
      </w:r>
      <w:bookmarkStart w:id="2690" w:name="xdx_902_eus-gaap--EmployeeServiceShareBa"/>
      <w:bookmarkEnd w:id="2690"/>
      <w:r>
        <w:rPr>
          <w:rFonts w:ascii="Times New Roman;Times;Serif" w:hAnsi="Times New Roman;Times;Serif"/>
          <w:b w:val="false"/>
          <w:i w:val="false"/>
          <w:caps w:val="false"/>
          <w:smallCaps w:val="false"/>
          <w:sz w:val="20"/>
        </w:rPr>
        <w:t>783,164 which is expected to be recognized over the remaining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Stock Compensation Plans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91" w:name="xdx_89C_eus-gaap--ScheduleOfShareBasedCo"/>
      <w:bookmarkEnd w:id="2691"/>
      <w:r>
        <w:rPr>
          <w:rFonts w:ascii="Times New Roman;Times;Serif" w:hAnsi="Times New Roman;Times;Serif"/>
          <w:b w:val="false"/>
          <w:i w:val="false"/>
          <w:caps w:val="false"/>
          <w:smallCaps w:val="false"/>
          <w:sz w:val="20"/>
        </w:rPr>
        <w:t>The activity of the Plans during the six-month period ended June 30, 2026, is summarized as follows:</w:t>
      </w:r>
    </w:p>
    <w:p>
      <w:pPr>
        <w:pStyle w:val="TextBody"/>
        <w:bidi w:val="0"/>
        <w:spacing w:before="0" w:after="0"/>
        <w:ind w:left="0" w:right="0" w:hanging="0"/>
        <w:jc w:val="both"/>
        <w:rPr>
          <w:caps w:val="false"/>
          <w:smallCaps w:val="false"/>
        </w:rPr>
      </w:pPr>
      <w:r>
        <w:rPr>
          <w:caps w:val="false"/>
          <w:smallCaps w:val="false"/>
        </w:rPr>
        <w:t> </w:t>
      </w:r>
      <w:bookmarkStart w:id="2692" w:name="xdx_8B2_z42DFjapmsR3"/>
      <w:bookmarkEnd w:id="2692"/>
      <w:r>
        <w:rPr>
          <w:rFonts w:ascii="Times New Roman;Times;Serif" w:hAnsi="Times New Roman;Times;Serif"/>
          <w:b w:val="false"/>
          <w:i w:val="false"/>
          <w:caps w:val="false"/>
          <w:smallCaps w:val="false"/>
          <w:sz w:val="20"/>
        </w:rPr>
        <w:t>Schedule of Activity of Stock Option Plans</w:t>
      </w:r>
    </w:p>
    <w:tbl>
      <w:tblPr>
        <w:tblW w:w="10205" w:type="dxa"/>
        <w:jc w:val="left"/>
        <w:tblInd w:w="0" w:type="dxa"/>
        <w:tblLayout w:type="fixed"/>
        <w:tblCellMar>
          <w:top w:w="0" w:type="dxa"/>
          <w:left w:w="0" w:type="dxa"/>
          <w:bottom w:w="0" w:type="dxa"/>
          <w:right w:w="0" w:type="dxa"/>
        </w:tblCellMar>
      </w:tblPr>
      <w:tblGrid>
        <w:gridCol w:w="3642"/>
        <w:gridCol w:w="60"/>
        <w:gridCol w:w="140"/>
        <w:gridCol w:w="949"/>
        <w:gridCol w:w="80"/>
        <w:gridCol w:w="60"/>
        <w:gridCol w:w="474"/>
        <w:gridCol w:w="1449"/>
        <w:gridCol w:w="60"/>
        <w:gridCol w:w="60"/>
        <w:gridCol w:w="140"/>
        <w:gridCol w:w="949"/>
        <w:gridCol w:w="80"/>
        <w:gridCol w:w="60"/>
        <w:gridCol w:w="474"/>
        <w:gridCol w:w="1449"/>
        <w:gridCol w:w="79"/>
      </w:tblGrid>
      <w:tr>
        <w:trPr/>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A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C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 (2)</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93" w:name="xdx_98C_eus-gaap--ShareBasedCompensation"/>
            <w:bookmarkEnd w:id="2693"/>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94" w:name="xdx_981_eus-gaap--ShareBasedCompensation"/>
            <w:bookmarkEnd w:id="2694"/>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95" w:name="xdx_98E_eus-gaap--ShareBasedCompensation"/>
            <w:bookmarkEnd w:id="2695"/>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96" w:name="xdx_983_eus-gaap--ShareBasedCompensation"/>
            <w:bookmarkEnd w:id="2696"/>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for the effect of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97" w:name="xdx_988_ecustom--AdjustmentForEffectOfSt"/>
            <w:bookmarkEnd w:id="2697"/>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98" w:name="xdx_989_ecustom--AdjustmentForEffectOfSt"/>
            <w:bookmarkEnd w:id="2698"/>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99" w:name="xdx_98B_eus-gaap--ShareBasedCompensation"/>
            <w:bookmarkEnd w:id="2699"/>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00" w:name="xdx_983_eus-gaap--ShareBasedCompensation"/>
            <w:bookmarkEnd w:id="2700"/>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01" w:name="xdx_98F_eus-gaap--StockIssuedDuringPerio"/>
            <w:bookmarkEnd w:id="2701"/>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02" w:name="xdx_98D_eus-gaap--StockIssuedDuringPerio"/>
            <w:bookmarkEnd w:id="2702"/>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03" w:name="xdx_981_eus-gaap--ShareBasedCompensation"/>
            <w:bookmarkEnd w:id="2703"/>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04" w:name="xdx_981_eus-gaap--ShareBasedCompensation"/>
            <w:bookmarkEnd w:id="2704"/>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05" w:name="xdx_987_eus-gaap--ShareBasedCompensation"/>
            <w:bookmarkEnd w:id="2705"/>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06" w:name="xdx_988_eus-gaap--ShareBasedCompensation"/>
            <w:bookmarkEnd w:id="2706"/>
          </w:p>
        </w:tc>
        <w:tc>
          <w:tcPr>
            <w:tcW w:w="14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07" w:name="xdx_98D_eus-gaap--ShareBasedCompensation"/>
            <w:bookmarkEnd w:id="2707"/>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08" w:name="xdx_985_eus-gaap--ShareBasedCompensation"/>
            <w:bookmarkEnd w:id="2708"/>
          </w:p>
        </w:tc>
        <w:tc>
          <w:tcPr>
            <w:tcW w:w="14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09" w:name="xdx_982_eus-gaap--ShareBasedCompensation"/>
            <w:bookmarkEnd w:id="2709"/>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10" w:name="xdx_982_eus-gaap--ShareBasedCompensation"/>
            <w:bookmarkEnd w:id="2710"/>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11" w:name="xdx_981_eus-gaap--ShareBasedCompensation"/>
            <w:bookmarkEnd w:id="2711"/>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12" w:name="xdx_98F_eus-gaap--ShareBasedCompensation"/>
            <w:bookmarkEnd w:id="2712"/>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options for future grant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13" w:name="xdx_986_eus-gaap--ShareBasedCompensation"/>
            <w:bookmarkEnd w:id="2713"/>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14" w:name="xdx_98D_eus-gaap--ShareBasedCompensation"/>
            <w:bookmarkEnd w:id="2714"/>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contractual term of options outstanding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15" w:name="xdx_906_eus-gaap--SharebasedCompensation"/>
            <w:bookmarkEnd w:id="2715"/>
            <w:r>
              <w:rPr>
                <w:rFonts w:ascii="Times New Roman;Times;Serif" w:hAnsi="Times New Roman;Times;Serif"/>
                <w:b w:val="false"/>
                <w:i w:val="false"/>
                <w:caps w:val="false"/>
                <w:smallCaps w:val="false"/>
                <w:sz w:val="20"/>
              </w:rPr>
              <w:t>6.49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16" w:name="xdx_902_eus-gaap--SharebasedCompensation"/>
            <w:bookmarkEnd w:id="2716"/>
            <w:r>
              <w:rPr>
                <w:rFonts w:ascii="Times New Roman;Times;Serif" w:hAnsi="Times New Roman;Times;Serif"/>
                <w:b w:val="false"/>
                <w:i w:val="false"/>
                <w:caps w:val="false"/>
                <w:smallCaps w:val="false"/>
                <w:sz w:val="20"/>
              </w:rPr>
              <w:t>6.53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contractual term of options exercisable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17" w:name="xdx_906_eus-gaap--SharebasedCompensation"/>
            <w:bookmarkEnd w:id="2717"/>
            <w:r>
              <w:rPr>
                <w:rFonts w:ascii="Times New Roman;Times;Serif" w:hAnsi="Times New Roman;Times;Serif"/>
                <w:b w:val="false"/>
                <w:i w:val="false"/>
                <w:caps w:val="false"/>
                <w:smallCaps w:val="false"/>
                <w:sz w:val="20"/>
              </w:rPr>
              <w:t>5.89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18" w:name="xdx_903_eus-gaap--SharebasedCompensation"/>
            <w:bookmarkEnd w:id="2718"/>
            <w:r>
              <w:rPr>
                <w:rFonts w:ascii="Times New Roman;Times;Serif" w:hAnsi="Times New Roman;Times;Serif"/>
                <w:b w:val="false"/>
                <w:i w:val="false"/>
                <w:caps w:val="false"/>
                <w:smallCaps w:val="false"/>
                <w:sz w:val="20"/>
              </w:rPr>
              <w:t>6.10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 intrinsic value of options outstanding at June 30, 2026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19" w:name="xdx_98E_eus-gaap--ShareBasedCompensation"/>
            <w:bookmarkEnd w:id="2719"/>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0" w:name="xdx_982_eus-gaap--ShareBasedCompensation"/>
            <w:bookmarkEnd w:id="2720"/>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5,909,686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 intrinsic value of options exercisable at June 30, 2026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1" w:name="xdx_986_eus-gaap--SharebasedCompensation"/>
            <w:bookmarkEnd w:id="2721"/>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2" w:name="xdx_985_eus-gaap--SharebasedCompensation"/>
            <w:bookmarkEnd w:id="2722"/>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23" w:name="xdx_F08_zOcsheBeMGwc"/>
            <w:bookmarkEnd w:id="2723"/>
            <w:r>
              <w:rPr>
                <w:rFonts w:ascii="Times New Roman;Times;Serif" w:hAnsi="Times New Roman;Times;Serif"/>
                <w:b w:val="false"/>
                <w:i w:val="false"/>
                <w:caps w:val="false"/>
                <w:smallCaps w:val="false"/>
                <w:sz w:val="20"/>
              </w:rPr>
              <w:t xml:space="preserve">(1) </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24" w:name="xdx_F11_zd4MK4aPaYOg"/>
            <w:bookmarkEnd w:id="2724"/>
            <w:r>
              <w:rPr>
                <w:rFonts w:ascii="Times New Roman;Times;Serif" w:hAnsi="Times New Roman;Times;Serif"/>
                <w:b w:val="false"/>
                <w:i w:val="false"/>
                <w:caps w:val="false"/>
                <w:smallCaps w:val="false"/>
                <w:sz w:val="20"/>
              </w:rPr>
              <w:t>The Company used a stock price of $</w:t>
            </w:r>
            <w:bookmarkStart w:id="2725" w:name="xdx_902_eus-gaap--SharePrice_iI_pid_c202"/>
            <w:bookmarkEnd w:id="2725"/>
            <w:r>
              <w:rPr>
                <w:rFonts w:ascii="Times New Roman;Times;Serif" w:hAnsi="Times New Roman;Times;Serif"/>
                <w:b w:val="false"/>
                <w:i w:val="false"/>
                <w:caps w:val="false"/>
                <w:smallCaps w:val="false"/>
                <w:sz w:val="20"/>
              </w:rPr>
              <w:t>9.23 as of June 30, 2026 to derive intrinsic value.</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26" w:name="xdx_F0B_zcRWkUIC2j69"/>
            <w:bookmarkEnd w:id="2726"/>
            <w:r>
              <w:rPr>
                <w:rFonts w:ascii="Times New Roman;Times;Serif" w:hAnsi="Times New Roman;Times;Serif"/>
                <w:b w:val="false"/>
                <w:i w:val="false"/>
                <w:caps w:val="false"/>
                <w:smallCaps w:val="false"/>
                <w:sz w:val="20"/>
              </w:rPr>
              <w:t xml:space="preserve">(2) </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27" w:name="xdx_F13_zPBoLfg2utK6"/>
            <w:bookmarkEnd w:id="2727"/>
            <w:r>
              <w:rPr>
                <w:rFonts w:ascii="Times New Roman;Times;Serif" w:hAnsi="Times New Roman;Times;Serif"/>
                <w:b w:val="false"/>
                <w:i w:val="false"/>
                <w:caps w:val="false"/>
                <w:smallCaps w:val="false"/>
                <w:sz w:val="20"/>
              </w:rPr>
              <w:t>Adjusted for the effect of annual stock dividends.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Stock Compensation Plans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activity of the Plans during the six-month period ended June 30, 2025,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2"/>
        <w:gridCol w:w="60"/>
        <w:gridCol w:w="140"/>
        <w:gridCol w:w="949"/>
        <w:gridCol w:w="80"/>
        <w:gridCol w:w="60"/>
        <w:gridCol w:w="474"/>
        <w:gridCol w:w="1449"/>
        <w:gridCol w:w="60"/>
        <w:gridCol w:w="60"/>
        <w:gridCol w:w="140"/>
        <w:gridCol w:w="949"/>
        <w:gridCol w:w="80"/>
        <w:gridCol w:w="60"/>
        <w:gridCol w:w="474"/>
        <w:gridCol w:w="1449"/>
        <w:gridCol w:w="79"/>
      </w:tblGrid>
      <w:tr>
        <w:trPr/>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A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C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 (2)</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28" w:name="xdx_983_eus-gaap--ShareBasedCompensation"/>
            <w:bookmarkEnd w:id="2728"/>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9" w:name="xdx_980_eus-gaap--ShareBasedCompensation"/>
            <w:bookmarkEnd w:id="2729"/>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30" w:name="xdx_98D_eus-gaap--ShareBasedCompensation"/>
            <w:bookmarkEnd w:id="2730"/>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31" w:name="xdx_98E_eus-gaap--ShareBasedCompensation"/>
            <w:bookmarkEnd w:id="2731"/>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for the effect of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32" w:name="xdx_98D_ecustom--AdjustmentForEffectOfSt"/>
            <w:bookmarkEnd w:id="2732"/>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33" w:name="xdx_98F_ecustom--AdjustmentForEffectOfSt"/>
            <w:bookmarkEnd w:id="2733"/>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34" w:name="xdx_988_eus-gaap--ShareBasedCompensation"/>
            <w:bookmarkEnd w:id="2734"/>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35" w:name="xdx_984_eus-gaap--ShareBasedCompensation"/>
            <w:bookmarkEnd w:id="2735"/>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36" w:name="xdx_982_eus-gaap--StockIssuedDuringPerio"/>
            <w:bookmarkEnd w:id="2736"/>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37" w:name="xdx_98C_eus-gaap--StockIssuedDuringPerio"/>
            <w:bookmarkEnd w:id="2737"/>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38" w:name="xdx_988_eus-gaap--ShareBasedCompensation"/>
            <w:bookmarkEnd w:id="2738"/>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39" w:name="xdx_98A_eus-gaap--ShareBasedCompensation"/>
            <w:bookmarkEnd w:id="2739"/>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0" w:name="xdx_982_eus-gaap--ShareBasedCompensation"/>
            <w:bookmarkEnd w:id="2740"/>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1" w:name="xdx_989_eus-gaap--ShareBasedCompensation"/>
            <w:bookmarkEnd w:id="2741"/>
          </w:p>
        </w:tc>
        <w:tc>
          <w:tcPr>
            <w:tcW w:w="14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2" w:name="xdx_98C_eus-gaap--ShareBasedCompensation"/>
            <w:bookmarkEnd w:id="2742"/>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1,691,948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3" w:name="xdx_98F_eus-gaap--ShareBasedCompensation"/>
            <w:bookmarkEnd w:id="2743"/>
          </w:p>
        </w:tc>
        <w:tc>
          <w:tcPr>
            <w:tcW w:w="14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4" w:name="xdx_989_eus-gaap--ShareBasedCompensation"/>
            <w:bookmarkEnd w:id="2744"/>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5" w:name="xdx_98B_eus-gaap--ShareBasedCompensation"/>
            <w:bookmarkEnd w:id="2745"/>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6" w:name="xdx_98C_eus-gaap--ShareBasedCompensation"/>
            <w:bookmarkEnd w:id="2746"/>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7" w:name="xdx_98C_eus-gaap--ShareBasedCompensation"/>
            <w:bookmarkEnd w:id="2747"/>
          </w:p>
        </w:tc>
        <w:tc>
          <w:tcPr>
            <w:tcW w:w="14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options for future grant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8" w:name="xdx_987_eus-gaap--ShareBasedCompensation"/>
            <w:bookmarkEnd w:id="2748"/>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49" w:name="xdx_989_eus-gaap--ShareBasedCompensation"/>
            <w:bookmarkEnd w:id="2749"/>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contractual term of options outstanding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50" w:name="xdx_902_eus-gaap--SharebasedCompensation"/>
            <w:bookmarkEnd w:id="2750"/>
            <w:r>
              <w:rPr>
                <w:rFonts w:ascii="Times New Roman;Times;Serif" w:hAnsi="Times New Roman;Times;Serif"/>
                <w:b w:val="false"/>
                <w:i w:val="false"/>
                <w:caps w:val="false"/>
                <w:smallCaps w:val="false"/>
                <w:sz w:val="20"/>
              </w:rPr>
              <w:t>5.30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51" w:name="xdx_901_eus-gaap--SharebasedCompensation"/>
            <w:bookmarkEnd w:id="2751"/>
            <w:r>
              <w:rPr>
                <w:rFonts w:ascii="Times New Roman;Times;Serif" w:hAnsi="Times New Roman;Times;Serif"/>
                <w:b w:val="false"/>
                <w:i w:val="false"/>
                <w:caps w:val="false"/>
                <w:smallCaps w:val="false"/>
                <w:sz w:val="20"/>
              </w:rPr>
              <w:t>6.39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contractual term of options exercisable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52" w:name="xdx_908_eus-gaap--SharebasedCompensation"/>
            <w:bookmarkEnd w:id="2752"/>
            <w:r>
              <w:rPr>
                <w:rFonts w:ascii="Times New Roman;Times;Serif" w:hAnsi="Times New Roman;Times;Serif"/>
                <w:b w:val="false"/>
                <w:i w:val="false"/>
                <w:caps w:val="false"/>
                <w:smallCaps w:val="false"/>
                <w:sz w:val="20"/>
              </w:rPr>
              <w:t>4.99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53" w:name="xdx_903_eus-gaap--SharebasedCompensation"/>
            <w:bookmarkEnd w:id="2753"/>
            <w:r>
              <w:rPr>
                <w:rFonts w:ascii="Times New Roman;Times;Serif" w:hAnsi="Times New Roman;Times;Serif"/>
                <w:b w:val="false"/>
                <w:i w:val="false"/>
                <w:caps w:val="false"/>
                <w:smallCaps w:val="false"/>
                <w:sz w:val="20"/>
              </w:rPr>
              <w:t>6.11 years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 intrinsic value of options outstanding at June 30, 2025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54" w:name="xdx_98A_eus-gaap--ShareBasedCompensation"/>
            <w:bookmarkEnd w:id="2754"/>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55" w:name="xdx_988_eus-gaap--ShareBasedCompensation"/>
            <w:bookmarkEnd w:id="2755"/>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 intrinsic value of options exercisable at June 30, 2025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56" w:name="xdx_98B_eus-gaap--SharebasedCompensation"/>
            <w:bookmarkEnd w:id="2756"/>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1,933,277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57" w:name="xdx_986_eus-gaap--SharebasedCompensation"/>
            <w:bookmarkEnd w:id="2757"/>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3,780,038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58" w:name="xdx_F08_zUtNtOQesyLl"/>
            <w:bookmarkEnd w:id="2758"/>
            <w:r>
              <w:rPr>
                <w:rFonts w:ascii="Times New Roman;Times;Serif" w:hAnsi="Times New Roman;Times;Serif"/>
                <w:b w:val="false"/>
                <w:i w:val="false"/>
                <w:caps w:val="false"/>
                <w:smallCaps w:val="false"/>
                <w:sz w:val="20"/>
              </w:rPr>
              <w:t xml:space="preserve">(1) </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59" w:name="xdx_F1A_zz0YWo7uGq68"/>
            <w:bookmarkEnd w:id="2759"/>
            <w:r>
              <w:rPr>
                <w:rFonts w:ascii="Times New Roman;Times;Serif" w:hAnsi="Times New Roman;Times;Serif"/>
                <w:b w:val="false"/>
                <w:i w:val="false"/>
                <w:caps w:val="false"/>
                <w:smallCaps w:val="false"/>
                <w:sz w:val="20"/>
              </w:rPr>
              <w:t>The Company used a stock price of $</w:t>
            </w:r>
            <w:bookmarkStart w:id="2760" w:name="xdx_903_eus-gaap--SharePrice_iI_pid_c202"/>
            <w:bookmarkEnd w:id="2760"/>
            <w:r>
              <w:rPr>
                <w:rFonts w:ascii="Times New Roman;Times;Serif" w:hAnsi="Times New Roman;Times;Serif"/>
                <w:b w:val="false"/>
                <w:i w:val="false"/>
                <w:caps w:val="false"/>
                <w:smallCaps w:val="false"/>
                <w:sz w:val="20"/>
              </w:rPr>
              <w:t>9.02 as of June 30, 2025 to derive intrinsic value.</w:t>
            </w:r>
          </w:p>
        </w:tc>
      </w:tr>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61" w:name="xdx_F0F_zXwdndUciOR9"/>
            <w:bookmarkEnd w:id="2761"/>
            <w:r>
              <w:rPr>
                <w:rFonts w:ascii="Times New Roman;Times;Serif" w:hAnsi="Times New Roman;Times;Serif"/>
                <w:b w:val="false"/>
                <w:i w:val="false"/>
                <w:caps w:val="false"/>
                <w:smallCaps w:val="false"/>
                <w:sz w:val="20"/>
              </w:rPr>
              <w:t xml:space="preserve">(2) </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62" w:name="xdx_F11_zOzuUDAinTyb"/>
            <w:bookmarkEnd w:id="2762"/>
            <w:r>
              <w:rPr>
                <w:rFonts w:ascii="Times New Roman;Times;Serif" w:hAnsi="Times New Roman;Times;Serif"/>
                <w:b w:val="false"/>
                <w:i w:val="false"/>
                <w:caps w:val="false"/>
                <w:smallCaps w:val="false"/>
                <w:sz w:val="20"/>
              </w:rPr>
              <w:t>Adjusted for the effect of annual stock dividends.</w:t>
            </w:r>
          </w:p>
        </w:tc>
      </w:tr>
    </w:tbl>
    <w:p>
      <w:pPr>
        <w:pStyle w:val="TextBody"/>
        <w:bidi w:val="0"/>
        <w:spacing w:before="0" w:after="0"/>
        <w:ind w:left="0" w:right="0" w:hanging="0"/>
        <w:jc w:val="both"/>
        <w:rPr>
          <w:caps w:val="false"/>
          <w:smallCaps w:val="false"/>
        </w:rPr>
      </w:pPr>
      <w:bookmarkStart w:id="2763" w:name="xdx_8A8_zgZm6Mj2OR78"/>
      <w:bookmarkEnd w:id="27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intrinsic value (which is the amount by which the fair value of the underlying stock exceeds the exercise price of an option on the exercise date) of stock options exercised during the six-month periods ended June 30, 2026, and 2025 were $</w:t>
      </w:r>
      <w:bookmarkStart w:id="2764" w:name="xdx_909_eus-gaap--ShareBasedCompensation"/>
      <w:bookmarkEnd w:id="2764"/>
      <w:r>
        <w:rPr>
          <w:rFonts w:ascii="Times New Roman;Times;Serif" w:hAnsi="Times New Roman;Times;Serif"/>
          <w:b w:val="false"/>
          <w:i w:val="false"/>
          <w:caps w:val="false"/>
          <w:smallCaps w:val="false"/>
          <w:sz w:val="20"/>
        </w:rPr>
        <w:t>269,074 and $</w:t>
      </w:r>
      <w:bookmarkStart w:id="2765" w:name="xdx_90D_eus-gaap--ShareBasedCompensation"/>
      <w:bookmarkEnd w:id="2765"/>
      <w:r>
        <w:rPr>
          <w:rFonts w:ascii="Times New Roman;Times;Serif" w:hAnsi="Times New Roman;Times;Serif"/>
          <w:b w:val="false"/>
          <w:i w:val="false"/>
          <w:caps w:val="false"/>
          <w:smallCaps w:val="false"/>
          <w:sz w:val="20"/>
        </w:rPr>
        <w:t>1,357,776,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Stock Compensation Plans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for RSUs issued of $</w:t>
      </w:r>
      <w:bookmarkStart w:id="2766" w:name="xdx_903_eus-gaap--AllocatedShareBasedCom"/>
      <w:bookmarkEnd w:id="2766"/>
      <w:r>
        <w:rPr>
          <w:rFonts w:ascii="Times New Roman;Times;Serif" w:hAnsi="Times New Roman;Times;Serif"/>
          <w:b w:val="false"/>
          <w:i w:val="false"/>
          <w:caps w:val="false"/>
          <w:smallCaps w:val="false"/>
          <w:sz w:val="20"/>
        </w:rPr>
        <w:t>7,071 and $</w:t>
      </w:r>
      <w:bookmarkStart w:id="2767" w:name="xdx_907_eus-gaap--AllocatedShareBasedCom"/>
      <w:bookmarkEnd w:id="2767"/>
      <w:r>
        <w:rPr>
          <w:rFonts w:ascii="Times New Roman;Times;Serif" w:hAnsi="Times New Roman;Times;Serif"/>
          <w:b w:val="false"/>
          <w:i w:val="false"/>
          <w:caps w:val="false"/>
          <w:smallCaps w:val="false"/>
          <w:sz w:val="20"/>
        </w:rPr>
        <w:t>9,949 has been recognized under these plans for the three-month periods ended June 30, 2026, and 2025, respectively, of $</w:t>
      </w:r>
      <w:bookmarkStart w:id="2768" w:name="xdx_902_eus-gaap--AllocatedShareBasedCom"/>
      <w:bookmarkEnd w:id="2768"/>
      <w:r>
        <w:rPr>
          <w:rFonts w:ascii="Times New Roman;Times;Serif" w:hAnsi="Times New Roman;Times;Serif"/>
          <w:b w:val="false"/>
          <w:i w:val="false"/>
          <w:caps w:val="false"/>
          <w:smallCaps w:val="false"/>
          <w:sz w:val="20"/>
        </w:rPr>
        <w:t>12,503 and $</w:t>
      </w:r>
      <w:bookmarkStart w:id="2769" w:name="xdx_90F_eus-gaap--AllocatedShareBasedCom"/>
      <w:bookmarkEnd w:id="2769"/>
      <w:r>
        <w:rPr>
          <w:rFonts w:ascii="Times New Roman;Times;Serif" w:hAnsi="Times New Roman;Times;Serif"/>
          <w:b w:val="false"/>
          <w:i w:val="false"/>
          <w:caps w:val="false"/>
          <w:smallCaps w:val="false"/>
          <w:sz w:val="20"/>
        </w:rPr>
        <w:t>19,936 has been recognized under these plans for the six-month periods ended June 30, 2026, and 2025, respectively, and is included in personnel expenses on the condensed consolidated statements of earnings. The fair value of each RSU granted is determined by the Company’s stock price on the date of the grant. As of June 30, 2026, the total unrecognized compensation expense related to the RSUs issued was $</w:t>
      </w:r>
      <w:bookmarkStart w:id="2770" w:name="xdx_905_eus-gaap--EmployeeServiceShareBa"/>
      <w:bookmarkEnd w:id="2770"/>
      <w:r>
        <w:rPr>
          <w:rFonts w:ascii="Times New Roman;Times;Serif" w:hAnsi="Times New Roman;Times;Serif"/>
          <w:b w:val="false"/>
          <w:i w:val="false"/>
          <w:caps w:val="false"/>
          <w:smallCaps w:val="false"/>
          <w:sz w:val="20"/>
        </w:rPr>
        <w:t>14,123, which is expected to be recognized over the remaining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71" w:name="xdx_89B_eus-gaap--ScheduleOfShareBasedCo"/>
      <w:bookmarkEnd w:id="2771"/>
      <w:r>
        <w:rPr>
          <w:rFonts w:ascii="Times New Roman;Times;Serif" w:hAnsi="Times New Roman;Times;Serif"/>
          <w:b w:val="false"/>
          <w:i w:val="false"/>
          <w:caps w:val="false"/>
          <w:smallCaps w:val="false"/>
          <w:sz w:val="20"/>
        </w:rPr>
        <w:t>Activity of the RSUs during the six-month period ended June 30, 2026, is summarized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72" w:name="xdx_8B7_zxSxYrvO9DOe"/>
      <w:bookmarkEnd w:id="2772"/>
      <w:r>
        <w:rPr>
          <w:rFonts w:ascii="Times New Roman;Times;Serif" w:hAnsi="Times New Roman;Times;Serif"/>
          <w:b w:val="false"/>
          <w:i w:val="false"/>
          <w:caps w:val="false"/>
          <w:smallCaps w:val="false"/>
          <w:sz w:val="20"/>
        </w:rPr>
        <w:t>Schedule of Activity Restricted Stock Units </w:t>
      </w:r>
    </w:p>
    <w:tbl>
      <w:tblPr>
        <w:tblW w:w="7593" w:type="dxa"/>
        <w:jc w:val="left"/>
        <w:tblInd w:w="0" w:type="dxa"/>
        <w:tblLayout w:type="fixed"/>
        <w:tblCellMar>
          <w:top w:w="0" w:type="dxa"/>
          <w:left w:w="0" w:type="dxa"/>
          <w:bottom w:w="0" w:type="dxa"/>
          <w:right w:w="0" w:type="dxa"/>
        </w:tblCellMar>
      </w:tblPr>
      <w:tblGrid>
        <w:gridCol w:w="2780"/>
        <w:gridCol w:w="60"/>
        <w:gridCol w:w="95"/>
        <w:gridCol w:w="1109"/>
        <w:gridCol w:w="80"/>
        <w:gridCol w:w="60"/>
        <w:gridCol w:w="822"/>
        <w:gridCol w:w="2512"/>
        <w:gridCol w:w="75"/>
      </w:tblGrid>
      <w:tr>
        <w:trPr/>
        <w:tc>
          <w:tcPr>
            <w:tcW w:w="27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A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73" w:name="xdx_98D_eus-gaap--ShareBasedCompensation"/>
            <w:bookmarkEnd w:id="2773"/>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74" w:name="xdx_986_eus-gaap--ShareBasedCompensation"/>
            <w:bookmarkEnd w:id="2774"/>
          </w:p>
        </w:tc>
        <w:tc>
          <w:tcPr>
            <w:tcW w:w="2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75" w:name="xdx_987_eus-gaap--ShareBasedCompensation"/>
            <w:bookmarkEnd w:id="2775"/>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76" w:name="xdx_98B_eus-gaap--ShareBasedCompensation"/>
            <w:bookmarkEnd w:id="2776"/>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77" w:name="xdx_989_eus-gaap--ShareBasedCompensation"/>
            <w:bookmarkEnd w:id="2777"/>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78" w:name="xdx_98D_eus-gaap--ShareBasedCompensation"/>
            <w:bookmarkEnd w:id="2778"/>
          </w:p>
        </w:tc>
        <w:tc>
          <w:tcPr>
            <w:tcW w:w="2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RSUs for future grant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79" w:name="xdx_983_eus-gaap--ShareBasedCompensation"/>
            <w:bookmarkEnd w:id="2779"/>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of the RSUs during the six-month period ended June 30, 2025, is summarized as follows:</w:t>
      </w:r>
    </w:p>
    <w:p>
      <w:pPr>
        <w:pStyle w:val="TextBody"/>
        <w:bidi w:val="0"/>
        <w:spacing w:before="0" w:after="0"/>
        <w:ind w:left="0" w:right="0" w:hanging="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2780"/>
        <w:gridCol w:w="60"/>
        <w:gridCol w:w="95"/>
        <w:gridCol w:w="1109"/>
        <w:gridCol w:w="80"/>
        <w:gridCol w:w="60"/>
        <w:gridCol w:w="683"/>
        <w:gridCol w:w="2651"/>
        <w:gridCol w:w="75"/>
      </w:tblGrid>
      <w:tr>
        <w:trPr/>
        <w:tc>
          <w:tcPr>
            <w:tcW w:w="27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Class A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80" w:name="xdx_982_eus-gaap--ShareBasedCompensation"/>
            <w:bookmarkEnd w:id="2780"/>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81" w:name="xdx_988_eus-gaap--ShareBasedCompensation"/>
            <w:bookmarkEnd w:id="2781"/>
          </w:p>
        </w:tc>
        <w:tc>
          <w:tcPr>
            <w:tcW w:w="2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82" w:name="xdx_98F_eus-gaap--ShareBasedCompensation"/>
            <w:bookmarkEnd w:id="2782"/>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83" w:name="xdx_988_eus-gaap--ShareBasedCompensation"/>
            <w:bookmarkEnd w:id="2783"/>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84" w:name="xdx_983_eus-gaap--ShareBasedCompensation"/>
            <w:bookmarkEnd w:id="2784"/>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85" w:name="xdx_988_eus-gaap--ShareBasedCompensation"/>
            <w:bookmarkEnd w:id="2785"/>
          </w:p>
        </w:tc>
        <w:tc>
          <w:tcPr>
            <w:tcW w:w="26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RSUs for future grant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86" w:name="xdx_986_eus-gaap--ShareBasedCompensation"/>
            <w:bookmarkEnd w:id="2786"/>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787" w:name="xdx_8A8_zl3QG4Ph7kua"/>
      <w:bookmarkEnd w:id="278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88" w:name="xdx_800_eus-gaap--CommitmentsAndContinge"/>
      <w:bookmarkEnd w:id="2788"/>
      <w:r>
        <w:rPr>
          <w:rFonts w:ascii="Times New Roman;Times;Serif" w:hAnsi="Times New Roman;Times;Serif"/>
          <w:b w:val="false"/>
          <w:i w:val="false"/>
          <w:caps w:val="false"/>
          <w:smallCaps w:val="false"/>
          <w:sz w:val="20"/>
        </w:rPr>
        <w:t xml:space="preserve">19) </w:t>
      </w:r>
      <w:bookmarkStart w:id="2789" w:name="xdx_820_zLIaBMherCw3"/>
      <w:bookmarkStart w:id="2790" w:name="f6k_024"/>
      <w:bookmarkEnd w:id="2789"/>
      <w:bookmarkEnd w:id="2790"/>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Mortgage Loan Loss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loan losses can be extremely difficult to estimate. However, the Company believes that the Company’s reserve methodology and its current practice of property preservation allow it to estimate its potential losses on loans sold. See Note 3 to the condensed consolidated financial statements for additional information about the Company’s loan loss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Covenants for Mortgage Warehouse Lines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subsidiary SecurityNational Mortgage, has three lines of credit agreements for funding mortgage loans held for sale: one through U.S. Bank, a second through Western Alliance Bank, and a third through JPMorgan Chase Bank. The Company anticipates renewing all agreements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Bank warehouse line of credit agreement allows SecurityNational Mortgage to borrow up to $</w:t>
      </w:r>
      <w:bookmarkStart w:id="2791" w:name="xdx_909_eus-gaap--LineOfCreditFacilityMa"/>
      <w:bookmarkEnd w:id="2791"/>
      <w:r>
        <w:rPr>
          <w:rFonts w:ascii="Times New Roman;Times;Serif" w:hAnsi="Times New Roman;Times;Serif"/>
          <w:b w:val="false"/>
          <w:i w:val="false"/>
          <w:caps w:val="false"/>
          <w:smallCaps w:val="false"/>
          <w:sz w:val="20"/>
        </w:rPr>
        <w:t xml:space="preserve">15,000,000. The relevant agreement </w:t>
      </w:r>
      <w:bookmarkStart w:id="2792" w:name="xdx_901_eus-gaap--DebtInstrumentInterest"/>
      <w:bookmarkEnd w:id="2792"/>
      <w:r>
        <w:rPr>
          <w:rFonts w:ascii="Times New Roman;Times;Serif" w:hAnsi="Times New Roman;Times;Serif"/>
          <w:b w:val="false"/>
          <w:i w:val="false"/>
          <w:caps w:val="false"/>
          <w:smallCaps w:val="false"/>
          <w:sz w:val="20"/>
        </w:rPr>
        <w:t xml:space="preserve">contemplates interest at 2.10% plus the greater of (i) 0%, and (ii) the one-month forward-looking term rate based on SOFR on drawn amounts and matures on </w:t>
      </w:r>
      <w:bookmarkStart w:id="2793" w:name="xdx_90B_eus-gaap--LineOfCreditFacilityEx"/>
      <w:bookmarkEnd w:id="2793"/>
      <w:r>
        <w:rPr>
          <w:rFonts w:ascii="Times New Roman;Times;Serif" w:hAnsi="Times New Roman;Times;Serif"/>
          <w:b w:val="false"/>
          <w:i w:val="false"/>
          <w:caps w:val="false"/>
          <w:smallCaps w:val="false"/>
          <w:sz w:val="20"/>
        </w:rPr>
        <w:t>October 29, 2026. The Company is required to comply with covenants for adjusted tangible net worth, unrestricted cash balance, and a minimum net income of $</w:t>
      </w:r>
      <w:bookmarkStart w:id="2794" w:name="xdx_908_ecustom--MinimumPretaxLoss_iI_c2"/>
      <w:bookmarkEnd w:id="2794"/>
      <w:r>
        <w:rPr>
          <w:rFonts w:ascii="Times New Roman;Times;Serif" w:hAnsi="Times New Roman;Times;Serif"/>
          <w:b w:val="false"/>
          <w:i w:val="false"/>
          <w:caps w:val="false"/>
          <w:smallCaps w:val="false"/>
          <w:sz w:val="20"/>
        </w:rPr>
        <w:t>1 for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Western Alliance Bank warehouse line of credit agreement allows SecurityNational Mortgage to borrow up to $</w:t>
      </w:r>
      <w:bookmarkStart w:id="2795" w:name="xdx_909_eus-gaap--LineOfCreditFacilityMa"/>
      <w:bookmarkEnd w:id="2795"/>
      <w:r>
        <w:rPr>
          <w:rFonts w:ascii="Times New Roman;Times;Serif" w:hAnsi="Times New Roman;Times;Serif"/>
          <w:b w:val="false"/>
          <w:i w:val="false"/>
          <w:caps w:val="false"/>
          <w:smallCaps w:val="false"/>
          <w:sz w:val="20"/>
        </w:rPr>
        <w:t xml:space="preserve">25,000,000. The relevant agreement </w:t>
      </w:r>
      <w:bookmarkStart w:id="2796" w:name="xdx_900_eus-gaap--DebtInstrumentInterest"/>
      <w:bookmarkEnd w:id="2796"/>
      <w:r>
        <w:rPr>
          <w:rFonts w:ascii="Times New Roman;Times;Serif" w:hAnsi="Times New Roman;Times;Serif"/>
          <w:b w:val="false"/>
          <w:i w:val="false"/>
          <w:caps w:val="false"/>
          <w:smallCaps w:val="false"/>
          <w:sz w:val="20"/>
        </w:rPr>
        <w:t xml:space="preserve">contemplates interest at the 1-Month SOFR rate plus 2.0% on drawn amounts and matures on </w:t>
      </w:r>
      <w:bookmarkStart w:id="2797" w:name="xdx_909_eus-gaap--LineOfCreditFacilityEx"/>
      <w:bookmarkEnd w:id="2797"/>
      <w:r>
        <w:rPr>
          <w:rFonts w:ascii="Times New Roman;Times;Serif" w:hAnsi="Times New Roman;Times;Serif"/>
          <w:b w:val="false"/>
          <w:i w:val="false"/>
          <w:caps w:val="false"/>
          <w:smallCaps w:val="false"/>
          <w:sz w:val="20"/>
        </w:rPr>
        <w:t>August 15, 2026. The Company is required to comply with covenants for adjusted tangible net worth, unrestricted cash balance, and a minimum net income of $</w:t>
      </w:r>
      <w:bookmarkStart w:id="2798" w:name="xdx_905_ecustom--MinimumPretaxLoss_iI_c2"/>
      <w:bookmarkEnd w:id="2798"/>
      <w:r>
        <w:rPr>
          <w:rFonts w:ascii="Times New Roman;Times;Serif" w:hAnsi="Times New Roman;Times;Serif"/>
          <w:b w:val="false"/>
          <w:i w:val="false"/>
          <w:caps w:val="false"/>
          <w:smallCaps w:val="false"/>
          <w:sz w:val="20"/>
        </w:rPr>
        <w:t>1 for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JPMorgan Chase Bank warehouse line of credit agreement allows SecurityNational Mortgage to borrow up to $</w:t>
      </w:r>
      <w:bookmarkStart w:id="2799" w:name="xdx_901_eus-gaap--LineOfCreditFacilityMa"/>
      <w:bookmarkEnd w:id="2799"/>
      <w:r>
        <w:rPr>
          <w:rFonts w:ascii="Times New Roman;Times;Serif" w:hAnsi="Times New Roman;Times;Serif"/>
          <w:b w:val="false"/>
          <w:i w:val="false"/>
          <w:caps w:val="false"/>
          <w:smallCaps w:val="false"/>
          <w:sz w:val="20"/>
        </w:rPr>
        <w:t xml:space="preserve">35,000,000. The relevant agreement </w:t>
      </w:r>
      <w:bookmarkStart w:id="2800" w:name="xdx_900_eus-gaap--DebtInstrumentInterest"/>
      <w:bookmarkEnd w:id="2800"/>
      <w:r>
        <w:rPr>
          <w:rFonts w:ascii="Times New Roman;Times;Serif" w:hAnsi="Times New Roman;Times;Serif"/>
          <w:b w:val="false"/>
          <w:i w:val="false"/>
          <w:caps w:val="false"/>
          <w:smallCaps w:val="false"/>
          <w:sz w:val="20"/>
        </w:rPr>
        <w:t xml:space="preserve">contemplates interest at the 1-Month SOFR rate plus 1.95% on drawn amounts and matures on </w:t>
      </w:r>
      <w:bookmarkStart w:id="2801" w:name="xdx_908_eus-gaap--LineOfCreditFacilityEx"/>
      <w:bookmarkEnd w:id="2801"/>
      <w:r>
        <w:rPr>
          <w:rFonts w:ascii="Times New Roman;Times;Serif" w:hAnsi="Times New Roman;Times;Serif"/>
          <w:b w:val="false"/>
          <w:i w:val="false"/>
          <w:caps w:val="false"/>
          <w:smallCaps w:val="false"/>
          <w:sz w:val="20"/>
        </w:rPr>
        <w:t>August 15, 2026. The Company is required to comply with covenants for adjusted tangible net worth, unrestricted cash balance, and a minimum pre-tax income of $</w:t>
      </w:r>
      <w:bookmarkStart w:id="2802" w:name="xdx_90F_ecustom--MinimumPretaxLoss_iI_c2"/>
      <w:bookmarkEnd w:id="2802"/>
      <w:r>
        <w:rPr>
          <w:rFonts w:ascii="Times New Roman;Times;Serif" w:hAnsi="Times New Roman;Times;Serif"/>
          <w:b w:val="false"/>
          <w:i w:val="false"/>
          <w:caps w:val="false"/>
          <w:smallCaps w:val="false"/>
          <w:sz w:val="20"/>
        </w:rPr>
        <w:t>1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SecurityNational Mortgage was in compliance with all covenants under its warehouse lines of credit.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NATIONAL FINANCIAL CORPORATION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Commitments and Contingencies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Covenants for Revolving Lines of Credit and Bank Loans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revolving line of credit agreement contains an annual “zero balance” covenant and quarterly segment financial statements. The Company is also subject to debt covenants under one of its real estate loans which require maintenance of a minimum consolidated operating cash flow ratio, minimum liquidity amounts, and minimum consolidated net worth value. In addition to these financial debt covenants, the Company is required to provide building specific financial statements and rent rolls for each of its real estate loans. As of June 30, 2026, the Company was in compliance with all debt covenants and required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Contingencies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pStyle w:val="TextBody"/>
        <w:bidi w:val="0"/>
        <w:spacing w:before="0" w:after="0"/>
        <w:ind w:left="0" w:right="0" w:hanging="0"/>
        <w:jc w:val="both"/>
        <w:rPr>
          <w:caps w:val="false"/>
          <w:smallCaps w:val="false"/>
        </w:rPr>
      </w:pPr>
      <w:bookmarkStart w:id="2803" w:name="xdx_819_zqAFCgSxOiCb"/>
      <w:bookmarkEnd w:id="28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20"/>
        <w:gridCol w:w="753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7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04" w:name="f6k_017"/>
            <w:bookmarkEnd w:id="2804"/>
            <w:r>
              <w:rPr>
                <w:rFonts w:ascii="Times New Roman;Times;Serif" w:hAnsi="Times New Roman;Times;Serif"/>
                <w:b/>
                <w:i w:val="false"/>
                <w:caps w:val="false"/>
                <w:smallCaps w:val="false"/>
                <w:sz w:val="20"/>
              </w:rPr>
              <w:t>Management’s Discussion and Analysis of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funeral home and cemetery business; and (iii) capitalizing on the housing market by originating mortgage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condensed financial results of the insurance operations for the three and six month periods ended June 30, 2026, and 2025. See Note 16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8"/>
        <w:gridCol w:w="60"/>
        <w:gridCol w:w="140"/>
        <w:gridCol w:w="664"/>
        <w:gridCol w:w="67"/>
        <w:gridCol w:w="67"/>
        <w:gridCol w:w="140"/>
        <w:gridCol w:w="664"/>
        <w:gridCol w:w="67"/>
        <w:gridCol w:w="67"/>
        <w:gridCol w:w="243"/>
        <w:gridCol w:w="1364"/>
        <w:gridCol w:w="233"/>
        <w:gridCol w:w="60"/>
        <w:gridCol w:w="125"/>
        <w:gridCol w:w="594"/>
        <w:gridCol w:w="60"/>
        <w:gridCol w:w="60"/>
        <w:gridCol w:w="125"/>
        <w:gridCol w:w="701"/>
        <w:gridCol w:w="60"/>
        <w:gridCol w:w="60"/>
        <w:gridCol w:w="243"/>
        <w:gridCol w:w="1364"/>
        <w:gridCol w:w="259"/>
      </w:tblGrid>
      <w:tr>
        <w:trPr/>
        <w:tc>
          <w:tcPr>
            <w:tcW w:w="27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8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br/>
              <w:t>(in thousands of dollars)</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w:t>
              <w:br/>
              <w:t>(in thousands of dollars)</w:t>
            </w:r>
          </w:p>
        </w:tc>
        <w:tc>
          <w:tcPr>
            <w:tcW w:w="2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2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15,692</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49,517</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53,353</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Profitability for the six-month period ended June 30, 2026 decreased due to (a) a $5,221,000 decrease in net investment income, (b) a $2,405,000 decrease in insurance premiums and other considerations, (c) a $283,000 decrease in other revenues, and (d) a $62,000 increase in amortization of deferred policy acquisition costs, which were partially offset by (i) a $2,266,000 increase in gains on investments and other assets, (ii) a $2,114,000 decrease in policyholder benefits and claims, (iii) a $892,000 decrease in selling, general and administrative expenses, (iv) a $571,000 decrease in income tax expense, (v) a $113,000 decrease in interest expense, (vi) a $57,000 decrease in intersegment expenses, and (vii) a $54,000 increase in intersegment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Funeral Home and Cemetery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funeral home services and products through its eleven funeral homes in Utah and four funeral homes in New Mexico. The Company also sells cemetery services, products and land (burial plots) through its five cemeteries in Utah, one cemetery in San Diego County, California, and one cemetery in Santa Fe, New Mexico. At-need funeral home and cemetery product sales and services are recognized as revenue when the services are performed or when the products are delivered. Pre-need funeral home and cemetery product sales and services are deferred until the merchandise is delivered, or services are performed. Revenue for pre-need cemetery land sales is recognized at the time of sale, and land is removed from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condensed financial results of the funeral home and cemetery operations for the three and six month periods ended June 30, 2026, and 2025. See Note 16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2"/>
        <w:gridCol w:w="60"/>
        <w:gridCol w:w="155"/>
        <w:gridCol w:w="602"/>
        <w:gridCol w:w="74"/>
        <w:gridCol w:w="74"/>
        <w:gridCol w:w="155"/>
        <w:gridCol w:w="602"/>
        <w:gridCol w:w="74"/>
        <w:gridCol w:w="74"/>
        <w:gridCol w:w="248"/>
        <w:gridCol w:w="1390"/>
        <w:gridCol w:w="185"/>
        <w:gridCol w:w="60"/>
        <w:gridCol w:w="130"/>
        <w:gridCol w:w="621"/>
        <w:gridCol w:w="62"/>
        <w:gridCol w:w="62"/>
        <w:gridCol w:w="130"/>
        <w:gridCol w:w="621"/>
        <w:gridCol w:w="62"/>
        <w:gridCol w:w="62"/>
        <w:gridCol w:w="248"/>
        <w:gridCol w:w="1390"/>
        <w:gridCol w:w="262"/>
      </w:tblGrid>
      <w:tr>
        <w:trPr/>
        <w:tc>
          <w:tcPr>
            <w:tcW w:w="28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4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br/>
              <w:t>(in thousands of dollars)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8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w:t>
              <w:br/>
              <w:t>(in thousands of dollars)</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Cemetery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4,219</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8,366</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6,967</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0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Profitability in the six-month period ended June 30, 2026 increased due to (a) a $978,000 increase in gains on investments and other assets, (b) a $408,000 increase in cemetery pre-need sales, (c) a $306,000 increase in net investment income, (d) a $212,000 increase in funeral home at-need sales, (e) a $155,000 increase in cemetery at-need sales, (f) a $14,000 decrease in intersegment expenses, and (g) a $2,000 decrease in cost of goods and services sold, which were partially offset by (i) a $715,000 increase in selling, general and administrative expenses, primarily attributable to a $461,000 increase in personnel expenses, (ii) a $306,000 increase in income tax expense, (iii) a $184,000 increase in amortization of deferred policy acquisition costs, and (iv) a $19,000 decrease in 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Mortgage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SecurityNational Mortgage are funded through loan purchase agreements with Security National Life, Kilpatrick Life and unaffiliated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1.59% of its loan origination volume. These mortgage loans are serviced by either SecurityNational Mortgage or an approved third-party sub-servicer.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rates have followed the US Treasury yields in response to inflation and slowing new home sales. As expected, the lack of mortgage rate reductions has resulted in a decrease in loan originations classified as ‘refinance.’ Higher than anticipated mortgage rates have also had a negative effect on loan originations classified as ‘purchases’ although not as significant as those in the refinance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and 2025, SecurityNational Mortgage originated 3,011 loans ($1,036,088,000 total loan volume principal amount) and 3,375 loans ($1,134,783,000 total loan volume principal amount),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condensed financial results of the mortgage operations for the three and six month periods ended June 30, 2026, and 2025. See Note 16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4"/>
        <w:gridCol w:w="60"/>
        <w:gridCol w:w="133"/>
        <w:gridCol w:w="633"/>
        <w:gridCol w:w="85"/>
        <w:gridCol w:w="64"/>
        <w:gridCol w:w="133"/>
        <w:gridCol w:w="633"/>
        <w:gridCol w:w="85"/>
        <w:gridCol w:w="64"/>
        <w:gridCol w:w="200"/>
        <w:gridCol w:w="1324"/>
        <w:gridCol w:w="228"/>
        <w:gridCol w:w="60"/>
        <w:gridCol w:w="125"/>
        <w:gridCol w:w="595"/>
        <w:gridCol w:w="80"/>
        <w:gridCol w:w="60"/>
        <w:gridCol w:w="125"/>
        <w:gridCol w:w="595"/>
        <w:gridCol w:w="80"/>
        <w:gridCol w:w="60"/>
        <w:gridCol w:w="200"/>
        <w:gridCol w:w="1324"/>
        <w:gridCol w:w="255"/>
      </w:tblGrid>
      <w:tr>
        <w:trPr/>
        <w:tc>
          <w:tcPr>
            <w:tcW w:w="30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br/>
              <w:t>(in thousands of dollars)</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w:t>
              <w:br/>
              <w:t>(in thousands of dollars)</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 (Decrease)</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gains from investors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loan originations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loans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loan commitments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on investments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net earnings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for the six-month period ended June 30, 2026 decreased due to (a) a $4,189,000 decrease in personnel expenses, (b) a $3,579,000 decrease in commissions, (c) a $412,000 increase in the fair value of loan commitments, (d) a $332,000 decrease in rent and rent related expenses, (e) a $254,000 decrease in advertising expenses, (f) a $201,000 decrease in interest expense, (g) a $63,000 decrease in depreciation on property and equipment, (h) a $61,000 increase in net investment income, and (i) a $23,000 decrease in costs related to funding mortgage loans, which were partially offset by (i) a $3,830,000 decrease in secondary gains from investors, (ii) a $1,507,000 decrease in the fair value of loans held for sale, (iii) a $788,000 decrease in income tax benefit, (iv) a $291,000 increase in data processing and IT related expenses, (v) a $161,000 increase in other expenses, (vi) an $82,000 decrease in income from loan originations, (vii) a $69,000 increase in intersegment expenses, (viii) a $57,000 decrease in intersegment revenues, (ix) a $42,000 decrease in gains on investments and other assets, and (x) a $36,000 decrease in 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 June 30, 2026, Compared to Three-month period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decreased by $5,615,000, or 6.3%, to $83,926,000 for the three-month period ended June 30, 2026, from $89,541,000 for the comparable period in 2025. Contributing to this decrease in total revenues was a $4,152,000 decrease in net investment income, a $3,688,000 decrease in mortgage fee income, a $1,481,000 decrease in insurance premiums and other considerations, and a $74,000 decrease in other revenues, which were partially offset by a $3,438,000 increase in gains on investments and other assets and a $342,000 increase in net funeral home and cemetery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fee income decreased by $3,688,000, or 12.5%, to $25,797,000, for the three-month period ended June 30, 2026, from $29,485,000 for the comparable period in 2025. This decrease was primarily due to a $3,290,000 decrease in secondary gains from mortgage loans sold to third-party investors into the secondary market reflecting lower overall loan volume and less favorable pricing conditions, and a $638,000 decrease in income from loan originations, and a $498,000 decrease in the fair value of loan commitments, which were partially offset by a $738,000 increase in the fair value of loans held for sale.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 and other considerations decreased by $1,481,000, or 4.9%, to $28,705,000 for the three-month period ended June 30, 2026, from $30,186,000 for the comparable period in 2025. This decrease was primarily due to a decrease of $1,820,000 in first year premiums because of a decrease in sales, which was partially offset by an increase of $339,000 in renewal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decreased by $4,152,000, or 20.2%, to $16,429,000 for the three-month period ended June 30, 2026, from $20,581,000 for the comparable period in 2025. This decrease was primarily attributable to a $6,116,000 decrease in mortgage loan interest resulting from a decline in the average balance of the mortgage loan portfolio held for investment, a $260,000 decrease in insurance assignment income, a $59,000 decrease in fixed maturity securities income, a $26,000 decrease in policy loan interest, and a $14,000 decrease in equity securities income, which were partially offset by a $1,923,000 decrease in investment expenses, a $242,000 increase in interest on cash and cash equivalents, a $115,000 increase in other investment income, and a $41,000 increase in real estate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funeral home and cemetery sales increased by $342,000, or 4.7%, to $7,600,000 for the three-month period ended June 30, 2026, from $7,258,000 for the comparable period in 2025. This increase was primarily due to a $216,000 increase in funeral home at-need sales, a $104,000 increase in cemetery pre-need sales, and a $22,000 increase in cemetery at-need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 increased by $3,438,000 to $4,580,000 for the three-month period ended June 30, 2026, from $1,142,000 for the comparable period in 2025. This increase in gains on investments and other assets was primarily due to a $3,065,000 increase in gains on equity securities primarily attributable to increases in the fair value of these equity securities and a $628,000 increase in gains on real estate, which were partially offset by a $210,000 decrease in gains on fixed maturity securities and a $45,000 decrease in gains on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decreased by $74,000, or 8.3%, to $815,000 for the three-month period ended June 30, 2026, from $889,000 for the comparable period in 2025. This decrease was primarily due to a decrease of $74,000 in other miscellaneous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 decreased by $1,198,000 or 4.7%, to $24,317,000 for the three-month period ended June 30, 2026, from $25,515,000 for the comparable period in 2025. This decrease was primarily the result of a $941,000 decrease in future policy benefits and a $335,000 decrease in death benefits, which were partially offset by a $78,000 increase in surrender and other policy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 increased by $64,000, or 2.2%, to $2,938,000 for the three-month period ended June 30, 2026, from $2,874,000 for the comparable period in 2025. This increase is due to a $74,000 increase in the amortization of deferred policy and pre-need acquisition costs due to an increase in the average outstanding balance, which was partially offset by a $10,000 decrease in the amortization of value of business acquired due to no new deferrals and a decreasing average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decreased by $5,231,000, or 10.9%, to $42,730,000 for the three-month period ended June 30, 2026, from $47,961,000 for the comparable period in 2025. This decrease was primarily the result of a $3,148,000 decrease in commissions, a $1,665,000 decrease in personnel expenses, a $282,000 decrease in costs related to funding mortgage loans, a $210,000 decrease in advertising expense, a $151,000 decrease in rent and rent related expenses, and a $12,000 decrease in depreciation on property and equipment, which were partially offset by a $237,000 increase 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$189,000, or 14.6%, to $1,105,000 for the three-month period ended June 30, 2026, from $1,293,000 for the comparable period in 2025. This decrease was primarily due to a decrease of $98,000 in interest expense on bank loans and $91,000 in interest expense on mortgage warehouse lines of credit for loans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cost of goods and services sold increased by $18,000, or 1.6%, to $1,177,000 for the three-month period ended June 30, 2026, from $1,159,000 for the comparable period in 2025. This increase was primarily due to an increase of $22,000 in pre-need sales, which was partially offset by a decrease of $4,000 in at-need sales.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increased by $309,000, or 13.1%, to $2,677,000 for the three-month period ended June 30, 2026, from $2,368,000 for the comparable period in 2025. This increase was primarily due to an increase in earnings before income taxes for 2026 compared to 2025. The Company’s overall effective tax rate increased from 22.1% for 2025 to 23.0% in 2026, a 0.9% increase in the effective tax rate or a 4.1% change. This increase was primarily due to certain permanent tax adjustments that are higher when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 period ended June 30, 2026, Compared to Six-month period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decreased by $8,626,000, or 5.0%, to $163,655,000 for the six-month period ended June 30, 2026, from $172,281,000 for the comparable period in 2025. Contributing to this decrease in total revenues was a $5,007,000 decrease in mortgage fee income, a $4,853,000 decrease in net investment income, a $2,405,000 decrease in insurance premiums and other considerations, and a $338,000 decrease in other revenues, which were partially offset by a $3,202,000 increase in gains on investments and other assets and a $775,000 increase in net funeral home and cemetery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fee income decreased by $5,007,000, or 9.2%, to $49,287,000, for the six-month period ended June 30, 2026, from $54,294,000 for the comparable period in 2025. This decrease was primarily due to a $3,830,000 decrease in secondary gains from mortgage loans sold to third-party investors into the secondary market reflecting lower overall loan volume and less favorable pricing conditions, a $1,507,000 decrease in the fair value of loans held for sale, and an $82,000 decrease in income from loan originations, which were partially offset by a $412,000 increase in the fair value of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 and other considerations decreased by $2,405,000, or 4.0%, to $57,560,000 for the six-month period ended June 30, 2026, from $59,965,000 for the comparable period in 2025. This decrease was primarily due to a decrease of $2,785,000 in first year premiums because of a decrease in sales, which was partially offset by an increase of $380,000 in renewal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decreased by $4,853,000, or 12.2%, to $34,930,000 for the six-month period ended June 30, 2026, from $39,783,000 for the comparable period in 2025. This decrease was primarily attributable to a $5,806,000 decrease in mortgage loan interest resulting from a decline in the average balance of the mortgage loan portfolio held for investment, a $548,000 decrease in insurance assignment income, a $113,000 decrease in interest on cash and cash equivalents, a $29,000 decrease in policy loan interest, and an $11,000 decrease in fixed maturity securities income, which were partially offset by a $1,364,000 decrease in investment expenses, a $269,000 increase in other investment income, a $20,000 increase in real estate income, and a $1,000 increase in equity securities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funeral home and cemetery sales increased by $775,000, or 5.3%, to $15,333,000 for the six-month period ended June 30, 2026, from $14,558,000 for the comparable period in 2025. This increase was primarily due to a $408,000 increase in cemetery pre-need sales, a $212,000 increase in funeral home at-need sales, and a $155,000 increase in cemetery at-need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on investments and other assets increased by $3,202,000 to $4,931,000 for the six-month period ended June 30, 2026, from $1,729,000 for the comparable period in 2025. This increase in gains on investments and other assets was primarily due to a $2,639,000 increase in gains on equity securities primarily attributable to increases in the fair value of these equity securities, a $784,000 increase in gains on real estate, and a $10,000 increase in gains on other assets, which were partially offset by a $231,000 decrease in gains on fixed maturity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decreased by $338,000, or 17.3%, to $1,613,000 for the six-month period ended June 30, 2026, from $1,951,000 for the comparable period in 2025. This decrease was primarily due to a decrease of $338,000 in other miscellaneous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Policyholder benefits and claims decreased by $2,114,000 or 4.1%, to $48,857,000 for the six-month period ended June 30, 2026, from $50,971,000 for the comparable period in 2025. This decrease was primarily the result of a $1,619,000 decrease in future policy benefits, a $491,000 decrease in death benefits, and a $4,000 decrease in surrender and other policy benefits.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policy and pre-need acquisition costs and value of business acquired increased by $247,000, or 4.4%, to $5,917,000 for the six-month period ended June 30, 2026, from $5,670,000 for the comparable period in 2025. This increase is due to a $265,000 increase in the amortization of deferred policy and pre-need acquisition costs due to an increase in the average outstanding balance, which was partially offset by an $18,000 decrease in the amortization of value of business acquired due to no new deferrals and a decreasing average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decreased by $8,167,000, or 8.9%, to $83,658,000 for the six-month period ended June 30, 2026, from $91,825,000 for the comparable period in 2025. This decrease was primarily the result of a $4,793,000 decrease in commissions, a $3,246,000 decrease in personnel expenses, a $317,000 decrease in rent and rent related expenses, a $297,000 decrease in advertising expense, a $47,000 decrease in depreciation on property and equipment, and a $23,000 decrease in costs related to funding mortgage loans, which were partially offset by a $556,000 increase 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$312,000, or 12.9%, to $2,101,000 for the six-month period ended June 30, 2026, from $2,413,000 for the comparable period in 2025. This decrease was primarily due to a decrease of $201,000 in interest expense on mortgage warehouse lines of credit for loans held for sale and a decrease of $111,000 in interest expense on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Funeral home and cemetery cost of goods and services sold decreased by $1,000, or 0.1%, to $2,411,000 for the six-month period ended June 30, 2026, from $2,412,000 for the comparable period in 2025. This decrease was primarily due to a decrease of $22,000 in at-need sales, which was partially offset by an increase of $21,000 in pre-need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increased by $523,000, or 12.4%, to $4,728,000 for the six-month period ended June 30, 2026, from $4,205,000 for the comparable period in 2025. This increase was primarily due to an increase in earnings before income taxes for 2026 compared to 2025. The Company’s overall effective tax rate increased from 22.1% for 2025 to 22.8% in 2026, a 0.7% increase in the effective tax rate or a 3.1% change. This increase was primarily due to certain permanent tax adjustments that are higher when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life insurance subsidiaries and funeral home and cemetery subsidiaries realize cash flow from premiums, contract payments and sales on personal services rendered for funeral home and cemetery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funeral home and cemetery liabilities, which generally are long-term, and adequate to pay current policyholder claims, annuity payments, expenses related to the issuance of new policies, the maintenance of existing policies, debt service, and to meet current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six-month periods ended June 30, 2026, and 2025, the Company’s operations provided cash of approximately $36,934,000 and of approximately $1,905,000, respectively. The increase in cash provided by operations was due primarily to a decrease in originations of loans held for sale and an increase in net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attempts to match the duration of invested assets with its policyholder and funeral home and cemetery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funeral home and cemetery policies that will exceed the accruing of liabilities under those policies regardless of future interest rate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$363,471,000 (at estimated fair value) and $365,986,000 (at estimated fair value) as of June 30, 2026, and December 31, 2025, respectively. This represented 40.1% and 35.2% of the total investments of the Company as of June 30, 2026, and December 31, 2025, respectively. Generally, all bonds owned by the life insurance subsidiaries are rated by the National Association of Insurance Commissioners. Under this rating system, there are six categories used for the rating of bonds. As of June 30, 2026, 1.6% (or $5,966,000) and as of December 31, 2025, 1.6% (or $5,825,000) of the Company’s total bond investments were invested in bonds in rating categories three through six, which are considered non-investment 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life insurance subsidiaries are subject to risk-based capital guidelines established by statutory regulators requiring minimum capital levels based on the perceived risk of assets, liabilities, disintermediation, and business risk. As of June 30, 2026, and December 31, 2025, the life insurance subsidiaries were in compliance with the regulatory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capitalization of stockholders’ equity, bank and other loans payable was $555,266,000 as of June 30, 2026, as compared to $508,757,000 as of December 31, 2025. This increase was primarily due to an increase of $22,667,000 in stockholders’ equity and an increase of $23,842,000 in bank and other loans payable. Stockholders’ equity as a percentage of total capitalization was 78.0% and 80.7%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the Company’s three mortgage warehouse lines of credit, through Western Alliance Bank and JPMorgan Chase Bank, are scheduled to mature on August 15, 2026. The Company is currently in the process of negotiating renewals of these facilities and anticipates that both will be renewed on substantially similar terms. However, there can be no assurance that such renewals will be completed. If these facilities are not renewed, the Company may need to secure alternative funding sources for its mortgage lending operations, which could result in less favorable terms and temporarily impact loan origination volumes. See Note 19 to the condensed consolidated financial statements for additional information regarding these warehouse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Lapse rates measure the amount of insurance terminated during a particular period. The Company’s lapse rate for life insurance in 2025 was 7.2% as compared to a lapse rate of 7.0% for 2024. The 2026 lapse rate to date has been approximately the same as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statutory capital and surplus of the Company’s life insurance subsidiaries was approximately $144,894,000 and $139,068,000 as of June 30, 2026, and December 31, 2025, respectively. The life insurance subsidiaries cannot pay a dividend to their parent company without the approval of state insurance regulatory authorities.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20"/>
        <w:gridCol w:w="516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5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05" w:name="f6k_018"/>
            <w:bookmarkEnd w:id="2805"/>
            <w:r>
              <w:rPr>
                <w:rFonts w:ascii="Times New Roman;Times;Serif" w:hAnsi="Times New Roman;Times;Serif"/>
                <w:b/>
                <w:i w:val="false"/>
                <w:caps w:val="false"/>
                <w:smallCaps w:val="false"/>
                <w:sz w:val="20"/>
              </w:rPr>
              <w:t>Quantitative and Qualitative Disclosures About Market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information typically disclosed under this item.</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06" w:name="f6k_019"/>
            <w:bookmarkEnd w:id="2806"/>
            <w:r>
              <w:rPr>
                <w:rFonts w:ascii="Times New Roman;Times;Serif" w:hAnsi="Times New Roman;Times;Serif"/>
                <w:b/>
                <w:i w:val="false"/>
                <w:caps w:val="false"/>
                <w:smallCaps w:val="false"/>
                <w:sz w:val="20"/>
              </w:rPr>
              <w:t>Controls and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 has designed these controls and procedures to ensure that information the Company is required to disclose in reports filed under the Exchange Act is recorded, processed, summarized, and reported within the time periods specified in the SEC’s rules and forms, and is accumulated and communicated to Company management, including the Company’s CEO and CFO,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have concluded that the Company’s disclosure controls and procedures were not effective as of June 30, 2026, because of the material weakness in the Company’s internal control over financial reporting described below. This material weakness was also identified during the fourth quarter of 2025 and is disclosed in the Company’s Annual Report on Form 10-K along with the report of the Company’s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a material weakness related to information technology general controls (“ITGCs”) because the Company did not design and maintain effective ITGCs for information systems that are relevant to the preparation of the financial statements. Specifically, deficiencies were identified related to user access controls and program change management controls for financial systems. These deficiencies resulted in related control deficiencies with respect to information generated from the impacted systems and used in the performance of controls relevant to the preparation of the financial statements. The material weakness related to the ITGCs did not result in adjustments to the financial statements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taking actions to remediate the material weakness relating to its internal control over financial reporting. Other than the changes to the Company’s internal control over financial reporting described in “Remediation Plan and Status” below, there were no changes to the Company’s internal control over financial reporting as defined by Rule 13a-15(f) under the Exchange Act during the quarter ended June 30, 2026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Remediation Plan and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remediating its material weakness as promptly as possible. Management is in the process of implementing its remediation plan, which includes enhancing user access controls and strengthening program change management controls for the Company’s financial systems. Management will test the ongoing operating effectiveness of the new and existing controls in future periods. The material weakness cannot be considered completely remediated until the applicable controls have operated for a sufficient period of time and management has concluded, through testing, that these controls are operating effectively.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07" w:name="f6k_006"/>
      <w:bookmarkEnd w:id="280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20"/>
        <w:gridCol w:w="1655"/>
      </w:tblGrid>
      <w:tr>
        <w:trPr/>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08" w:name="f6k_008"/>
            <w:bookmarkEnd w:id="2808"/>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outside the ordinary course of business or to any other legal proceedings, which if adversely determined, would be expected to have a material adverse effect on its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5"/>
        <w:gridCol w:w="114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09" w:name="f6k_009"/>
            <w:bookmarkEnd w:id="2809"/>
            <w:r>
              <w:rPr>
                <w:rFonts w:ascii="Times New Roman;Times;Serif" w:hAnsi="Times New Roman;Times;Serif"/>
                <w:b/>
                <w:i w:val="false"/>
                <w:caps w:val="false"/>
                <w:smallCaps w:val="false"/>
                <w:sz w:val="20"/>
              </w:rPr>
              <w:t>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information typically disclosed under this item.</w:t>
      </w:r>
    </w:p>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20"/>
        <w:gridCol w:w="507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5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0" w:name="f6k_010"/>
            <w:bookmarkEnd w:id="2810"/>
            <w:r>
              <w:rPr>
                <w:rFonts w:ascii="Times New Roman;Times;Serif" w:hAnsi="Times New Roman;Times;Serif"/>
                <w:b/>
                <w:i w:val="false"/>
                <w:caps w:val="false"/>
                <w:smallCaps w:val="false"/>
                <w:sz w:val="20"/>
              </w:rPr>
              <w:t>Unregistered Sales of Equity Securities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 and Use of Proceeds from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the Company executed a 10b5-1 agreement with a broker to repurchase shares of the Company’s Class A Common Stock. Under the terms of the agreement, the broker is permitted to repurchase up to $1,000,000 of the Company’s Class A Common Stock. Purchases commenced on March 16, 2026. The agreement is subject to the daily time, price, and volume conditions of Rule 10b-18. On June 16, 2026 the Company terminated the 10b5-1 share repurchase plan because the authorized repurchase limit of 1,000,000 shares had been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Company’s repurchase activity during the three-month period ended June 30, 2026, under the 10b5-1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3"/>
        <w:gridCol w:w="60"/>
        <w:gridCol w:w="143"/>
        <w:gridCol w:w="1414"/>
        <w:gridCol w:w="60"/>
        <w:gridCol w:w="60"/>
        <w:gridCol w:w="312"/>
        <w:gridCol w:w="949"/>
        <w:gridCol w:w="60"/>
        <w:gridCol w:w="60"/>
        <w:gridCol w:w="1114"/>
        <w:gridCol w:w="1489"/>
        <w:gridCol w:w="60"/>
        <w:gridCol w:w="60"/>
        <w:gridCol w:w="315"/>
        <w:gridCol w:w="3107"/>
        <w:gridCol w:w="99"/>
      </w:tblGrid>
      <w:tr>
        <w:trPr/>
        <w:tc>
          <w:tcPr>
            <w:tcW w:w="84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Number of Class A Shares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Average Price Paid per Class A Share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Total Number of Class A Shares Purchased as Part of Publicly Announced Plan or Program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Maximum Number (or Approximate Dollar Value) of Class A Shares that May Yet Be Purchased Under the Plan or Program (2)</w:t>
            </w:r>
          </w:p>
        </w:tc>
        <w:tc>
          <w:tcPr>
            <w:tcW w:w="9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4/1/2026-4/30/2026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37,342</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5/1/2026-5/31/2026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9,240</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6/1/2026-6/30/2026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50,573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fees and commissions paid on stock repurchases.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620"/>
        <w:gridCol w:w="273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1" w:name="f6k_011"/>
            <w:bookmarkEnd w:id="2811"/>
            <w:r>
              <w:rPr>
                <w:rFonts w:ascii="Times New Roman;Times;Serif" w:hAnsi="Times New Roman;Times;Serif"/>
                <w:b/>
                <w:i w:val="false"/>
                <w:caps w:val="false"/>
                <w:smallCaps w:val="false"/>
                <w:sz w:val="20"/>
              </w:rPr>
              <w:t>Defaults Upon Senior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20"/>
        <w:gridCol w:w="2090"/>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2" w:name="f6k_012"/>
            <w:bookmarkEnd w:id="2812"/>
            <w:r>
              <w:rPr>
                <w:rFonts w:ascii="Times New Roman;Times;Serif" w:hAnsi="Times New Roman;Times;Serif"/>
                <w:b/>
                <w:i w:val="false"/>
                <w:caps w:val="false"/>
                <w:smallCaps w:val="false"/>
                <w:sz w:val="20"/>
              </w:rPr>
              <w:t>Mine Safety Disclosures.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20"/>
        <w:gridCol w:w="165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3" w:name="f6k_013"/>
            <w:bookmarkEnd w:id="2813"/>
            <w:r>
              <w:rPr>
                <w:rFonts w:ascii="Times New Roman;Times;Serif" w:hAnsi="Times New Roman;Times;Serif"/>
                <w:b/>
                <w:i w:val="false"/>
                <w:caps w:val="false"/>
                <w:smallCaps w:val="false"/>
                <w:sz w:val="20"/>
              </w:rPr>
              <w:t>Other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our directors or officers informed us of the </w:t>
      </w:r>
      <w:bookmarkStart w:id="2814" w:name="xdx_90E_eecd--NonRule10b51ArrAdoptedFlag"/>
      <w:bookmarkStart w:id="2815" w:name="xdx_902_eecd--Rule10b51ArrAdoptedFlag_db"/>
      <w:bookmarkEnd w:id="2814"/>
      <w:bookmarkEnd w:id="2815"/>
      <w:r>
        <w:rPr>
          <w:rFonts w:ascii="Times New Roman;Times;Serif" w:hAnsi="Times New Roman;Times;Serif"/>
          <w:b w:val="false"/>
          <w:i w:val="false"/>
          <w:caps w:val="false"/>
          <w:smallCaps w:val="false"/>
          <w:sz w:val="20"/>
        </w:rPr>
        <w:t xml:space="preserve">adoption or </w:t>
      </w:r>
      <w:bookmarkStart w:id="2816" w:name="xdx_907_eecd--NonRule10b51ArrTrmntdFlag_"/>
      <w:bookmarkStart w:id="2817" w:name="xdx_907_eecd--Rule10b51ArrTrmntdFlag_dbF"/>
      <w:bookmarkEnd w:id="2816"/>
      <w:bookmarkEnd w:id="2817"/>
      <w:r>
        <w:rPr>
          <w:rFonts w:ascii="Times New Roman;Times;Serif" w:hAnsi="Times New Roman;Times;Serif"/>
          <w:b w:val="false"/>
          <w:i w:val="false"/>
          <w:caps w:val="false"/>
          <w:smallCaps w:val="false"/>
          <w:sz w:val="20"/>
        </w:rPr>
        <w:t>termination of a “Rule 10b5-1 trading arrangement” or “non-Rule 10b5-1 trading arrangement,” as those terms are defined in Item 408 of Regulation S-K, during the three-month period ended June 30, 2026.</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8" w:name="f6k_015"/>
            <w:bookmarkEnd w:id="2818"/>
            <w:r>
              <w:rPr>
                <w:rFonts w:ascii="Times New Roman;Times;Serif" w:hAnsi="Times New Roman;Times;Serif"/>
                <w:b/>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Statements</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“Table of Contents – Part I – Financial Information” under page 2 above.</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Statement Schedules</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schedules to the consolidated financial statements required by Article 7 of Regulation S-X are not required under the related instructions or are inapplicable and therefore have been omitted.</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61" w:type="dxa"/>
            <w:tcBorders/>
            <w:vAlign w:val="center"/>
          </w:tcPr>
          <w:p>
            <w:pPr>
              <w:pStyle w:val="TableContents"/>
              <w:bidi w:val="0"/>
              <w:spacing w:before="0" w:after="283"/>
              <w:jc w:val="both"/>
              <w:rPr>
                <w:caps w:val="false"/>
                <w:smallCaps w:val="false"/>
              </w:rPr>
            </w:pPr>
            <w:r>
              <w:rPr>
                <w:caps w:val="false"/>
                <w:smallCaps w:val="false"/>
              </w:rPr>
              <w:t> </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 pursuant to Rule 601 of Regulation S-K or are incorporated by reference to previous filings.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54"/>
        <w:gridCol w:w="9376"/>
      </w:tblGrid>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76"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Articles of Incorporation (1)</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376"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(2)</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376"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pursuant to 18 U.S.C. Section 1350, as enacted by Section 302 of the Sarbanes-Oxley Act of 2002</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376"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pursuant to 18 U.S.C. Section 1350, as enacted by Section 302 of the Sarbanes-Oxley Act of 2002</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376"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376"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3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843" w:type="dxa"/>
        <w:jc w:val="left"/>
        <w:tblInd w:w="0" w:type="dxa"/>
        <w:tblLayout w:type="fixed"/>
        <w:tblCellMar>
          <w:top w:w="0" w:type="dxa"/>
          <w:left w:w="0" w:type="dxa"/>
          <w:bottom w:w="0" w:type="dxa"/>
          <w:right w:w="0" w:type="dxa"/>
        </w:tblCellMar>
      </w:tblPr>
      <w:tblGrid>
        <w:gridCol w:w="38"/>
        <w:gridCol w:w="24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from Report on Form 10-K, as filed on March 31, 2017</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from Report on Form 10-Q, as filed on May 15, 2019</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19" w:name="f6k_016"/>
      <w:bookmarkEnd w:id="2819"/>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 NATIONAL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70"/>
        <w:gridCol w:w="398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M. Quist</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 Quist</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970"/>
        <w:gridCol w:w="503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Garrett S. Sill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Garrett S. Sill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2820" w:name="ex31-1.htm"/>
      <w:bookmarkStart w:id="2821" w:name="ksex311"/>
      <w:bookmarkEnd w:id="2820"/>
      <w:bookmarkEnd w:id="282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CHIEF EXECUTIVE OFFICER,</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302 OF THE SARBANES-OXLEY ACT OF 2002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M. Quist,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report on Form 10-Q of Security National Financial Corporation;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450"/>
        <w:jc w:val="both"/>
        <w:rPr>
          <w:caps w:val="false"/>
          <w:smallCaps w:val="false"/>
        </w:rPr>
      </w:pPr>
      <w:r>
        <w:rPr>
          <w:caps w:val="false"/>
          <w:smallCaps w:val="false"/>
        </w:rPr>
        <w:t> </w:t>
      </w:r>
    </w:p>
    <w:p>
      <w:pPr>
        <w:pStyle w:val="TextBody"/>
        <w:pBd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955"/>
        <w:gridCol w:w="60"/>
        <w:gridCol w:w="3980"/>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M. Quist</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 Quist</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bookmarkStart w:id="2822" w:name="ex31-2.htm"/>
      <w:bookmarkStart w:id="2823" w:name="ksex312"/>
      <w:bookmarkEnd w:id="2822"/>
      <w:bookmarkEnd w:id="282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CERTIFICATION OF CHIEF FINANCIAL OFFICER,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302 OF THE SARBANES-OXLEY ACT OF 2002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Garrett S. Sill,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report on Form 10-Q of Security National Financial Corporation;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480"/>
        <w:jc w:val="both"/>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955"/>
        <w:gridCol w:w="60"/>
        <w:gridCol w:w="5030"/>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Garrett S. Sill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Garrett S. Sill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Financial Officer and Treasurer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824" w:name="ex32-1.htm"/>
      <w:bookmarkStart w:id="2825" w:name="ksex321"/>
      <w:bookmarkEnd w:id="2824"/>
      <w:bookmarkEnd w:id="2825"/>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CERTIFICATION OF CHIEF EXECUTIVE OFFICER,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906 OF THE SARBANES-OXLEY ACT OF 2002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Security National Financial Corporation (the “Company”) on Form 10-Q for the period ended June 30, 2026,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955"/>
        <w:gridCol w:w="60"/>
        <w:gridCol w:w="3980"/>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M. Quist</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 Quist</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826" w:name="ex32-2.htm"/>
      <w:bookmarkStart w:id="2827" w:name="ksex322"/>
      <w:bookmarkEnd w:id="2826"/>
      <w:bookmarkEnd w:id="2827"/>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CHIEF FINANCIAL OFFICER,</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906 OF THE SARBANES-OXLEY ACT OF 2002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Security National Financial Corporation (the “Company”) on Form 10-Q for the period ended June 30, 2026,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955"/>
        <w:gridCol w:w="60"/>
        <w:gridCol w:w="5030"/>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Garrett S. Sill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Garrett S. Sill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8673/000109690617000214/exh3_1.pdf" TargetMode="External"/><Relationship Id="rId3" Type="http://schemas.openxmlformats.org/officeDocument/2006/relationships/hyperlink" Target="https://www.sec.gov/Archives/edgar/data/318673/000109690619000199/exh3_2.pdf"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37073</Words>
  <Characters>208385</Characters>
  <CharactersWithSpaces>255982</CharactersWithSpaces>
  <Paragraphs>28240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