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right="1880" w:firstLine="8"/>
        <w:spacing w:after="0" w:line="500" w:lineRule="auto"/>
        <w:tabs>
          <w:tab w:leader="none" w:pos="2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right="1860" w:firstLine="8"/>
        <w:spacing w:after="0" w:line="500" w:lineRule="auto"/>
        <w:tabs>
          <w:tab w:leader="none" w:pos="2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22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87-0345941</w:t>
            </w:r>
          </w:p>
        </w:tc>
        <w:tc>
          <w:tcPr>
            <w:tcW w:w="0" w:type="dxa"/>
            <w:vAlign w:val="bottom"/>
          </w:tcPr>
          <w:p>
            <w:pPr>
              <w:spacing w:after="0"/>
              <w:rPr>
                <w:sz w:val="1"/>
                <w:szCs w:val="1"/>
                <w:color w:val="auto"/>
              </w:rPr>
            </w:pPr>
          </w:p>
        </w:tc>
      </w:tr>
      <w:tr>
        <w:trPr>
          <w:trHeight w:val="236"/>
        </w:trPr>
        <w:tc>
          <w:tcPr>
            <w:tcW w:w="676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4480" w:type="dxa"/>
            <w:vAlign w:val="bottom"/>
          </w:tcPr>
          <w:p>
            <w:pPr>
              <w:jc w:val="center"/>
              <w:ind w:right="9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0" w:type="dxa"/>
            <w:vAlign w:val="bottom"/>
          </w:tcPr>
          <w:p>
            <w:pPr>
              <w:spacing w:after="0"/>
              <w:rPr>
                <w:sz w:val="1"/>
                <w:szCs w:val="1"/>
                <w:color w:val="auto"/>
              </w:rPr>
            </w:pPr>
          </w:p>
        </w:tc>
      </w:tr>
      <w:tr>
        <w:trPr>
          <w:trHeight w:val="452"/>
        </w:trPr>
        <w:tc>
          <w:tcPr>
            <w:tcW w:w="676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433 Ascension Way, 6</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Salt Lake City, Utah</w:t>
            </w:r>
          </w:p>
        </w:tc>
        <w:tc>
          <w:tcPr>
            <w:tcW w:w="44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84123</w:t>
            </w:r>
          </w:p>
        </w:tc>
        <w:tc>
          <w:tcPr>
            <w:tcW w:w="0" w:type="dxa"/>
            <w:vAlign w:val="bottom"/>
          </w:tcPr>
          <w:p>
            <w:pPr>
              <w:spacing w:after="0"/>
              <w:rPr>
                <w:sz w:val="1"/>
                <w:szCs w:val="1"/>
                <w:color w:val="auto"/>
              </w:rPr>
            </w:pPr>
          </w:p>
        </w:tc>
      </w:tr>
      <w:tr>
        <w:trPr>
          <w:trHeight w:val="236"/>
        </w:trPr>
        <w:tc>
          <w:tcPr>
            <w:tcW w:w="676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480" w:type="dxa"/>
            <w:vAlign w:val="bottom"/>
          </w:tcPr>
          <w:p>
            <w:pPr>
              <w:jc w:val="center"/>
              <w:ind w:right="930"/>
              <w:spacing w:after="0"/>
              <w:rPr>
                <w:sz w:val="20"/>
                <w:szCs w:val="20"/>
                <w:color w:val="auto"/>
              </w:rPr>
            </w:pPr>
            <w:r>
              <w:rPr>
                <w:rFonts w:ascii="Times New Roman" w:cs="Times New Roman" w:eastAsia="Times New Roman" w:hAnsi="Times New Roman"/>
                <w:sz w:val="18"/>
                <w:szCs w:val="18"/>
                <w:i w:val="1"/>
                <w:iCs w:val="1"/>
                <w:color w:val="auto"/>
                <w:w w:val="99"/>
              </w:rPr>
              <w:t>(Zip Code)</w:t>
            </w: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332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(801) 264-1060</w:t>
            </w: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p>
        </w:tc>
        <w:tc>
          <w:tcPr>
            <w:tcW w:w="8020" w:type="dxa"/>
            <w:vAlign w:val="bottom"/>
            <w:gridSpan w:val="5"/>
          </w:tcPr>
          <w:p>
            <w:pPr>
              <w:jc w:val="center"/>
              <w:ind w:right="311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8020" w:type="dxa"/>
            <w:vAlign w:val="bottom"/>
            <w:gridSpan w:val="5"/>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432"/>
        </w:trPr>
        <w:tc>
          <w:tcPr>
            <w:tcW w:w="322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Class A Common Stock</w:t>
            </w:r>
          </w:p>
        </w:tc>
        <w:tc>
          <w:tcPr>
            <w:tcW w:w="84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vMerge w:val="continue"/>
          </w:tcPr>
          <w:p>
            <w:pPr>
              <w:spacing w:after="0"/>
              <w:rPr>
                <w:sz w:val="19"/>
                <w:szCs w:val="19"/>
                <w:color w:val="auto"/>
              </w:rPr>
            </w:pPr>
          </w:p>
        </w:tc>
        <w:tc>
          <w:tcPr>
            <w:tcW w:w="4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3"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140" w:gutter="0" w:footer="0" w:header="0"/>
        </w:sectPr>
      </w:pPr>
    </w:p>
    <w:p>
      <w:pPr>
        <w:spacing w:after="0" w:line="147"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1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160" w:space="720"/>
            <w:col w:w="3360"/>
          </w:cols>
          <w:pgMar w:left="320" w:top="740" w:right="339" w:bottom="1140" w:gutter="0" w:footer="0" w:header="0"/>
          <w:type w:val="continuous"/>
        </w:sectPr>
      </w:pPr>
    </w:p>
    <w:p>
      <w:pPr>
        <w:spacing w:after="0" w:line="17"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96"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7"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November 7, 2022, the registrant had 18,722,859 shares of Class A Common Stock, $2.00 par value, outstanding and 2,889,859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1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20" w:type="dxa"/>
            <w:vAlign w:val="bottom"/>
            <w:gridSpan w:val="12"/>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r>
      <w:tr>
        <w:trPr>
          <w:trHeight w:val="459"/>
        </w:trPr>
        <w:tc>
          <w:tcPr>
            <w:tcW w:w="9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Page No.</w:t>
            </w:r>
          </w:p>
        </w:tc>
      </w:tr>
      <w:tr>
        <w:trPr>
          <w:trHeight w:val="190"/>
        </w:trPr>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0000EE"/>
            </w:tcBorders>
            <w:gridSpan w:val="6"/>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3600" w:type="dxa"/>
            <w:vAlign w:val="bottom"/>
            <w:tcBorders>
              <w:bottom w:val="single" w:sz="8" w:color="CCEEFF"/>
            </w:tcBorders>
            <w:gridSpan w:val="7"/>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September 30, 2022 (unaudited) and December 31, 2021</w:t>
            </w:r>
          </w:p>
        </w:tc>
        <w:tc>
          <w:tcPr>
            <w:tcW w:w="2040" w:type="dxa"/>
            <w:vAlign w:val="bottom"/>
            <w:tcBorders>
              <w:bottom w:val="single" w:sz="8" w:color="CCEEFF"/>
            </w:tcBorders>
            <w:gridSpan w:val="5"/>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980" w:type="dxa"/>
            <w:vAlign w:val="bottom"/>
          </w:tcPr>
          <w:p>
            <w:pPr>
              <w:spacing w:after="0"/>
              <w:rPr>
                <w:sz w:val="15"/>
                <w:szCs w:val="15"/>
                <w:color w:val="auto"/>
              </w:rPr>
            </w:pPr>
          </w:p>
        </w:tc>
        <w:tc>
          <w:tcPr>
            <w:tcW w:w="9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for the three and nine months ended September 30, 2022 and 2021 (unaudited)</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and nine months ended September 30, 2022 and</w:t>
            </w:r>
          </w:p>
        </w:tc>
        <w:tc>
          <w:tcPr>
            <w:tcW w:w="760" w:type="dxa"/>
            <w:vAlign w:val="bottom"/>
            <w:shd w:val="clear" w:color="auto" w:fill="CCEEFF"/>
          </w:tcPr>
          <w:p>
            <w:pPr>
              <w:spacing w:after="0"/>
              <w:rPr>
                <w:sz w:val="15"/>
                <w:szCs w:val="15"/>
                <w:color w:val="auto"/>
              </w:rPr>
            </w:pPr>
          </w:p>
        </w:tc>
      </w:tr>
      <w:tr>
        <w:trPr>
          <w:trHeight w:val="216"/>
        </w:trPr>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0000EE"/>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2021 (unaudited)</w:t>
            </w:r>
          </w:p>
        </w:tc>
        <w:tc>
          <w:tcPr>
            <w:tcW w:w="824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980" w:type="dxa"/>
            <w:vAlign w:val="bottom"/>
          </w:tcPr>
          <w:p>
            <w:pPr>
              <w:spacing w:after="0"/>
              <w:rPr>
                <w:sz w:val="15"/>
                <w:szCs w:val="15"/>
                <w:color w:val="auto"/>
              </w:rPr>
            </w:pPr>
          </w:p>
        </w:tc>
        <w:tc>
          <w:tcPr>
            <w:tcW w:w="9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as of September 30, 2022 and September 30, 2021 (unaudited)</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87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2022 and 2021 (unaudited)</w:t>
            </w:r>
          </w:p>
        </w:tc>
        <w:tc>
          <w:tcPr>
            <w:tcW w:w="780" w:type="dxa"/>
            <w:vAlign w:val="bottom"/>
            <w:tcBorders>
              <w:bottom w:val="single" w:sz="8" w:color="CCEEFF"/>
            </w:tcBorders>
            <w:gridSpan w:val="4"/>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9-10</w:t>
            </w:r>
          </w:p>
        </w:tc>
      </w:tr>
      <w:tr>
        <w:trPr>
          <w:trHeight w:val="175"/>
        </w:trPr>
        <w:tc>
          <w:tcPr>
            <w:tcW w:w="980" w:type="dxa"/>
            <w:vAlign w:val="bottom"/>
          </w:tcPr>
          <w:p>
            <w:pPr>
              <w:spacing w:after="0"/>
              <w:rPr>
                <w:sz w:val="15"/>
                <w:szCs w:val="15"/>
                <w:color w:val="auto"/>
              </w:rPr>
            </w:pPr>
          </w:p>
        </w:tc>
        <w:tc>
          <w:tcPr>
            <w:tcW w:w="9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40" w:type="dxa"/>
            <w:vAlign w:val="bottom"/>
            <w:tcBorders>
              <w:bottom w:val="single" w:sz="8" w:color="CCEEFF"/>
            </w:tcBorders>
            <w:gridSpan w:val="6"/>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9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20" w:type="dxa"/>
            <w:vAlign w:val="bottom"/>
            <w:tcBorders>
              <w:top w:val="single" w:sz="8" w:color="CCEEFF"/>
            </w:tcBorders>
            <w:gridSpan w:val="12"/>
          </w:tcPr>
          <w:p>
            <w:pPr>
              <w:jc w:val="center"/>
              <w:ind w:right="370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760" w:type="dxa"/>
            <w:vAlign w:val="bottom"/>
            <w:tcBorders>
              <w:top w:val="single" w:sz="8" w:color="CCEEFF"/>
            </w:tcBorders>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160" w:type="dxa"/>
            <w:vAlign w:val="bottom"/>
            <w:tcBorders>
              <w:bottom w:val="single" w:sz="8" w:color="CCEEFF"/>
            </w:tcBorders>
            <w:gridSpan w:val="17"/>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160" w:type="dxa"/>
            <w:vAlign w:val="bottom"/>
            <w:tcBorders>
              <w:top w:val="single" w:sz="8" w:color="CCEEFF"/>
            </w:tcBorders>
            <w:gridSpan w:val="10"/>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740" w:type="dxa"/>
            <w:vAlign w:val="bottom"/>
            <w:tcBorders>
              <w:top w:val="single" w:sz="8" w:color="CCEEFF"/>
            </w:tcBorders>
            <w:gridSpan w:val="15"/>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900" w:type="dxa"/>
            <w:vAlign w:val="bottom"/>
            <w:tcBorders>
              <w:bottom w:val="single" w:sz="8" w:color="CCEEFF"/>
            </w:tcBorders>
            <w:gridSpan w:val="2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98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740" w:type="dxa"/>
            <w:vAlign w:val="bottom"/>
            <w:gridSpan w:val="21"/>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460"/>
        </w:trPr>
        <w:tc>
          <w:tcPr>
            <w:tcW w:w="9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4"/>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September 30 2022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$340,262,502 and $236,303,310 for 2022 and 2021)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320,806,385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259,287,603</w:t>
            </w: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$9,792,380 and $8,275,772 for 2022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10,371,032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allowances for loan losses of $1,675,015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$1,699,902 for 2022 and 2021)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320,563,600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277,306,046</w:t>
            </w: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$22,293,450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$17,692,038 for 2022 and 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196,077,537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197,365,797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151,553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3,731,300</w:t>
            </w: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allowances for doubtful accounts of $1,736,761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$1,686,218 for 2022 and 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65,613,561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67,955,155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10,844,025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6,313,012</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924,427,693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823,555,327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84,947,720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161,981,923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302,776,827</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allowances for doubtful accounts of $1,660,221 and $1,800,725 for 2022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17,033,643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18,316,116</w:t>
            </w:r>
          </w:p>
        </w:tc>
        <w:tc>
          <w:tcPr>
            <w:tcW w:w="0" w:type="dxa"/>
            <w:vAlign w:val="bottom"/>
          </w:tcPr>
          <w:p>
            <w:pPr>
              <w:spacing w:after="0"/>
              <w:rPr>
                <w:sz w:val="1"/>
                <w:szCs w:val="1"/>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$5,730,936 and $5,205,510 for 2022 and 2021 at estimated fair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16,364,853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16,938,122</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$3,440,102 and $4,087,245 for 2022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2021 at estimated fair value)</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6,831,411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7,835,721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14,693,234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14,850,608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9,095,125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8,977,877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107,656,401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105,049,983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54,379,245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53,060,455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20,569,638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21,517,598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10,208,715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8,421,432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5,253,783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26,630,483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29,684,987</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1,460,073,867</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1,547,593,306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881,916,853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863,274,693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2,880,970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3,060,738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201,479,763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251,286,927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15,873,046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14,508,022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5,041,728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4,915,285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4,860,801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10,166,573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55,985,770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69,578,138</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23,173,059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31,036,096</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1,191,211,990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1,247,826,472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 none issued or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issued 18,717,540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 2022 and 17,642,722 shares in 2021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37,435,080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35,285,444</w:t>
            </w: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issued or outstanding</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 issued</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2,889,859 shares in 2022 and 2,866,565 shares in 2021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5,779,718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5,733,130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64,840,595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57,985,947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(15,071,680)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18,070,448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180,919,986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184,537,489</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- 599,219 Class A shares and 34,016 Class C shares in 2022; and</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108,079 Class A shares and 109,193 Class C shares in 2021</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(5,041,822)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(1,845,624)</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268,861,877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299,766,834</w:t>
            </w: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1,460,073,867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1,547,593,306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7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310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28,607,888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66,257,851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118,983,231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204,414,276</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26,237,417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26,445,618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78,491,364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74,754,856</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18,603,070</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15,092,962</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49,768,664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43,564,167</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6,470,363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5,967,675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20,926,587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18,228,199</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(2,178,952)</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976,900</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(2,921,372)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4,414,217</w:t>
            </w:r>
          </w:p>
        </w:tc>
        <w:tc>
          <w:tcPr>
            <w:tcW w:w="80" w:type="dxa"/>
            <w:vAlign w:val="bottom"/>
          </w:tcPr>
          <w:p>
            <w:pPr>
              <w:spacing w:after="0"/>
              <w:rPr>
                <w:sz w:val="18"/>
                <w:szCs w:val="18"/>
                <w:color w:val="auto"/>
              </w:rPr>
            </w:pP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5,737,434</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4,768,125</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16,221,307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13,542,337</w:t>
            </w:r>
          </w:p>
        </w:tc>
        <w:tc>
          <w:tcPr>
            <w:tcW w:w="80" w:type="dxa"/>
            <w:vAlign w:val="bottom"/>
            <w:shd w:val="clear" w:color="auto" w:fill="CCEEFF"/>
          </w:tcPr>
          <w:p>
            <w:pPr>
              <w:spacing w:after="0"/>
              <w:rPr>
                <w:sz w:val="19"/>
                <w:szCs w:val="19"/>
                <w:color w:val="auto"/>
              </w:rPr>
            </w:pPr>
          </w:p>
        </w:tc>
      </w:tr>
      <w:tr>
        <w:trPr>
          <w:trHeight w:val="209"/>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83,477,220</w:t>
            </w:r>
          </w:p>
        </w:tc>
        <w:tc>
          <w:tcPr>
            <w:tcW w:w="3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119,509,131</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281,469,781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358,918,052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13,996,753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15,474,512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45,720,503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48,630,585</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1,337,507</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977,190</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3,814,442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2,725,791</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7,389,732</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7,485,565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20,761,276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19,140,939</w:t>
            </w:r>
          </w:p>
        </w:tc>
        <w:tc>
          <w:tcPr>
            <w:tcW w:w="80" w:type="dxa"/>
            <w:vAlign w:val="bottom"/>
            <w:shd w:val="clear" w:color="auto" w:fill="CCEEFF"/>
          </w:tcPr>
          <w:p>
            <w:pPr>
              <w:spacing w:after="0"/>
              <w:rPr>
                <w:sz w:val="18"/>
                <w:szCs w:val="18"/>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and value of business acquired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5,061,713</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4,709,979</w:t>
            </w: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13,511,235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11,940,905</w:t>
            </w:r>
          </w:p>
        </w:tc>
        <w:tc>
          <w:tcPr>
            <w:tcW w:w="80" w:type="dxa"/>
            <w:vAlign w:val="bottom"/>
          </w:tcPr>
          <w:p>
            <w:pPr>
              <w:spacing w:after="0"/>
              <w:rPr>
                <w:sz w:val="20"/>
                <w:szCs w:val="20"/>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15,004,275</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28,769,191</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53,303,814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91,392,436</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24,392,703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25,122,254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76,772,417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73,822,449</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1,372,636</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1,691,236</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4,680,169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5,089,301</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1,701,164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1,853,960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5,062,696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5,594,206</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636,246</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412,152</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1,880,095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1,387,275</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1,371,315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2,379,085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6,255,415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8,055,810</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11,178,276</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13,775,139</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34,444,040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37,754,717</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2,136,763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1,807,461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5,764,327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5,327,072</w:t>
            </w:r>
          </w:p>
        </w:tc>
        <w:tc>
          <w:tcPr>
            <w:tcW w:w="80" w:type="dxa"/>
            <w:vAlign w:val="bottom"/>
            <w:shd w:val="clear" w:color="auto" w:fill="CCEEFF"/>
          </w:tcPr>
          <w:p>
            <w:pPr>
              <w:spacing w:after="0"/>
              <w:rPr>
                <w:sz w:val="18"/>
                <w:szCs w:val="18"/>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and services sold-mortuaries and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cemeteries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1,200,481</w:t>
            </w: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908,014</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3,628,334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2,880,766</w:t>
            </w:r>
          </w:p>
        </w:tc>
        <w:tc>
          <w:tcPr>
            <w:tcW w:w="80" w:type="dxa"/>
            <w:vAlign w:val="bottom"/>
          </w:tcPr>
          <w:p>
            <w:pPr>
              <w:spacing w:after="0"/>
              <w:rPr>
                <w:sz w:val="21"/>
                <w:szCs w:val="2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86,779,564</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105,365,738</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275,598,763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313,742,252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(3,302,344)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14,143,393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5,871,018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45,175,800</w:t>
            </w:r>
          </w:p>
        </w:tc>
        <w:tc>
          <w:tcPr>
            <w:tcW w:w="80" w:type="dxa"/>
            <w:vAlign w:val="bottom"/>
            <w:shd w:val="clear" w:color="auto" w:fill="CCEEFF"/>
          </w:tcPr>
          <w:p>
            <w:pPr>
              <w:spacing w:after="0"/>
              <w:rPr>
                <w:sz w:val="18"/>
                <w:szCs w:val="18"/>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949,159</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(3,352,663)</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(1,421,036)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(10,998,876)</w:t>
            </w:r>
          </w:p>
        </w:tc>
      </w:tr>
      <w:tr>
        <w:trPr>
          <w:trHeight w:val="210"/>
        </w:trPr>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(2,353,185)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10,790,730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4,449,982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34,176,924</w:t>
            </w:r>
          </w:p>
        </w:tc>
        <w:tc>
          <w:tcPr>
            <w:tcW w:w="80" w:type="dxa"/>
            <w:vAlign w:val="bottom"/>
          </w:tcPr>
          <w:p>
            <w:pPr>
              <w:spacing w:after="0"/>
              <w:rPr>
                <w:sz w:val="24"/>
                <w:szCs w:val="24"/>
                <w:color w:val="auto"/>
              </w:rPr>
            </w:pPr>
          </w:p>
        </w:tc>
      </w:tr>
      <w:tr>
        <w:trPr>
          <w:trHeight w:val="197"/>
        </w:trPr>
        <w:tc>
          <w:tcPr>
            <w:tcW w:w="4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(loss) per Class A Equivalent common</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5"/>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4"/>
                <w:szCs w:val="24"/>
                <w:color w:val="auto"/>
              </w:rPr>
            </w:pPr>
          </w:p>
        </w:tc>
      </w:tr>
      <w:tr>
        <w:trPr>
          <w:trHeight w:val="197"/>
        </w:trPr>
        <w:tc>
          <w:tcPr>
            <w:tcW w:w="4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(loss) per Class A Equivalent common</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5"/>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share-assuming dilution (1)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4"/>
                <w:szCs w:val="24"/>
                <w:color w:val="auto"/>
              </w:rPr>
            </w:pPr>
          </w:p>
        </w:tc>
      </w:tr>
      <w:tr>
        <w:trPr>
          <w:trHeight w:val="197"/>
        </w:trPr>
        <w:tc>
          <w:tcPr>
            <w:tcW w:w="4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20,926,823</w:t>
            </w: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21,152,747</w:t>
            </w:r>
          </w:p>
        </w:tc>
        <w:tc>
          <w:tcPr>
            <w:tcW w:w="2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21,164,377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21,109,092</w:t>
            </w:r>
          </w:p>
        </w:tc>
        <w:tc>
          <w:tcPr>
            <w:tcW w:w="80" w:type="dxa"/>
            <w:vAlign w:val="bottom"/>
          </w:tcPr>
          <w:p>
            <w:pPr>
              <w:spacing w:after="0"/>
              <w:rPr>
                <w:sz w:val="24"/>
                <w:szCs w:val="24"/>
                <w:color w:val="auto"/>
              </w:rPr>
            </w:pPr>
          </w:p>
        </w:tc>
      </w:tr>
      <w:tr>
        <w:trPr>
          <w:trHeight w:val="196"/>
        </w:trPr>
        <w:tc>
          <w:tcPr>
            <w:tcW w:w="4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outstanding-assuming dilution (1)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21,612,255</w:t>
            </w:r>
          </w:p>
        </w:tc>
        <w:tc>
          <w:tcPr>
            <w:tcW w:w="3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22,013,714</w:t>
            </w:r>
          </w:p>
        </w:tc>
        <w:tc>
          <w:tcPr>
            <w:tcW w:w="22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21,947,584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21,960,052</w:t>
            </w:r>
          </w:p>
        </w:tc>
        <w:tc>
          <w:tcPr>
            <w:tcW w:w="80" w:type="dxa"/>
            <w:vAlign w:val="bottom"/>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(loss)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(loss) per common share represent net earnings (loss) per equivalent Class A common share.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310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(2,353,185</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10,790,730</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4,449,982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34,176,924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losses on fixed maturity securities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(13,523,240)</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(1,406,615)</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(41,845,274)</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(3,477,826)</w:t>
            </w: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restricted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27,060</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(13,951)</w:t>
            </w:r>
          </w:p>
        </w:tc>
        <w:tc>
          <w:tcPr>
            <w:tcW w:w="22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(88,058)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(21,682)</w:t>
            </w:r>
          </w:p>
        </w:tc>
      </w:tr>
      <w:tr>
        <w:trPr>
          <w:trHeight w:val="198"/>
        </w:trPr>
        <w:tc>
          <w:tcPr>
            <w:tcW w:w="4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 care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investments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28,931</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(4,669)</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(24,294)</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(10,927)</w:t>
            </w:r>
          </w:p>
        </w:tc>
      </w:tr>
      <w:tr>
        <w:trPr>
          <w:trHeight w:val="229"/>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19"/>
                <w:szCs w:val="19"/>
                <w:color w:val="auto"/>
              </w:rPr>
            </w:pPr>
          </w:p>
        </w:tc>
      </w:tr>
      <w:tr>
        <w:trPr>
          <w:trHeight w:val="210"/>
        </w:trPr>
        <w:tc>
          <w:tcPr>
            <w:tcW w:w="4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income tax</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(13,467,249</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(1,425,235</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(41,957,626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(3,507,600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2,825,936</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300,029</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8,815,498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737,759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income tax</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(10,641,313</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(1,125,206</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(33,142,128</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(2,769,841</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(12,994,498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9,665,524</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(28,692,146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31,407,083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 2022</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8"/>
                <w:szCs w:val="18"/>
                <w:color w:val="auto"/>
              </w:rPr>
            </w:pP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10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$35,285,444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$ 5,733,130</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$57,985,947</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18,070,448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$ 184,537,489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(1,845,624)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$ 299,766,834</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3,228,718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3,228,718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(12,190,330)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(12,190,330)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271,747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271,747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100,446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91,959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1,880,125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1,904,180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106,176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(878,417)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(772,241)</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35,386,304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$ 5,732,716</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58,379,438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5,880,118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187,766,207</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(843,916</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292,300,867</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3,574,449</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3,574,449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(10,310,485)</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(10,310,485)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220,175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220,175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37,746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1,119,392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1,169,793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(6,505,050)</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(6,505,050)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154,218</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(154,218)</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1,779,108</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278,924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6,009,453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(8,067,485)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37,357,376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$ 5,857,422</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64,657,027</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(4,430,367</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183,273,171</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(6,229,574</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280,485,055</w:t>
            </w:r>
          </w:p>
        </w:tc>
        <w:tc>
          <w:tcPr>
            <w:tcW w:w="100" w:type="dxa"/>
            <w:vAlign w:val="bottom"/>
            <w:tcBorders>
              <w:bottom w:val="single" w:sz="8" w:color="CCEEFF"/>
            </w:tcBorders>
          </w:tcPr>
          <w:p>
            <w:pPr>
              <w:spacing w:after="0"/>
              <w:rPr>
                <w:sz w:val="22"/>
                <w:szCs w:val="22"/>
                <w:color w:val="auto"/>
              </w:rPr>
            </w:pPr>
          </w:p>
        </w:tc>
      </w:tr>
      <w:tr>
        <w:trPr>
          <w:trHeight w:val="196"/>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(2,353,185)</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(2,353,185)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(10,641,313)</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(10,641,313)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230,853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230,853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1,187,752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1,140,467</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77,704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(77,704)</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37,435,080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$ 5,779,718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64,840,595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(15,071,680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180,919,986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(5,041,822</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268,861,877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 2021</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20"/>
                <w:szCs w:val="20"/>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2021</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$33,191,566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$ 5,359,206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$50,287,253</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23,243,133</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$ 153,739,167</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(1,833,272)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$ 263,987,053</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12,128,715</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12,128,715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(5,388,522)</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(5,388,522)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39,153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55,852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33,401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89,253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290,381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1,632,041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1,922,422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(910,233)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(910,233)</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97,054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(97,054)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33,344,472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$ 5,262,152</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50,650,188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17,854,611</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165,867,882</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(1,111,464</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271,867,841</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11,257,479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11,257,479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3,743,887</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3,743,887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106,044</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113,699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1,499,862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1,461,814</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(2,596,006)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(2,596,006)</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1,672,526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263,108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6,774,719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(8,710,354)</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35,123,042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$ 5,525,260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57,394,514</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21,598,498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168,415,007</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(2,207,608</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285,848,713</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10,790,730</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10,790,730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(1,125,206)</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(1,125,206)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61,320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24,182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85,502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1,338,621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1,332,347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42,537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(258,455)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(215,918)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(10,314)</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1,440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35,188,096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$ 5,523,818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57,462,981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20,473,292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179,195,423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(1,127,442</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296,716,168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109,318,230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128,890,897</w:t>
            </w:r>
          </w:p>
        </w:tc>
      </w:tr>
      <w:tr>
        <w:trPr>
          <w:trHeight w:val="210"/>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(115,680,915)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(14,359,481)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11,695,675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40,856,383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(3,591,283)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(1,382,227)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2,295,931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3,334,697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(1,157,021)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28,770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perpetual care trusts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325,908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1,065,459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(569,434,389)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(635,682,683)</w:t>
            </w: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577,997,140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577,555,622</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(966,375)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(4,187,580)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62,561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45,168</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(20,892,501)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(70,404,325)</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22,941,365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22,974,490</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(96,403,904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(80,155,707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8,853,710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8,743,867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(11,964,046)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(11,776,818)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127,265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288,454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(7,277,291)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(48,383,522)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(54,454,529)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59,618,050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97,119,014</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(61,081,557)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(77,374,340)</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(60,107,391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(41,176,509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(47,193,065)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7,558,681</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141,414,282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115,465,086</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94,221,217</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123,023,767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5,646,811</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5,464,423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468,578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2,684,737</w:t>
            </w: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49,428,757</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201,951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4,214,440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4,716,583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real estate construction costs and retainage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1,401,437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8,321,415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1,164,287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2,435,831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investment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931,079</w:t>
            </w:r>
          </w:p>
        </w:tc>
      </w:tr>
      <w:tr>
        <w:trPr>
          <w:trHeight w:val="439"/>
        </w:trPr>
        <w:tc>
          <w:tcPr>
            <w:tcW w:w="68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is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84,947,720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8,276,613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10,004,204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996,884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1,520,887</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8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94,221,217</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123,023,767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2021, included in the Company’s Annual Report on Form 10-K (File Number 000-09341). In the opinion of management, all adjustments (consisting of normal recurring accruals) considered necessary for a fair presentation have been included. Operating results for the three and nine months ended September 30, 2022 are not necessarily indicative of the results that may be expected for the year ending December 31, 2022.</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During 2020, the outbreak of COVID-19 had spread worldwide and was declared a global pandemic by the World Health Organization on March 11, 2020. COVID-19, and its variants, pose a threat to the health and economic well-being of the Company’s employees, customers, and vendors. The Company continues to closely monitor developments relating to COVID-19 and assess its impact on the Company’s business. The continued uncertainty surrounding COVID-19 has had and continues to have a significant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economic conditions. Most monetary and fiscal interventions have been significantly curtailed.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most businesses, COVID-19 has impacted the Company, including the temporary adoption of work from home arrangements and a restructuring of selling techniques for its products and services. The Company also experienced increased expenses for cleaning services of its offices. Throughout 2021 and 2022, the Company continued to adapt to the impact of COVID-19 and its related economic effects. The Company cannot, with any certainty predict the severity or duration with which COVID-19 will impact the Company’s business, financial condition, results of operations, and cash flows. To the extent COVID-19 adversely affects the Company’s business, financial condition, results of operations and cash flows, it may also have the effect of heightening many other risks to the Company. These uncertainties have the potential to negatively affect the risk of credit default for the issuers of the Company’s fixed maturity debt securities and individual borrowers with mortgage loans held by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2016-13: “Financial Instruments – Credit Losses (Topic 326)”</w:t>
      </w:r>
      <w:r>
        <w:rPr>
          <w:rFonts w:ascii="Times New Roman" w:cs="Times New Roman" w:eastAsia="Times New Roman" w:hAnsi="Times New Roman"/>
          <w:sz w:val="18"/>
          <w:szCs w:val="18"/>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has evaluated the potential impact of this standard and estimates that the allowance for credit losses will increase within a range of $500,000 to $750,000 for its residential mortgage loans held for investment. Upon adoption, on January 1, 2023, this will be an adjustment to the opening balance of retained earnings in stockholders’ equity. The Company is still evaluating the potential impact of this standard for its commercial mortgage loans held for investment.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has made progress in the implementation of the new standard, including the involvement of actuaries, accountants, and systems specialists. However, the Company has not yet estimated the impact the new guidance will have on the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line="19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September 30,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Gross Unrealized</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Gains</w:t>
            </w:r>
          </w:p>
        </w:tc>
        <w:tc>
          <w:tcPr>
            <w:tcW w:w="2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r>
      <w:tr>
        <w:trPr>
          <w:trHeight w:val="169"/>
        </w:trPr>
        <w:tc>
          <w:tcPr>
            <w:tcW w:w="508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0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92,703,449</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40,553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(2,712,674)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90,031,328</w:t>
            </w:r>
          </w:p>
        </w:tc>
      </w:tr>
      <w:tr>
        <w:trPr>
          <w:trHeight w:val="216"/>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6,967,633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68,118</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(357,711)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6,678,040</w:t>
            </w:r>
          </w:p>
        </w:tc>
      </w:tr>
      <w:tr>
        <w:trPr>
          <w:trHeight w:val="216"/>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207,475,636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1,360,888</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(14,314,429)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194,522,095</w:t>
            </w:r>
          </w:p>
        </w:tc>
      </w:tr>
      <w:tr>
        <w:trPr>
          <w:trHeight w:val="216"/>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32,865,784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170,765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(3,721,627)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29,314,922</w:t>
            </w:r>
          </w:p>
        </w:tc>
      </w:tr>
      <w:tr>
        <w:trPr>
          <w:trHeight w:val="216"/>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09"/>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340,262,502</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1,650,324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(21,106,441)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320,806,385</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9,792,380</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1,871,973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(1,293,321)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10,371,032</w:t>
            </w:r>
          </w:p>
        </w:tc>
      </w:tr>
      <w:tr>
        <w:trPr>
          <w:trHeight w:val="209"/>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9,792,380</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1,871,973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(1,293,321)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10,371,032</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89,281,273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201,685,076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33,350,108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(1,730,306)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(347,536)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320,563,600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investment - net of accumulated depreciation: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38,506,725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157,570,812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9"/>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196,077,537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150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151,553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13,066,150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42,614,272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2,588,400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9,081,500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(1,736,761)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9"/>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65,613,561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10,844,025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924,427,693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5540" w:right="1940" w:hanging="5472"/>
        <w:spacing w:after="0" w:line="534" w:lineRule="auto"/>
        <w:tabs>
          <w:tab w:leader="none" w:pos="3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$933,300 of Membership stock and $1,655,100 of Activity stock due to short-term borrowings and letters of credit.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7038" w:orient="portrait"/>
          <w:cols w:equalWidth="0" w:num="1">
            <w:col w:w="11240"/>
          </w:cols>
          <w:pgMar w:left="320" w:top="661" w:right="339" w:bottom="0" w:gutter="0" w:footer="0" w:header="0"/>
        </w:sectPr>
      </w:pPr>
    </w:p>
    <w:bookmarkStart w:id="13" w:name="page14"/>
    <w:bookmarkEnd w:id="1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2021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Gross Unrealized</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4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Gains</w:t>
            </w:r>
          </w:p>
        </w:tc>
        <w:tc>
          <w:tcPr>
            <w:tcW w:w="2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2021:</w:t>
            </w:r>
          </w:p>
        </w:tc>
        <w:tc>
          <w:tcPr>
            <w:tcW w:w="36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0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22,307,736</w:t>
            </w: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578,567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22,886,303</w:t>
            </w:r>
          </w:p>
        </w:tc>
      </w:tr>
      <w:tr>
        <w:trPr>
          <w:trHeight w:val="216"/>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4,649,917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212,803</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4,860,731</w:t>
            </w:r>
          </w:p>
        </w:tc>
      </w:tr>
      <w:tr>
        <w:trPr>
          <w:trHeight w:val="216"/>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174,711,061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21,791,370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(353,668)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196,148,763</w:t>
            </w:r>
          </w:p>
        </w:tc>
      </w:tr>
      <w:tr>
        <w:trPr>
          <w:trHeight w:val="216"/>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34,365,382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905,159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(161,332)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35,109,209</w:t>
            </w:r>
          </w:p>
        </w:tc>
      </w:tr>
      <w:tr>
        <w:trPr>
          <w:trHeight w:val="216"/>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13,383</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282,597</w:t>
            </w:r>
          </w:p>
        </w:tc>
      </w:tr>
      <w:tr>
        <w:trPr>
          <w:trHeight w:val="209"/>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236,303,310</w:t>
            </w:r>
          </w:p>
        </w:tc>
        <w:tc>
          <w:tcPr>
            <w:tcW w:w="1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23,501,282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(516,989)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259,287,603</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8,275,772</w:t>
            </w:r>
          </w:p>
        </w:tc>
        <w:tc>
          <w:tcPr>
            <w:tcW w:w="1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3,626,444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(305,802)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r>
      <w:tr>
        <w:trPr>
          <w:trHeight w:val="209"/>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8,275,772</w:t>
            </w:r>
          </w:p>
        </w:tc>
        <w:tc>
          <w:tcPr>
            <w:tcW w:w="1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3,626,444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(305,802)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53,533,712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175,117,783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51,683,022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(918,586)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(1,699,902)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(409,983)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investment - net of accumulated depreciation: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41,972,462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155,393,335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9"/>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197,365,797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2,540,698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3,731,300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48,632,808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(1,686,218)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67,955,155</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48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6,313,012</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823,555,327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(1)Includes $905,700 of Membership stock and $1,641,400 of Activity stock due to short-term advances and letters of credit.</w:t>
      </w:r>
    </w:p>
    <w:p>
      <w:pPr>
        <w:sectPr>
          <w:pgSz w:w="11900" w:h="16838" w:orient="portrait"/>
          <w:cols w:equalWidth="0" w:num="1">
            <w:col w:w="11240"/>
          </w:cols>
          <w:pgMar w:left="320" w:top="661" w:right="339" w:bottom="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unrealized losses on fixed maturity securities available for sale that were carried at estimated fair value at September 30, 2022 and at December 31, 2021. The unrealized losses were primarily related to interest rate fluctuations and uncertainties relating to COVID-19. The table below sets forth unrealized losses by duration with the fair value of the related fixed 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Losses for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Less than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More than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Combined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Twelve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34"/>
        </w:trPr>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Months</w:t>
            </w:r>
          </w:p>
        </w:tc>
        <w:tc>
          <w:tcPr>
            <w:tcW w:w="1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68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At September 30, 2022</w:t>
            </w:r>
          </w:p>
        </w:tc>
        <w:tc>
          <w:tcPr>
            <w:tcW w:w="23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0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2,712,674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88,813,356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2,712,674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88,813,356</w:t>
            </w:r>
          </w:p>
        </w:tc>
        <w:tc>
          <w:tcPr>
            <w:tcW w:w="80" w:type="dxa"/>
            <w:vAlign w:val="bottom"/>
          </w:tcPr>
          <w:p>
            <w:pPr>
              <w:spacing w:after="0"/>
              <w:rPr>
                <w:sz w:val="20"/>
                <w:szCs w:val="20"/>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278,757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4,671,643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430,230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357,711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5,101,873</w:t>
            </w:r>
          </w:p>
        </w:tc>
        <w:tc>
          <w:tcPr>
            <w:tcW w:w="80" w:type="dxa"/>
            <w:vAlign w:val="bottom"/>
            <w:shd w:val="clear" w:color="auto" w:fill="CCEEFF"/>
          </w:tcPr>
          <w:p>
            <w:pPr>
              <w:spacing w:after="0"/>
              <w:rPr>
                <w:sz w:val="18"/>
                <w:szCs w:val="18"/>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13,675,310</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159,071,249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639,119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3,930,859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14,314,429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163,002,108</w:t>
            </w:r>
          </w:p>
        </w:tc>
        <w:tc>
          <w:tcPr>
            <w:tcW w:w="80" w:type="dxa"/>
            <w:vAlign w:val="bottom"/>
          </w:tcPr>
          <w:p>
            <w:pPr>
              <w:spacing w:after="0"/>
              <w:rPr>
                <w:sz w:val="18"/>
                <w:szCs w:val="18"/>
                <w:color w:val="auto"/>
              </w:rPr>
            </w:pPr>
          </w:p>
        </w:tc>
      </w:tr>
      <w:tr>
        <w:trPr>
          <w:trHeight w:val="243"/>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2,715,858</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20,511,908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1,005,769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7,330,869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3,721,627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27,842,777</w:t>
            </w:r>
          </w:p>
        </w:tc>
        <w:tc>
          <w:tcPr>
            <w:tcW w:w="80" w:type="dxa"/>
            <w:vAlign w:val="bottom"/>
            <w:shd w:val="clear" w:color="auto" w:fill="CCEEFF"/>
          </w:tcPr>
          <w:p>
            <w:pPr>
              <w:spacing w:after="0"/>
              <w:rPr>
                <w:sz w:val="21"/>
                <w:szCs w:val="21"/>
                <w:color w:val="auto"/>
              </w:rPr>
            </w:pPr>
          </w:p>
        </w:tc>
      </w:tr>
      <w:tr>
        <w:trPr>
          <w:trHeight w:val="263"/>
        </w:trPr>
        <w:tc>
          <w:tcPr>
            <w:tcW w:w="4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19,382,599</w:t>
            </w:r>
          </w:p>
        </w:tc>
        <w:tc>
          <w:tcPr>
            <w:tcW w:w="3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273,068,156</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1,723,842</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11,691,958</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21,106,441</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284,760,114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5"/>
        </w:trPr>
        <w:tc>
          <w:tcPr>
            <w:tcW w:w="40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548,715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548,715</w:t>
            </w:r>
          </w:p>
        </w:tc>
        <w:tc>
          <w:tcPr>
            <w:tcW w:w="80" w:type="dxa"/>
            <w:vAlign w:val="bottom"/>
            <w:shd w:val="clear" w:color="auto" w:fill="CCEEFF"/>
          </w:tcPr>
          <w:p>
            <w:pPr>
              <w:spacing w:after="0"/>
              <w:rPr>
                <w:sz w:val="18"/>
                <w:szCs w:val="18"/>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73,507</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4,638,750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3,771,813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353,668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8,410,563</w:t>
            </w:r>
          </w:p>
        </w:tc>
        <w:tc>
          <w:tcPr>
            <w:tcW w:w="80" w:type="dxa"/>
            <w:vAlign w:val="bottom"/>
          </w:tcPr>
          <w:p>
            <w:pPr>
              <w:spacing w:after="0"/>
              <w:rPr>
                <w:sz w:val="18"/>
                <w:szCs w:val="18"/>
                <w:color w:val="auto"/>
              </w:rPr>
            </w:pPr>
          </w:p>
        </w:tc>
      </w:tr>
      <w:tr>
        <w:trPr>
          <w:trHeight w:val="243"/>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72,952</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7,934,760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1,582,804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161,332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9,517,564</w:t>
            </w:r>
          </w:p>
        </w:tc>
        <w:tc>
          <w:tcPr>
            <w:tcW w:w="80" w:type="dxa"/>
            <w:vAlign w:val="bottom"/>
            <w:shd w:val="clear" w:color="auto" w:fill="CCEEFF"/>
          </w:tcPr>
          <w:p>
            <w:pPr>
              <w:spacing w:after="0"/>
              <w:rPr>
                <w:sz w:val="21"/>
                <w:szCs w:val="21"/>
                <w:color w:val="auto"/>
              </w:rPr>
            </w:pPr>
          </w:p>
        </w:tc>
      </w:tr>
      <w:tr>
        <w:trPr>
          <w:trHeight w:val="223"/>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148,448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13,122,225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5,354,617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516,989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18,476,842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703 securities with fair value of 93.1% of aggregate amortized cost at September 30, 2022. There were 55 securities with fair value of 97.3% of aggregate amortized cost at December 31, 2021. No credit losses have been recognized for the three and nine months ended September 30, 2022 and 2021, since the increase in unrealized losses is primarily a result of the recent rise in interest rates.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evaluates its fixed maturity securities classified as available for sale. This evaluation includes a review of current ratings by the National Association of Insurance Commissions (“NAIC”). Securities with a rating of 1 or 2 are considered investment grade and are not reviewed for impairment, unless current market or recent company news could lead to a credit downgrade.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Company’s cumulative other than temporary credit impairments (“OTTI”) recognized in earnings on fixed maturity securities available for sale.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credit-related OTTI at January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370,975</w:t>
            </w: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credit impairments recognized 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not previously impaired</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previously impaired</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credit impairments previously recognized 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that matured or were sold during the period (realized)</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due to an increase in expected cash flows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credit-related OTTI at September 30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225,475</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370,975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September 30, 2022, by contractual maturity.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11,546,042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11,537,459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137,667,392</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132,904,405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67,911,889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63,435,713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90,021,395</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83,353,886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32,865,784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29,314,922</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260,000</w:t>
            </w:r>
          </w:p>
        </w:tc>
      </w:tr>
      <w:tr>
        <w:trPr>
          <w:trHeight w:val="223"/>
        </w:trPr>
        <w:tc>
          <w:tcPr>
            <w:tcW w:w="5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340,262,502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320,806,385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The Company had pledged a total of $86,320,358, at estimated fair value, of fixed maturity securities with the FHLB at September 30, 2022. These securities are used as collateral on any cash borrowings from the FHLB. As of September 30, 2022, the Company owed nil to the FHLB and its estimated maximum borrowing capacity was $83,051,896.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 w:name="page18"/>
    <w:bookmarkEnd w:id="17"/>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gains and losses from sales, calls, and maturities, unrealized gains and losses on equity securities, and other than temporary impairments from investments and other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8"/>
                <w:szCs w:val="18"/>
                <w:color w:val="auto"/>
              </w:rPr>
            </w:pPr>
          </w:p>
        </w:tc>
        <w:tc>
          <w:tcPr>
            <w:tcW w:w="262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30,121</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244,275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205,755</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517,934</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(26,203)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(16,812)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(36,961)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(31,698)</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26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(131,472)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119,614</w:t>
            </w:r>
          </w:p>
        </w:tc>
        <w:tc>
          <w:tcPr>
            <w:tcW w:w="26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(60,154)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372,194</w:t>
            </w:r>
          </w:p>
        </w:tc>
        <w:tc>
          <w:tcPr>
            <w:tcW w:w="80" w:type="dxa"/>
            <w:vAlign w:val="bottom"/>
          </w:tcPr>
          <w:p>
            <w:pPr>
              <w:spacing w:after="0"/>
              <w:rPr>
                <w:sz w:val="18"/>
                <w:szCs w:val="18"/>
                <w:color w:val="auto"/>
              </w:rPr>
            </w:pP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and (losses) on securities held at the end of the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(1,383,627)</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(122,505)</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(4,097,049)</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1,319,919</w:t>
            </w:r>
          </w:p>
        </w:tc>
        <w:tc>
          <w:tcPr>
            <w:tcW w:w="80" w:type="dxa"/>
            <w:vAlign w:val="bottom"/>
            <w:shd w:val="clear" w:color="auto" w:fill="CCEEFF"/>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59,599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855,282</w:t>
            </w:r>
          </w:p>
        </w:tc>
        <w:tc>
          <w:tcPr>
            <w:tcW w:w="26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1,892,630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2,702,084</w:t>
            </w: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(727,370)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(102,954)</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(825,593)</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(466,216)</w:t>
            </w: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(2,178,952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976,900</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(2,921,372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4,414,217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260" w:type="dxa"/>
            <w:vAlign w:val="bottom"/>
          </w:tcPr>
          <w:p>
            <w:pPr>
              <w:spacing w:after="0"/>
              <w:rPr>
                <w:sz w:val="18"/>
                <w:szCs w:val="18"/>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1,198,240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843,151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1,886,891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2,826,082</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21,926</w:t>
            </w:r>
          </w:p>
        </w:tc>
        <w:tc>
          <w:tcPr>
            <w:tcW w:w="3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13,878</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24,281</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223,010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(24,811)</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(3,249)</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(32,656)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(3,249)</w:t>
            </w:r>
          </w:p>
        </w:tc>
      </w:tr>
      <w:tr>
        <w:trPr>
          <w:trHeight w:val="439"/>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8" w:name="page19"/>
    <w:bookmarkEnd w:id="18"/>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4"/>
                <w:szCs w:val="24"/>
                <w:color w:val="auto"/>
              </w:rPr>
            </w:pPr>
          </w:p>
        </w:tc>
        <w:tc>
          <w:tcPr>
            <w:tcW w:w="26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3,188,521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2,667,848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8,636,387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8,189,971</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111,213</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382,246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345,482</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10,477,672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7,040,773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27,682,315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20,027,656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3,918,310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3,307,980</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10,970,535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9,353,459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213,520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229,857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727,103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694,345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4,218,184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4,781,079</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13,708,894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14,298,126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181,597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35,118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350,603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88,124</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514,869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81,186</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698,601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154,810</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22,852,085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18,255,054</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63,156,684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53,151,973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(4,249,015)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(3,162,092)</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(13,388,020)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(9,587,806)</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18,603,070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15,092,962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49,768,664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43,564,167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investment income includes income earned by the restricted assets of the cemeteries and mortuaries of $675,259 and $778,892 for the three months ended September 30, 2022 and 2021, respectively, and of $1,882,502 and $1,130,771 for the nine months ended September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expenses consist primarily of depreciation, property taxes, operating expenses of real estate and an estimated portion of administrative expenses relating to investment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and cash on deposit with regulatory authorities as required by law amounted to $11,048,787 at September 30, 2022 and $10,168,853 at December 31, 2021 (the December 31, 2021 amount has been corrected from that previously reported due to a typographical error). These restricted securities are included in various assets under investments on the accompanying condensed consolidated balance sheets.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investments, aggregated by issuer, in excess of 10% of shareholders’ equity (before net unrealized gains and losses on equity securities and fixed maturity securities) at September 30, 2022, other than investments issued or guaranteed by the United States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 w:name="page20"/>
    <w:bookmarkEnd w:id="19"/>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nine commercial properties in three states. These properties include office buildings, flex office space, and includes the redevelopment and expansion of its corporate campus (“Center53”) in Salt Lake City, Utah. The Company uses bank debt in strategic cases to leverage established yields or to acquire a higher quality or different class of asset.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aggregated net ending balance of commercial real estate that serves as collateral for bank loans was $133,785,749 and $134,251,205 as of September 30, 2022 and December 31, 2021, respectively. The associated bank loan carrying values totaled $97,562,264 and $85,663,148 as of September 30, 2022 and December 31, 2021,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and 2021, the Company did not record any impairment losses on commercial real estate held for investment or held for sale. During the nine months ended September 30, 2022 and 2021, the Company recorded impairment losses on commercial real estate held for sale of nil and $28,378, respectively. Impairment losses are included in gains (losses) on investment and other assets on the condensed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Net Ending Balance</w:t>
            </w:r>
          </w:p>
        </w:tc>
        <w:tc>
          <w:tcPr>
            <w:tcW w:w="80" w:type="dxa"/>
            <w:vAlign w:val="bottom"/>
          </w:tcPr>
          <w:p>
            <w:pPr>
              <w:spacing w:after="0"/>
              <w:rPr>
                <w:sz w:val="20"/>
                <w:szCs w:val="20"/>
                <w:color w:val="auto"/>
              </w:rPr>
            </w:pPr>
          </w:p>
        </w:tc>
        <w:tc>
          <w:tcPr>
            <w:tcW w:w="29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1"/>
        </w:trPr>
        <w:tc>
          <w:tcPr>
            <w:tcW w:w="1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17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152,280,425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150,105,948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8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2,392,288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2,426,612</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31,778</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31,778</w:t>
            </w:r>
          </w:p>
        </w:tc>
      </w:tr>
      <w:tr>
        <w:trPr>
          <w:trHeight w:val="23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2,898,099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2,860,775</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19,694</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19,694</w:t>
            </w:r>
          </w:p>
        </w:tc>
      </w:tr>
      <w:tr>
        <w:trPr>
          <w:trHeight w:val="209"/>
        </w:trPr>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17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157,570,812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155,393,335</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677,392</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677,392</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Includes Center53 phase 1 and phase 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Net Ending Balance</w:t>
            </w:r>
          </w:p>
        </w:tc>
        <w:tc>
          <w:tcPr>
            <w:tcW w:w="30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1"/>
        </w:trPr>
        <w:tc>
          <w:tcPr>
            <w:tcW w:w="1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6"/>
                <w:szCs w:val="16"/>
                <w:color w:val="auto"/>
              </w:rPr>
            </w:pPr>
          </w:p>
        </w:tc>
        <w:tc>
          <w:tcPr>
            <w:tcW w:w="1580" w:type="dxa"/>
            <w:vAlign w:val="bottom"/>
            <w:tcBorders>
              <w:top w:val="single" w:sz="8" w:color="auto"/>
            </w:tcBorders>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3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19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222,679</w:t>
            </w:r>
          </w:p>
        </w:tc>
        <w:tc>
          <w:tcPr>
            <w:tcW w:w="8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389,145</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2,872</w:t>
            </w:r>
          </w:p>
        </w:tc>
      </w:tr>
      <w:tr>
        <w:trPr>
          <w:trHeight w:val="23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151,553</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19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2,540,698</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225,551</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Approximately 93 acres of undeveloped land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property is being marketed with the assistance of commercial real estate brokers in the markets where the property is located.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 w:name="page21"/>
    <w:bookmarkEnd w:id="20"/>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occasionally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established Security National Real Estate Services (“SNRE”) to manage the residential portfolio. SNRE cultivates and maintains the preferred vendor relationships necessary to manage costs and quality of work performed on the residential portfolio across the country.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ending balance of foreclosed residential real estate included in residential real estate held for sale was nil and $1,190,602 as of September 30, 2022 and December 31, 2021,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and 2021 the Company did not record any impairment losses on residential real estate held for sale or held for investment. During the nine months ended September 30, 2022 and 2021 the Company recorded impairment losses on residential real estate held for sale of $94,400 and nil, respectively. Impairment losses are included in gains (losses) on investment and other assets on the condensed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Net Ending Balance</w:t>
            </w:r>
          </w:p>
        </w:tc>
      </w:tr>
      <w:tr>
        <w:trPr>
          <w:trHeight w:val="191"/>
        </w:trPr>
        <w:tc>
          <w:tcPr>
            <w:tcW w:w="5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38,506,725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41,686,281</w:t>
            </w:r>
          </w:p>
        </w:tc>
        <w:tc>
          <w:tcPr>
            <w:tcW w:w="80" w:type="dxa"/>
            <w:vAlign w:val="bottom"/>
            <w:shd w:val="clear" w:color="auto" w:fill="CCEEFF"/>
          </w:tcPr>
          <w:p>
            <w:pPr>
              <w:spacing w:after="0"/>
              <w:rPr>
                <w:sz w:val="18"/>
                <w:szCs w:val="18"/>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Washington (2)</w:t>
            </w:r>
          </w:p>
        </w:tc>
        <w:tc>
          <w:tcPr>
            <w:tcW w:w="1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286,181</w:t>
            </w:r>
          </w:p>
        </w:tc>
      </w:tr>
      <w:tr>
        <w:trPr>
          <w:trHeight w:val="223"/>
        </w:trPr>
        <w:tc>
          <w:tcPr>
            <w:tcW w:w="59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38,506,725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41,972,462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32" w:lineRule="exact"/>
        <w:rPr>
          <w:sz w:val="20"/>
          <w:szCs w:val="20"/>
          <w:color w:val="auto"/>
        </w:rPr>
      </w:pPr>
    </w:p>
    <w:p>
      <w:pPr>
        <w:ind w:left="360" w:hanging="29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subdivision land developments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residential lots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subdivision land developments in Utah.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38,307,821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41,479,434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Net Ending Balance</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200,962</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979,640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1,190,602</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9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2" w:right="339" w:bottom="1440" w:gutter="0" w:footer="0" w:header="0"/>
        </w:sectPr>
      </w:pPr>
    </w:p>
    <w:bookmarkStart w:id="21" w:name="page22"/>
    <w:bookmarkEnd w:id="21"/>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September 30, 2022,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Approximate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34"/>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Location</w:t>
            </w: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Square Footage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1"/>
        </w:trPr>
        <w:tc>
          <w:tcPr>
            <w:tcW w:w="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433</w:t>
            </w:r>
          </w:p>
        </w:tc>
        <w:tc>
          <w:tcPr>
            <w:tcW w:w="3760" w:type="dxa"/>
            <w:vAlign w:val="bottom"/>
            <w:tcBorders>
              <w:top w:val="single" w:sz="8" w:color="auto"/>
            </w:tcBorders>
            <w:gridSpan w:val="3"/>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West Ascension Way, Salt Lake City, UT -</w:t>
            </w:r>
          </w:p>
        </w:tc>
        <w:tc>
          <w:tcPr>
            <w:tcW w:w="2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Center53 Building 2</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Cemetery/Mortuary Operations, and Mortgage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and Sales</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221,000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River Oaks Dr., Flowood, MS</w:t>
            </w: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19,694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1818</w:t>
            </w:r>
          </w:p>
        </w:tc>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Street, Shreveport, LA (1)</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12,274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909</w:t>
            </w:r>
          </w:p>
        </w:tc>
        <w:tc>
          <w:tcPr>
            <w:tcW w:w="3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Foisy Street, Alexandria, LA (1)</w:t>
            </w: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8,059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w:t>
            </w:r>
          </w:p>
        </w:tc>
        <w:tc>
          <w:tcPr>
            <w:tcW w:w="3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Sheppard Street, Minden, LA (1)</w:t>
            </w: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1550</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 3rd Street, Jena, LA (1)</w:t>
            </w: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300" w:type="dxa"/>
            <w:vAlign w:val="bottom"/>
          </w:tcPr>
          <w:p>
            <w:pPr>
              <w:spacing w:after="0"/>
              <w:rPr>
                <w:sz w:val="19"/>
                <w:szCs w:val="19"/>
                <w:color w:val="auto"/>
              </w:rPr>
            </w:pPr>
          </w:p>
        </w:tc>
        <w:tc>
          <w:tcPr>
            <w:tcW w:w="8000" w:type="dxa"/>
            <w:vAlign w:val="bottom"/>
            <w:gridSpan w:val="6"/>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8"/>
        </w:trPr>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89"/>
              </w:rPr>
              <w:t>Included in property</w:t>
            </w:r>
          </w:p>
        </w:tc>
        <w:tc>
          <w:tcPr>
            <w:tcW w:w="6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and equipment on the consolidated balance sheets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September 30, 2022, the Company had 69%, 8%, 4%, 4%, 4% and 3% of its mortgage loans from borrowers located in the states of Utah, Florida, Texas, California, Arizona, and Nevada, respectively. At December 31, 2021, the Company had 70%, 7%, 5%, 4%, 4% and 2% of its mortgage loans from borrowers located in the states of Utah, Florida, California, Texas, Nevada and Arizona, respectively.</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will fund a loan not to exceed 80% of the fair market value of the loan’s collateral. Amounts over 80% will require additional collateral or mortgage insurance by an approved third-party insurer.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As a practical expedient,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 w:name="page23"/>
    <w:bookmarkEnd w:id="22"/>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Secured by family dwelling units. These loans are secured by first and second mortgages on the unit. The borrower’s ability to repay is sensitive to the life events and general economic condition of the region. Where loan to value exceeds 80%, the loan is generally guaranteed by private mortgage insurance, FHA or VA.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w:t>
      </w:r>
      <w:r>
        <w:rPr>
          <w:rFonts w:ascii="Times New Roman" w:cs="Times New Roman" w:eastAsia="Times New Roman" w:hAnsi="Times New Roman"/>
          <w:sz w:val="18"/>
          <w:szCs w:val="18"/>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3" w:name="page24"/>
    <w:bookmarkEnd w:id="23"/>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establishes a valuation allowance for credit losses in its mortgage loans held for investment portfolio. The following table presents the valuation allowance for loan losses as a contra-asset account.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Residential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Construction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1,469,571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1,699,902</w:t>
            </w: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(24,887)</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(24,887)</w:t>
            </w:r>
          </w:p>
        </w:tc>
      </w:tr>
      <w:tr>
        <w:trPr>
          <w:trHeight w:val="263"/>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1,444,684</w:t>
            </w:r>
          </w:p>
        </w:tc>
        <w:tc>
          <w:tcPr>
            <w:tcW w:w="3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1,675,015</w:t>
            </w:r>
          </w:p>
        </w:tc>
        <w:tc>
          <w:tcPr>
            <w:tcW w:w="220" w:type="dxa"/>
            <w:vAlign w:val="bottom"/>
            <w:tcBorders>
              <w:bottom w:val="single" w:sz="8" w:color="CCEEFF"/>
            </w:tcBorders>
          </w:tcPr>
          <w:p>
            <w:pPr>
              <w:spacing w:after="0"/>
              <w:rPr>
                <w:sz w:val="22"/>
                <w:szCs w:val="22"/>
                <w:color w:val="auto"/>
              </w:rPr>
            </w:pPr>
          </w:p>
        </w:tc>
      </w:tr>
      <w:tr>
        <w:trPr>
          <w:trHeight w:val="197"/>
        </w:trPr>
        <w:tc>
          <w:tcPr>
            <w:tcW w:w="5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41,139</w:t>
            </w:r>
          </w:p>
        </w:tc>
      </w:tr>
      <w:tr>
        <w:trPr>
          <w:trHeight w:val="197"/>
        </w:trPr>
        <w:tc>
          <w:tcPr>
            <w:tcW w:w="5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1,403,545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1,633,876</w:t>
            </w:r>
          </w:p>
        </w:tc>
      </w:tr>
      <w:tr>
        <w:trPr>
          <w:trHeight w:val="196"/>
        </w:trPr>
        <w:tc>
          <w:tcPr>
            <w:tcW w:w="5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33,350,108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89,281,273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201,685,076</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324,316,457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1,410,099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1,815,099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6"/>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32,945,108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87,871,174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201,685,076</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322,501,358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1,774,796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2,005,127</w:t>
            </w: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(305,225)</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(305,225)</w:t>
            </w:r>
          </w:p>
        </w:tc>
      </w:tr>
      <w:tr>
        <w:trPr>
          <w:trHeight w:val="263"/>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December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1,469,571</w:t>
            </w:r>
          </w:p>
        </w:tc>
        <w:tc>
          <w:tcPr>
            <w:tcW w:w="3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1,699,902</w:t>
            </w:r>
          </w:p>
        </w:tc>
        <w:tc>
          <w:tcPr>
            <w:tcW w:w="220" w:type="dxa"/>
            <w:vAlign w:val="bottom"/>
            <w:tcBorders>
              <w:bottom w:val="single" w:sz="8" w:color="CCEEFF"/>
            </w:tcBorders>
          </w:tcPr>
          <w:p>
            <w:pPr>
              <w:spacing w:after="0"/>
              <w:rPr>
                <w:sz w:val="22"/>
                <w:szCs w:val="22"/>
                <w:color w:val="auto"/>
              </w:rPr>
            </w:pPr>
          </w:p>
        </w:tc>
      </w:tr>
      <w:tr>
        <w:trPr>
          <w:trHeight w:val="196"/>
        </w:trPr>
        <w:tc>
          <w:tcPr>
            <w:tcW w:w="5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105,384</w:t>
            </w:r>
          </w:p>
        </w:tc>
      </w:tr>
      <w:tr>
        <w:trPr>
          <w:trHeight w:val="197"/>
        </w:trPr>
        <w:tc>
          <w:tcPr>
            <w:tcW w:w="5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1,364,187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1,594,518</w:t>
            </w:r>
          </w:p>
        </w:tc>
      </w:tr>
      <w:tr>
        <w:trPr>
          <w:trHeight w:val="197"/>
        </w:trPr>
        <w:tc>
          <w:tcPr>
            <w:tcW w:w="5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51,683,022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53,533,712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175,117,783</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280,334,517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1,723,372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2,548,656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4,272,028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49,959,650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50,985,056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175,117,783</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276,062,489(1)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32" w:lineRule="exact"/>
        <w:rPr>
          <w:sz w:val="20"/>
          <w:szCs w:val="20"/>
          <w:color w:val="auto"/>
        </w:rPr>
      </w:pPr>
    </w:p>
    <w:p>
      <w:pPr>
        <w:ind w:left="5540" w:right="5440" w:hanging="5532"/>
        <w:spacing w:after="0" w:line="409" w:lineRule="auto"/>
        <w:tabs>
          <w:tab w:leader="none" w:pos="26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corrected from that previously reported due to a typographical error.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4" w:name="page25"/>
    <w:bookmarkEnd w:id="24"/>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205,763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2,639,165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1,644,520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4,489,448</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721,148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626,023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1,347,171</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Than 90 Days (1)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1,088,810</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1,088,810</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321,289</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726,289</w:t>
            </w:r>
          </w:p>
        </w:tc>
      </w:tr>
      <w:tr>
        <w:trPr>
          <w:trHeight w:val="20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610,763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4,770,412</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2,270,543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7,651,718</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32,739,345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84,510,861</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199,414,533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316,664,739</w:t>
            </w:r>
          </w:p>
        </w:tc>
        <w:tc>
          <w:tcPr>
            <w:tcW w:w="100" w:type="dxa"/>
            <w:vAlign w:val="bottom"/>
            <w:shd w:val="clear" w:color="auto" w:fill="CCEEFF"/>
          </w:tcPr>
          <w:p>
            <w:pPr>
              <w:spacing w:after="0"/>
              <w:rPr>
                <w:sz w:val="18"/>
                <w:szCs w:val="18"/>
                <w:color w:val="auto"/>
              </w:rPr>
            </w:pPr>
          </w:p>
        </w:tc>
      </w:tr>
      <w:tr>
        <w:trPr>
          <w:trHeight w:val="20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33,350,108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89,281,273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201,685,076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324,316,457</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(1,444,684)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(1,675,015)</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(1,132,024)</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(513,890)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(1,730,306)</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(234,558)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(112,978)</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(347,536)</w:t>
            </w:r>
          </w:p>
        </w:tc>
      </w:tr>
      <w:tr>
        <w:trPr>
          <w:trHeight w:val="263"/>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Mortgage Loans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32,844,029</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86,591,587</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201,127,984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320,563,600</w:t>
            </w:r>
          </w:p>
        </w:tc>
        <w:tc>
          <w:tcPr>
            <w:tcW w:w="100" w:type="dxa"/>
            <w:vAlign w:val="bottom"/>
            <w:tcBorders>
              <w:bottom w:val="single" w:sz="8" w:color="CCEEFF"/>
            </w:tcBorders>
          </w:tcPr>
          <w:p>
            <w:pPr>
              <w:spacing w:after="0"/>
              <w:rPr>
                <w:sz w:val="22"/>
                <w:szCs w:val="22"/>
                <w:color w:val="auto"/>
              </w:rPr>
            </w:pPr>
          </w:p>
        </w:tc>
      </w:tr>
      <w:tr>
        <w:trPr>
          <w:trHeight w:val="196"/>
        </w:trPr>
        <w:tc>
          <w:tcPr>
            <w:tcW w:w="5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3,117,826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1,363,127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4,480,953</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580,815</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681,019</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Than 90 Days (1)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1,723,372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2,052,062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3,775,434</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496,594</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496,594</w:t>
            </w: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1,823,576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6,247,297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49,859,446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47,286,415</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173,754,656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270,900,517</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51,683,022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53,533,712</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175,117,783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280,334,517</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52"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0712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Pr>
          <w:p>
            <w:pPr>
              <w:spacing w:after="0"/>
              <w:rPr>
                <w:sz w:val="17"/>
                <w:szCs w:val="17"/>
                <w:color w:val="auto"/>
              </w:rPr>
            </w:pPr>
          </w:p>
        </w:tc>
        <w:tc>
          <w:tcPr>
            <w:tcW w:w="134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(187,129)</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(1,469,571)</w:t>
            </w:r>
          </w:p>
        </w:tc>
        <w:tc>
          <w:tcPr>
            <w:tcW w:w="15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(43,202)</w:t>
            </w:r>
          </w:p>
        </w:tc>
        <w:tc>
          <w:tcPr>
            <w:tcW w:w="13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(1,699,902)</w:t>
            </w:r>
          </w:p>
        </w:tc>
      </w:tr>
      <w:tr>
        <w:trPr>
          <w:trHeight w:val="216"/>
        </w:trPr>
        <w:tc>
          <w:tcPr>
            <w:tcW w:w="2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(36,813)</w:t>
            </w: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(498,600)</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(383,173)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(918,586)</w:t>
            </w:r>
          </w:p>
        </w:tc>
      </w:tr>
      <w:tr>
        <w:trPr>
          <w:trHeight w:val="248"/>
        </w:trPr>
        <w:tc>
          <w:tcPr>
            <w:tcW w:w="2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(240,614)</w:t>
            </w:r>
          </w:p>
        </w:tc>
        <w:tc>
          <w:tcPr>
            <w:tcW w:w="2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(169,369)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(409,983)</w:t>
            </w:r>
          </w:p>
        </w:tc>
      </w:tr>
      <w:tr>
        <w:trPr>
          <w:trHeight w:val="223"/>
        </w:trPr>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51,218,466</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51,396,172</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174,691,408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277,306,046</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-462280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652" w:right="339" w:bottom="1440" w:gutter="0" w:footer="0" w:header="0"/>
          <w:type w:val="continuous"/>
        </w:sectPr>
      </w:pPr>
    </w:p>
    <w:p>
      <w:pPr>
        <w:spacing w:after="0" w:line="52" w:lineRule="exact"/>
        <w:rPr>
          <w:sz w:val="20"/>
          <w:szCs w:val="20"/>
          <w:color w:val="auto"/>
        </w:rPr>
      </w:pPr>
    </w:p>
    <w:p>
      <w:pPr>
        <w:ind w:left="5540" w:right="4420" w:hanging="5472"/>
        <w:spacing w:after="0" w:line="657"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past due greater than 90 days or in foreclosure.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25" w:name="page26"/>
    <w:bookmarkEnd w:id="25"/>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Impaired Mortgage Loans Held for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Unpaid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Interest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Related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34"/>
        </w:trPr>
        <w:tc>
          <w:tcPr>
            <w:tcW w:w="1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Balance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Allowance</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Recognized</w:t>
            </w:r>
          </w:p>
        </w:tc>
      </w:tr>
      <w:tr>
        <w:trPr>
          <w:trHeight w:val="209"/>
        </w:trPr>
        <w:tc>
          <w:tcPr>
            <w:tcW w:w="3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405,000</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405,000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881,234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897,174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897,174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952,765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138,635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512,925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512,925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41,139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570,066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405,000</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405,000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881,234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1,410,099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1,410,099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41,139</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1,522,831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138,635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4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1,723,372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1,723,372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1,591,368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1,591,368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2,731,421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957,288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1,723,372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1,723,372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2,548,656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3,457,870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1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26" w:name="page27"/>
    <w:bookmarkEnd w:id="26"/>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00"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 Profile Based on Performance Status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performing and non-performing mortgage loans held for investment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20"/>
                <w:szCs w:val="20"/>
                <w:color w:val="auto"/>
              </w:rPr>
            </w:pPr>
          </w:p>
        </w:tc>
        <w:tc>
          <w:tcPr>
            <w:tcW w:w="234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Residential</w:t>
            </w: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34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September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7"/>
              </w:rPr>
              <w:t>December</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8"/>
              </w:rPr>
              <w:t>September</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97"/>
              </w:rPr>
              <w:t>December</w:t>
            </w: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8"/>
              </w:rPr>
              <w:t>September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December</w:t>
            </w:r>
          </w:p>
        </w:tc>
        <w:tc>
          <w:tcPr>
            <w:tcW w:w="220" w:type="dxa"/>
            <w:vAlign w:val="bottom"/>
          </w:tcPr>
          <w:p>
            <w:pPr>
              <w:spacing w:after="0"/>
              <w:rPr>
                <w:sz w:val="16"/>
                <w:szCs w:val="16"/>
                <w:color w:val="auto"/>
              </w:rPr>
            </w:pPr>
          </w:p>
        </w:tc>
        <w:tc>
          <w:tcPr>
            <w:tcW w:w="1220" w:type="dxa"/>
            <w:vAlign w:val="bottom"/>
            <w:tcBorders>
              <w:top w:val="single" w:sz="8" w:color="auto"/>
            </w:tcBorders>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8"/>
              </w:rPr>
              <w:t>September</w:t>
            </w:r>
          </w:p>
        </w:tc>
        <w:tc>
          <w:tcPr>
            <w:tcW w:w="102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December</w:t>
            </w:r>
          </w:p>
        </w:tc>
        <w:tc>
          <w:tcPr>
            <w:tcW w:w="100" w:type="dxa"/>
            <w:vAlign w:val="bottom"/>
            <w:gridSpan w:val="2"/>
          </w:tcPr>
          <w:p>
            <w:pPr>
              <w:spacing w:after="0"/>
              <w:rPr>
                <w:sz w:val="16"/>
                <w:szCs w:val="16"/>
                <w:color w:val="auto"/>
              </w:rPr>
            </w:pPr>
          </w:p>
        </w:tc>
      </w:tr>
      <w:tr>
        <w:trPr>
          <w:trHeight w:val="234"/>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30, 2022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30, 2022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31, 2021</w:t>
            </w:r>
          </w:p>
        </w:tc>
        <w:tc>
          <w:tcPr>
            <w:tcW w:w="2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30, 2022</w:t>
            </w:r>
          </w:p>
        </w:tc>
        <w:tc>
          <w:tcPr>
            <w:tcW w:w="12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31, 2021</w:t>
            </w:r>
          </w:p>
        </w:tc>
        <w:tc>
          <w:tcPr>
            <w:tcW w:w="2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30, 2022</w:t>
            </w:r>
          </w:p>
        </w:tc>
        <w:tc>
          <w:tcPr>
            <w:tcW w:w="2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32,945,108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49,959,650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87,871,174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50,985,056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$ 201,685,076</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$ 175,117,783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$ 322,501,358</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$ 276,062,489</w:t>
            </w:r>
          </w:p>
        </w:tc>
        <w:tc>
          <w:tcPr>
            <w:tcW w:w="80" w:type="dxa"/>
            <w:vAlign w:val="bottom"/>
            <w:shd w:val="clear" w:color="auto" w:fill="CCEEFF"/>
          </w:tcPr>
          <w:p>
            <w:pPr>
              <w:spacing w:after="0"/>
              <w:rPr>
                <w:sz w:val="18"/>
                <w:szCs w:val="18"/>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1,723,372</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1,410,099</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2,548,656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1,815,099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4,272,028</w:t>
            </w:r>
          </w:p>
        </w:tc>
        <w:tc>
          <w:tcPr>
            <w:tcW w:w="80" w:type="dxa"/>
            <w:vAlign w:val="bottom"/>
          </w:tcPr>
          <w:p>
            <w:pPr>
              <w:spacing w:after="0"/>
              <w:rPr>
                <w:sz w:val="19"/>
                <w:szCs w:val="19"/>
                <w:color w:val="auto"/>
              </w:rPr>
            </w:pPr>
          </w:p>
        </w:tc>
      </w:tr>
      <w:tr>
        <w:trPr>
          <w:trHeight w:val="210"/>
        </w:trPr>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33,350,108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51,683,022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89,281,273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53,533,712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201,685,076</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$ 175,117,783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324,316,457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280,334,517</w:t>
            </w:r>
          </w:p>
        </w:tc>
        <w:tc>
          <w:tcPr>
            <w:tcW w:w="80" w:type="dxa"/>
            <w:vAlign w:val="bottom"/>
          </w:tcPr>
          <w:p>
            <w:pPr>
              <w:spacing w:after="0"/>
              <w:rPr>
                <w:sz w:val="21"/>
                <w:szCs w:val="2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Non-Accrual Mortgage Loans Held for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totaled approximately $110,000 and $236,000 as of September 30, 2022 and December 31, 2021,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7" w:name="page28"/>
    <w:bookmarkEnd w:id="27"/>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183"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See Note 8 to the condensed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As of</w:t>
            </w: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161,981,923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302,776,827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161,668,488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294,481,503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313,435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8,295,324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certain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6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4,729,445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9,552,788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19,766,856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28,247,365</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2,570,511</w:t>
            </w:r>
          </w:p>
        </w:tc>
        <w:tc>
          <w:tcPr>
            <w:tcW w:w="3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2,336,573</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7,525,826</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6,836,754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28,940,898</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55,440,961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103,336,118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179,900,770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(3,271,282)</w:t>
            </w:r>
          </w:p>
        </w:tc>
        <w:tc>
          <w:tcPr>
            <w:tcW w:w="3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(380,696)</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(2,843,155)</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(549,093)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(4,131,363)</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(259,307)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(7,973,171)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(8,319,820)</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(230,321)</w:t>
            </w:r>
          </w:p>
        </w:tc>
        <w:tc>
          <w:tcPr>
            <w:tcW w:w="3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(432,468)</w:t>
            </w:r>
          </w:p>
        </w:tc>
        <w:tc>
          <w:tcPr>
            <w:tcW w:w="2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(829,243)</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(1,701,700)</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28,607,888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66,257,851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118,983,231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204,414,276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Loss Reserve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8" w:name="page29"/>
    <w:bookmarkEnd w:id="28"/>
    <w:p>
      <w:pPr>
        <w:jc w:val="center"/>
        <w:ind w:left="244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210"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Charge-offs, net of recaptured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0712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5715</wp:posOffset>
            </wp:positionV>
            <wp:extent cx="570039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640" w:hanging="63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2,447,139</w:t>
      </w:r>
    </w:p>
    <w:p>
      <w:pPr>
        <w:spacing w:after="0" w:line="2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5715</wp:posOffset>
            </wp:positionV>
            <wp:extent cx="570039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(1,450,626)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1"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1,825,756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572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8572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18"/>
          <w:szCs w:val="18"/>
          <w:color w:val="auto"/>
        </w:rPr>
        <w:t>2021</w:t>
      </w:r>
    </w:p>
    <w:p>
      <w:pPr>
        <w:spacing w:after="0" w:line="9" w:lineRule="exact"/>
        <w:rPr>
          <w:sz w:val="20"/>
          <w:szCs w:val="20"/>
          <w:color w:val="auto"/>
        </w:rPr>
      </w:pPr>
    </w:p>
    <w:p>
      <w:pPr>
        <w:ind w:left="546" w:hanging="546"/>
        <w:spacing w:after="0"/>
        <w:tabs>
          <w:tab w:leader="none" w:pos="5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20,583,618</w:t>
      </w:r>
    </w:p>
    <w:p>
      <w:pPr>
        <w:spacing w:after="0" w:line="22" w:lineRule="exact"/>
        <w:rPr>
          <w:rFonts w:ascii="Times New Roman" w:cs="Times New Roman" w:eastAsia="Times New Roman" w:hAnsi="Times New Roman"/>
          <w:sz w:val="18"/>
          <w:szCs w:val="18"/>
          <w:color w:val="auto"/>
        </w:rPr>
      </w:pPr>
    </w:p>
    <w:p>
      <w:pPr>
        <w:ind w:left="6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2,211,230</w:t>
      </w:r>
    </w:p>
    <w:p>
      <w:pPr>
        <w:spacing w:after="0" w:line="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(20,347,709)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572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1" w:lineRule="exact"/>
        <w:rPr>
          <w:sz w:val="20"/>
          <w:szCs w:val="20"/>
          <w:color w:val="auto"/>
        </w:rPr>
      </w:pPr>
    </w:p>
    <w:p>
      <w:pPr>
        <w:ind w:left="626" w:hanging="626"/>
        <w:spacing w:after="0"/>
        <w:tabs>
          <w:tab w:leader="none" w:pos="6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2,447,139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572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8572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220" w:space="720"/>
            <w:col w:w="1420" w:space="194"/>
            <w:col w:w="3686"/>
          </w:cols>
          <w:pgMar w:left="320" w:top="652" w:right="339" w:bottom="1440" w:gutter="0" w:footer="0" w:header="0"/>
          <w:type w:val="continuous"/>
        </w:sectPr>
      </w:pP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nine months ended September 30, 2022, $829,243 in reserves were added at a rate of 2.9 basis points per loan, the equivalent of $290 per $1,000,000 in loans originated. This is a decrease over the nine months ended September 30, 2021, when reserves of $1,701,700 were added at a rate of 3.0 basis points per loan originated, the equivalent of $300 per $1,000,000 in loans originated. In February 2021, SecurityNational Mortgage executed a settlement agreement with Lehman Holdings in relation to two adversary proceedings wherein all mortgage loan related claims were resolved, thereby ending all liabilities asserted by Lehman Holdings and conclusively ending all proceedings between SecurityNational Mortgage and Lehman Holdings. The full amount of SecurityNational Mortgage’s settlement payment was accounted for in the Company’s loan loss reserve as of December 31, 2020 and was paid during the first quarter 2021.The unique nature of COVID-19 creates significant difficulty for forecasting potential future losses. The Company will continue to monitor data and economic conditions in order to maintain adequate loss reserves on current production. Thus, the Company believes that the final loan loss reserve as of September 30, 2022, represents its best estimate for adequate loss reserves on loans sold.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29" w:name="page30"/>
    <w:bookmarkEnd w:id="29"/>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183"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three fixed option plans (the “2013 Plan”, the “2014 Director Plan” and the “2022 Plan”). Compensation expense for options issued of $230,853 and nil has been recognized for these plans for the three months ended September 30, 2022 and 2021, respectively, and $722,775 and $39,153 has been recognized for these plans for the nine months ended September 30, 2022 and 2021, respectively. As of September 30, 2022, the total unrecognized compensation expense related to the options issued was $159,861.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compensation plans as of September 30, 2022, and the changes during the nine months ended September 30, 2022, are presented below:</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effect of stock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September 30,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7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September 30, 2022</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September 30, 2022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outstanding at September 30, 2022 (1)</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exercisable at September 30, 2022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0712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34"/>
        </w:trPr>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Exercise Price</w:t>
            </w:r>
          </w:p>
        </w:tc>
        <w:tc>
          <w:tcPr>
            <w:tcW w:w="34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C Shares</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407"/>
        </w:trPr>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1,024,351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821,146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(1,591)</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7"/>
              </w:rPr>
              <w:t>1,003,210</w:t>
            </w:r>
          </w:p>
        </w:tc>
        <w:tc>
          <w:tcPr>
            <w:tcW w:w="22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862,203</w:t>
            </w:r>
          </w:p>
        </w:tc>
        <w:tc>
          <w:tcPr>
            <w:tcW w:w="4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line="20" w:lineRule="exact"/>
              <w:rPr>
                <w:sz w:val="1"/>
                <w:szCs w:val="1"/>
                <w:color w:val="auto"/>
              </w:rPr>
            </w:pPr>
          </w:p>
        </w:tc>
      </w:tr>
      <w:tr>
        <w:trPr>
          <w:trHeight w:val="655"/>
        </w:trPr>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978,835</w:t>
            </w:r>
          </w:p>
        </w:tc>
        <w:tc>
          <w:tcPr>
            <w:tcW w:w="240" w:type="dxa"/>
            <w:vAlign w:val="bottom"/>
            <w:gridSpan w:val="2"/>
            <w:vMerge w:val="continue"/>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804,703</w:t>
            </w:r>
          </w:p>
        </w:tc>
        <w:tc>
          <w:tcPr>
            <w:tcW w:w="420" w:type="dxa"/>
            <w:vAlign w:val="bottom"/>
            <w:gridSpan w:val="2"/>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1,239,795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0" w:type="dxa"/>
            <w:vAlign w:val="bottom"/>
          </w:tcPr>
          <w:p>
            <w:pPr>
              <w:spacing w:after="0"/>
              <w:rPr>
                <w:sz w:val="24"/>
                <w:szCs w:val="24"/>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4.32 years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years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0" w:type="dxa"/>
            <w:vAlign w:val="bottom"/>
          </w:tcPr>
          <w:p>
            <w:pPr>
              <w:spacing w:after="0"/>
              <w:rPr>
                <w:sz w:val="24"/>
                <w:szCs w:val="24"/>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4.19 years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years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1,775,100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939,395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1,819,950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1,055,445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-3522345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-3248025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-2973705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-2656840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-2365375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-2047875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-1748155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-1319530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-908050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-471170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360"/>
            <w:col w:w="6040"/>
          </w:cols>
          <w:pgMar w:left="320" w:top="652" w:right="339" w:bottom="1440" w:gutter="0" w:footer="0" w:header="0"/>
          <w:type w:val="continuous"/>
        </w:sectPr>
      </w:pPr>
    </w:p>
    <w:p>
      <w:pPr>
        <w:spacing w:after="0" w:line="52" w:lineRule="exact"/>
        <w:rPr>
          <w:sz w:val="20"/>
          <w:szCs w:val="20"/>
          <w:color w:val="auto"/>
        </w:rPr>
      </w:pPr>
    </w:p>
    <w:p>
      <w:pPr>
        <w:ind w:left="5540" w:right="4220" w:hanging="5472"/>
        <w:spacing w:after="0" w:line="657" w:lineRule="auto"/>
        <w:tabs>
          <w:tab w:leader="none" w:pos="3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$6.35 as of September 30, 2022 to derive intrinsic value.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30" w:name="page31"/>
    <w:bookmarkEnd w:id="30"/>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2022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 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compensation plans as of September 30, 2021, and the changes during the nine months ended September 30, 2021, are presented below:</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effect of stock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September 30, 2021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7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September 30, 2021</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September 30, 2021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outstanding at September 30, 2021 (1)</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exercisable at September 30, 2021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0712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34"/>
        </w:trPr>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Exercise Price</w:t>
            </w:r>
          </w:p>
        </w:tc>
        <w:tc>
          <w:tcPr>
            <w:tcW w:w="0" w:type="dxa"/>
            <w:vAlign w:val="bottom"/>
          </w:tcPr>
          <w:p>
            <w:pPr>
              <w:spacing w:after="0"/>
              <w:rPr>
                <w:sz w:val="1"/>
                <w:szCs w:val="1"/>
                <w:color w:val="auto"/>
              </w:rPr>
            </w:pPr>
          </w:p>
        </w:tc>
      </w:tr>
      <w:tr>
        <w:trPr>
          <w:trHeight w:val="407"/>
        </w:trPr>
        <w:tc>
          <w:tcPr>
            <w:tcW w:w="1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1,072,863</w:t>
            </w:r>
          </w:p>
        </w:tc>
        <w:tc>
          <w:tcPr>
            <w:tcW w:w="2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(134,362)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986,095</w:t>
            </w:r>
          </w:p>
        </w:tc>
        <w:tc>
          <w:tcPr>
            <w:tcW w:w="20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986,095</w:t>
            </w:r>
          </w:p>
        </w:tc>
        <w:tc>
          <w:tcPr>
            <w:tcW w:w="20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364,851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40" w:type="dxa"/>
            <w:vAlign w:val="bottom"/>
          </w:tcPr>
          <w:p>
            <w:pPr>
              <w:spacing w:after="0"/>
              <w:rPr>
                <w:sz w:val="24"/>
                <w:szCs w:val="24"/>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4.94 years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0" w:type="dxa"/>
            <w:vAlign w:val="bottom"/>
          </w:tcPr>
          <w:p>
            <w:pPr>
              <w:spacing w:after="0"/>
              <w:rPr>
                <w:sz w:val="24"/>
                <w:szCs w:val="24"/>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4.94 years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3,868,045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3,868,045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-3522345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-3248025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-2974340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-2047875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-1319530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-908050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-471170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-1748155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-2365375</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-2656840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ind w:left="69"/>
        <w:spacing w:after="0"/>
        <w:rPr>
          <w:sz w:val="20"/>
          <w:szCs w:val="20"/>
          <w:color w:val="auto"/>
        </w:rPr>
      </w:pPr>
      <w:r>
        <w:rPr>
          <w:rFonts w:ascii="Times New Roman" w:cs="Times New Roman" w:eastAsia="Times New Roman" w:hAnsi="Times New Roman"/>
          <w:sz w:val="18"/>
          <w:szCs w:val="18"/>
          <w:color w:val="auto"/>
        </w:rPr>
        <w:t>Class 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797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662,666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33,136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797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695,802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797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695,802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797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279,825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797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 years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 years</w:t>
      </w:r>
    </w:p>
    <w:p>
      <w:pPr>
        <w:spacing w:after="0" w:line="200" w:lineRule="exact"/>
        <w:rPr>
          <w:sz w:val="20"/>
          <w:szCs w:val="20"/>
          <w:color w:val="auto"/>
        </w:rPr>
      </w:pPr>
    </w:p>
    <w:p>
      <w:pPr>
        <w:spacing w:after="0" w:line="268" w:lineRule="exact"/>
        <w:rPr>
          <w:sz w:val="20"/>
          <w:szCs w:val="20"/>
          <w:color w:val="auto"/>
        </w:rPr>
      </w:pPr>
    </w:p>
    <w:p>
      <w:pPr>
        <w:ind w:left="509" w:hanging="509"/>
        <w:spacing w:after="0"/>
        <w:tabs>
          <w:tab w:leader="none" w:pos="5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2,515,840</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09" w:hanging="509"/>
        <w:spacing w:after="0"/>
        <w:tabs>
          <w:tab w:leader="none" w:pos="5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2,515,840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797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7797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-436245</wp:posOffset>
            </wp:positionV>
            <wp:extent cx="7797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left="97" w:right="103"/>
        <w:spacing w:after="0" w:line="266" w:lineRule="auto"/>
        <w:rPr>
          <w:sz w:val="20"/>
          <w:szCs w:val="20"/>
          <w:color w:val="auto"/>
        </w:rPr>
      </w:pPr>
      <w:r>
        <w:rPr>
          <w:rFonts w:ascii="Times New Roman" w:cs="Times New Roman" w:eastAsia="Times New Roman" w:hAnsi="Times New Roman"/>
          <w:sz w:val="18"/>
          <w:szCs w:val="18"/>
          <w:color w:val="auto"/>
        </w:rPr>
        <w:t>Weighted Average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797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169" w:lineRule="exact"/>
        <w:rPr>
          <w:sz w:val="20"/>
          <w:szCs w:val="20"/>
          <w:color w:val="auto"/>
        </w:rPr>
      </w:pPr>
    </w:p>
    <w:p>
      <w:pPr>
        <w:ind w:left="917" w:hanging="917"/>
        <w:spacing w:after="0"/>
        <w:tabs>
          <w:tab w:leader="none" w:pos="9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17" w:hanging="917"/>
        <w:spacing w:after="0"/>
        <w:tabs>
          <w:tab w:leader="none" w:pos="9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917" w:hanging="917"/>
        <w:spacing w:after="0"/>
        <w:tabs>
          <w:tab w:leader="none" w:pos="9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w:t>
      </w:r>
    </w:p>
    <w:p>
      <w:pPr>
        <w:spacing w:after="0" w:line="3737" w:lineRule="exact"/>
        <w:rPr>
          <w:sz w:val="20"/>
          <w:szCs w:val="20"/>
          <w:color w:val="auto"/>
        </w:rPr>
      </w:pPr>
    </w:p>
    <w:p>
      <w:pPr>
        <w:sectPr>
          <w:pgSz w:w="11900" w:h="16838" w:orient="portrait"/>
          <w:cols w:equalWidth="0" w:num="4">
            <w:col w:w="4840" w:space="360"/>
            <w:col w:w="2820" w:space="331"/>
            <w:col w:w="1229" w:space="323"/>
            <w:col w:w="1337"/>
          </w:cols>
          <w:pgMar w:left="320" w:top="652" w:right="339" w:bottom="1440" w:gutter="0" w:footer="0" w:header="0"/>
          <w:type w:val="continuous"/>
        </w:sectPr>
      </w:pPr>
    </w:p>
    <w:p>
      <w:pPr>
        <w:spacing w:after="0" w:line="52" w:lineRule="exact"/>
        <w:rPr>
          <w:sz w:val="20"/>
          <w:szCs w:val="20"/>
          <w:color w:val="auto"/>
        </w:rPr>
      </w:pPr>
    </w:p>
    <w:p>
      <w:pPr>
        <w:ind w:left="360" w:right="20" w:hanging="292"/>
        <w:spacing w:after="0" w:line="282"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$8.23 as of September 30, 2021, which was the closing price of the Company’s Class A shares on Nasdaq for that day, to derive intrinsic value.</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nine months September 30, 2022 and 2021 was $521,527 and $591,603,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31" w:name="page32"/>
    <w:bookmarkEnd w:id="31"/>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(loss)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(loss) per share amounts have been retroactively adjusted for the effect of annual stock dividends. In accordance with GAAP, the basic and diluted earnings (loss) per share amounts were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6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(2,353,185)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10,790,730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4,449,982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34,176,924</w:t>
            </w:r>
          </w:p>
        </w:tc>
        <w:tc>
          <w:tcPr>
            <w:tcW w:w="100" w:type="dxa"/>
            <w:vAlign w:val="bottom"/>
          </w:tcPr>
          <w:p>
            <w:pPr>
              <w:spacing w:after="0"/>
              <w:rPr>
                <w:sz w:val="24"/>
                <w:szCs w:val="24"/>
                <w:color w:val="auto"/>
              </w:rPr>
            </w:pP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20,926,823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21,152,747</w:t>
            </w:r>
          </w:p>
        </w:tc>
        <w:tc>
          <w:tcPr>
            <w:tcW w:w="2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21,164,377</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21,109,092</w:t>
            </w:r>
          </w:p>
        </w:tc>
        <w:tc>
          <w:tcPr>
            <w:tcW w:w="10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685,432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860,967</w:t>
            </w:r>
          </w:p>
        </w:tc>
        <w:tc>
          <w:tcPr>
            <w:tcW w:w="2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783,207</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850,960</w:t>
            </w:r>
          </w:p>
        </w:tc>
        <w:tc>
          <w:tcPr>
            <w:tcW w:w="10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21,612,255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22,013,714</w:t>
            </w:r>
          </w:p>
        </w:tc>
        <w:tc>
          <w:tcPr>
            <w:tcW w:w="24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21,947,584</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21,960,052</w:t>
            </w:r>
          </w:p>
        </w:tc>
        <w:tc>
          <w:tcPr>
            <w:tcW w:w="100" w:type="dxa"/>
            <w:vAlign w:val="bottom"/>
          </w:tcPr>
          <w:p>
            <w:pPr>
              <w:spacing w:after="0"/>
              <w:rPr>
                <w:sz w:val="24"/>
                <w:szCs w:val="24"/>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net earnings (loss) per share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4"/>
                <w:szCs w:val="24"/>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(loss) per share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September 30, 2022 and 2021, there were 339,150 and nil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ectPr>
          <w:pgSz w:w="11900" w:h="16838" w:orient="portrait"/>
          <w:cols w:equalWidth="0" w:num="1">
            <w:col w:w="11240"/>
          </w:cols>
          <w:pgMar w:left="320" w:top="66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Class A</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Class C</w:t>
            </w:r>
          </w:p>
        </w:tc>
      </w:tr>
      <w:tr>
        <w:trPr>
          <w:trHeight w:val="228"/>
        </w:trPr>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16,595,783</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2,679,603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111,608</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6"/>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837,410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131,553</w:t>
            </w:r>
          </w:p>
        </w:tc>
        <w:tc>
          <w:tcPr>
            <w:tcW w:w="40" w:type="dxa"/>
            <w:vAlign w:val="bottom"/>
          </w:tcPr>
          <w:p>
            <w:pPr>
              <w:spacing w:after="0"/>
              <w:rPr>
                <w:sz w:val="18"/>
                <w:szCs w:val="18"/>
                <w:color w:val="auto"/>
              </w:rPr>
            </w:pPr>
          </w:p>
        </w:tc>
      </w:tr>
      <w:tr>
        <w:trPr>
          <w:trHeight w:val="248"/>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49,247</w:t>
            </w:r>
          </w:p>
        </w:tc>
        <w:tc>
          <w:tcPr>
            <w:tcW w:w="24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(49,247)</w:t>
            </w:r>
          </w:p>
        </w:tc>
      </w:tr>
      <w:tr>
        <w:trPr>
          <w:trHeight w:val="453"/>
        </w:trPr>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17,594,048</w:t>
            </w:r>
          </w:p>
        </w:tc>
        <w:tc>
          <w:tcPr>
            <w:tcW w:w="240" w:type="dxa"/>
            <w:vAlign w:val="bottom"/>
          </w:tcPr>
          <w:p>
            <w:pPr>
              <w:spacing w:after="0"/>
              <w:rPr>
                <w:sz w:val="24"/>
                <w:szCs w:val="24"/>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2,761,909</w:t>
            </w:r>
          </w:p>
        </w:tc>
        <w:tc>
          <w:tcPr>
            <w:tcW w:w="40" w:type="dxa"/>
            <w:vAlign w:val="bottom"/>
          </w:tcPr>
          <w:p>
            <w:pPr>
              <w:spacing w:after="0"/>
              <w:rPr>
                <w:sz w:val="24"/>
                <w:szCs w:val="24"/>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17,642,722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2,866,565</w:t>
            </w:r>
          </w:p>
        </w:tc>
        <w:tc>
          <w:tcPr>
            <w:tcW w:w="40" w:type="dxa"/>
            <w:vAlign w:val="bottom"/>
          </w:tcPr>
          <w:p>
            <w:pPr>
              <w:spacing w:after="0"/>
              <w:rPr>
                <w:sz w:val="24"/>
                <w:szCs w:val="24"/>
                <w:color w:val="auto"/>
              </w:rPr>
            </w:pPr>
          </w:p>
        </w:tc>
      </w:tr>
      <w:tr>
        <w:trPr>
          <w:trHeight w:val="414"/>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69,096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6"/>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889,554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139,462</w:t>
            </w:r>
          </w:p>
        </w:tc>
        <w:tc>
          <w:tcPr>
            <w:tcW w:w="40" w:type="dxa"/>
            <w:vAlign w:val="bottom"/>
          </w:tcPr>
          <w:p>
            <w:pPr>
              <w:spacing w:after="0"/>
              <w:rPr>
                <w:sz w:val="18"/>
                <w:szCs w:val="18"/>
                <w:color w:val="auto"/>
              </w:rPr>
            </w:pPr>
          </w:p>
        </w:tc>
      </w:tr>
      <w:tr>
        <w:trPr>
          <w:trHeight w:val="248"/>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116,168</w:t>
            </w:r>
          </w:p>
        </w:tc>
        <w:tc>
          <w:tcPr>
            <w:tcW w:w="24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(116,168)</w:t>
            </w:r>
          </w:p>
        </w:tc>
      </w:tr>
      <w:tr>
        <w:trPr>
          <w:trHeight w:val="453"/>
        </w:trPr>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18,717,540</w:t>
            </w:r>
          </w:p>
        </w:tc>
        <w:tc>
          <w:tcPr>
            <w:tcW w:w="240" w:type="dxa"/>
            <w:vAlign w:val="bottom"/>
          </w:tcPr>
          <w:p>
            <w:pPr>
              <w:spacing w:after="0"/>
              <w:rPr>
                <w:sz w:val="24"/>
                <w:szCs w:val="24"/>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2,889,859</w:t>
            </w:r>
          </w:p>
        </w:tc>
        <w:tc>
          <w:tcPr>
            <w:tcW w:w="40" w:type="dxa"/>
            <w:vAlign w:val="bottom"/>
          </w:tcPr>
          <w:p>
            <w:pPr>
              <w:spacing w:after="0"/>
              <w:rPr>
                <w:sz w:val="24"/>
                <w:szCs w:val="24"/>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5720" w:space="220"/>
            <w:col w:w="5300"/>
          </w:cols>
          <w:pgMar w:left="320" w:top="661" w:right="339" w:bottom="1440" w:gutter="0" w:footer="0" w:header="0"/>
          <w:type w:val="continuous"/>
        </w:sectPr>
      </w:pPr>
    </w:p>
    <w:bookmarkStart w:id="32" w:name="page33"/>
    <w:bookmarkEnd w:id="3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Significant Accounting Principles of the Form 10-K for the year ended December 31, 2021. Intersegment revenues are recorded at cost plus an agreed upon intercompany profit, and are eliminated upon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Cemetery/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Mortuary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09"/>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43,118,076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6,691,998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33,667,146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83,477,220</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1,723,812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91,699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(1,916,530)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4,233,619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901,084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(8,437,047)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(3,302,344)</w:t>
            </w:r>
          </w:p>
        </w:tc>
      </w:tr>
      <w:tr>
        <w:trPr>
          <w:trHeight w:val="216"/>
        </w:trPr>
        <w:tc>
          <w:tcPr>
            <w:tcW w:w="1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125,786,154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21,446,210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134,237,417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281,469,781</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5,495,578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359,439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253,554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(6,108,571)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8,981,888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4,407,339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(7,518,209)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5,871,018</w:t>
            </w:r>
          </w:p>
        </w:tc>
      </w:tr>
      <w:tr>
        <w:trPr>
          <w:trHeight w:val="216"/>
        </w:trPr>
        <w:tc>
          <w:tcPr>
            <w:tcW w:w="1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1,222,265,692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80,402,663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239,915,479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(87,763,750)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1,454,820,084</w:t>
            </w: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23"/>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1,225,031,262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82,890,876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239,915,479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(87,763,750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1,460,073,867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2021</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42,039,638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6,705,347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70,764,146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119,509,131</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1,756,860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153,502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(1,989,458)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3,721,220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1,747,493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8,674,680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14,143,393</w:t>
            </w:r>
          </w:p>
        </w:tc>
      </w:tr>
      <w:tr>
        <w:trPr>
          <w:trHeight w:val="216"/>
        </w:trPr>
        <w:tc>
          <w:tcPr>
            <w:tcW w:w="1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2021</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121,640,865</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20,512,534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216,764,653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358,918,052</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5,409,841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234,905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470,534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(6,115,280)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11,110,425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6,717,763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27,347,612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45,175,800</w:t>
            </w:r>
          </w:p>
        </w:tc>
      </w:tr>
      <w:tr>
        <w:trPr>
          <w:trHeight w:val="216"/>
        </w:trPr>
        <w:tc>
          <w:tcPr>
            <w:tcW w:w="1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1,241,514,729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63,265,518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328,274,954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(78,248,809)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1,554,806,392</w:t>
            </w: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754,018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3,519,588</w:t>
            </w:r>
          </w:p>
        </w:tc>
      </w:tr>
      <w:tr>
        <w:trPr>
          <w:trHeight w:val="223"/>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1,244,280,299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64,019,536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328,274,954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(78,248,809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1,558,325,980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1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mutual funds and equity securities and fixed maturity securities that have quoted market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Call and Put Option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call and put options are based on quoted market prices.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right="7340" w:firstLine="8"/>
        <w:spacing w:after="0" w:line="499" w:lineRule="auto"/>
        <w:tabs>
          <w:tab w:leader="none" w:pos="1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into loan commitments with potential borrowers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The Company believes that in an orderly market, fair value will approximate the replacement cost of a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at 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Identical Assets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320,806,385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319,181,187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1,625,198</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10,371,032</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10,371,032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161,981,923</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161,981,923</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1,210,443</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1,210,443</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4,520,493</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4,520,493</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262,494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262,494</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3,177,608</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3,177,608</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5,922,415</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5,922,415</w:t>
            </w:r>
          </w:p>
        </w:tc>
        <w:tc>
          <w:tcPr>
            <w:tcW w:w="100" w:type="dxa"/>
            <w:vAlign w:val="bottom"/>
            <w:shd w:val="clear" w:color="auto" w:fill="CCEEFF"/>
          </w:tcPr>
          <w:p>
            <w:pPr>
              <w:spacing w:after="0"/>
              <w:rPr>
                <w:sz w:val="19"/>
                <w:szCs w:val="19"/>
                <w:color w:val="auto"/>
              </w:rPr>
            </w:pPr>
          </w:p>
        </w:tc>
      </w:tr>
      <w:tr>
        <w:trPr>
          <w:trHeight w:val="178"/>
        </w:trPr>
        <w:tc>
          <w:tcPr>
            <w:tcW w:w="4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 recurring</w:t>
            </w: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508,252,793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18,069,133</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320,654,124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169,529,536</w:t>
            </w:r>
          </w:p>
        </w:tc>
        <w:tc>
          <w:tcPr>
            <w:tcW w:w="100" w:type="dxa"/>
            <w:vAlign w:val="bottom"/>
          </w:tcPr>
          <w:p>
            <w:pPr>
              <w:spacing w:after="0"/>
              <w:rPr>
                <w:sz w:val="24"/>
                <w:szCs w:val="24"/>
                <w:color w:val="auto"/>
              </w:rPr>
            </w:pPr>
          </w:p>
        </w:tc>
      </w:tr>
      <w:tr>
        <w:trPr>
          <w:trHeight w:val="197"/>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 recurring</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(18,982)</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(1,750,055)</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(1,750,055)</w:t>
            </w:r>
          </w:p>
        </w:tc>
      </w:tr>
      <w:tr>
        <w:trPr>
          <w:trHeight w:val="178"/>
        </w:trPr>
        <w:tc>
          <w:tcPr>
            <w:tcW w:w="4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 on a</w:t>
            </w: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(1,770,725)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(20,670)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(1,750,055)</w:t>
            </w: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hanging="29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Identical Assets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259,287,603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257,264,255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11,596,414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11,596,414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302,776,827</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302,776,827</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1,601,688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1,601,688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3,603,822</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3,603,822</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784,765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784,765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3,302,480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3,302,480</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8,563,410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8,563,410</w:t>
            </w:r>
          </w:p>
        </w:tc>
        <w:tc>
          <w:tcPr>
            <w:tcW w:w="100" w:type="dxa"/>
            <w:vAlign w:val="bottom"/>
            <w:shd w:val="clear" w:color="auto" w:fill="CCEEFF"/>
          </w:tcPr>
          <w:p>
            <w:pPr>
              <w:spacing w:after="0"/>
              <w:rPr>
                <w:sz w:val="19"/>
                <w:szCs w:val="19"/>
                <w:color w:val="auto"/>
              </w:rPr>
            </w:pPr>
          </w:p>
        </w:tc>
      </w:tr>
      <w:tr>
        <w:trPr>
          <w:trHeight w:val="178"/>
        </w:trPr>
        <w:tc>
          <w:tcPr>
            <w:tcW w:w="4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 recurring</w:t>
            </w: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591,517,009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18,502,716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259,650,708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313,363,585</w:t>
            </w:r>
          </w:p>
        </w:tc>
        <w:tc>
          <w:tcPr>
            <w:tcW w:w="100" w:type="dxa"/>
            <w:vAlign w:val="bottom"/>
          </w:tcPr>
          <w:p>
            <w:pPr>
              <w:spacing w:after="0"/>
              <w:rPr>
                <w:sz w:val="24"/>
                <w:szCs w:val="24"/>
                <w:color w:val="auto"/>
              </w:rPr>
            </w:pPr>
          </w:p>
        </w:tc>
      </w:tr>
      <w:tr>
        <w:trPr>
          <w:trHeight w:val="197"/>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 recurring</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(50,936)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(4,493)</w:t>
            </w:r>
          </w:p>
        </w:tc>
        <w:tc>
          <w:tcPr>
            <w:tcW w:w="1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(4,493)</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(1,547,895)</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(1,547,895)</w:t>
            </w:r>
          </w:p>
        </w:tc>
      </w:tr>
      <w:tr>
        <w:trPr>
          <w:trHeight w:val="178"/>
        </w:trPr>
        <w:tc>
          <w:tcPr>
            <w:tcW w:w="4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 on a</w:t>
            </w: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(1,603,324)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(55,429)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(1,547,895)</w:t>
            </w: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hanging="29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1783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September 30, 2022,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200" w:type="dxa"/>
            <w:vAlign w:val="bottom"/>
          </w:tcPr>
          <w:p>
            <w:pPr>
              <w:spacing w:after="0"/>
              <w:rPr>
                <w:sz w:val="22"/>
                <w:szCs w:val="22"/>
                <w:color w:val="auto"/>
              </w:rPr>
            </w:pPr>
          </w:p>
        </w:tc>
        <w:tc>
          <w:tcPr>
            <w:tcW w:w="20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Range of Inputs</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8"/>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Fair Value at</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Valuation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20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Minimum</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Maximum</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Weighted</w:t>
            </w:r>
          </w:p>
        </w:tc>
      </w:tr>
      <w:tr>
        <w:trPr>
          <w:trHeight w:val="234"/>
        </w:trPr>
        <w:tc>
          <w:tcPr>
            <w:tcW w:w="258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9/30/2022</w:t>
            </w:r>
          </w:p>
        </w:tc>
        <w:tc>
          <w:tcPr>
            <w:tcW w:w="2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Technique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Input(s)</w:t>
            </w:r>
          </w:p>
        </w:tc>
        <w:tc>
          <w:tcPr>
            <w:tcW w:w="2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Value</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Value</w:t>
            </w:r>
          </w:p>
        </w:tc>
        <w:tc>
          <w:tcPr>
            <w:tcW w:w="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5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Investor contract pricing as a</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percentage of unpaid principal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$ 161,981,923</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approach</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107.7%</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 commitments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Market</w:t>
            </w:r>
          </w:p>
        </w:tc>
        <w:tc>
          <w:tcPr>
            <w:tcW w:w="2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4,172,360</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approach</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Pull-through rate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Initial-Value</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Servicing</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 bps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 bps</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 bps</w:t>
            </w:r>
          </w:p>
        </w:tc>
      </w:tr>
      <w:tr>
        <w:trPr>
          <w:trHeight w:val="216"/>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1,625,198</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Broker quotes</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Pricing quotes</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101.41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111.11</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106.44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2021,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200" w:type="dxa"/>
            <w:vAlign w:val="bottom"/>
          </w:tcPr>
          <w:p>
            <w:pPr>
              <w:spacing w:after="0"/>
              <w:rPr>
                <w:sz w:val="22"/>
                <w:szCs w:val="22"/>
                <w:color w:val="auto"/>
              </w:rPr>
            </w:pPr>
          </w:p>
        </w:tc>
        <w:tc>
          <w:tcPr>
            <w:tcW w:w="20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Range of Inputs</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8"/>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Fair Value at</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Valuation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20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Minimum</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Maximum</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Weighted</w:t>
            </w:r>
          </w:p>
        </w:tc>
      </w:tr>
      <w:tr>
        <w:trPr>
          <w:trHeight w:val="234"/>
        </w:trPr>
        <w:tc>
          <w:tcPr>
            <w:tcW w:w="25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12/31/2021</w:t>
            </w:r>
          </w:p>
        </w:tc>
        <w:tc>
          <w:tcPr>
            <w:tcW w:w="2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Technique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Input(s)</w:t>
            </w:r>
          </w:p>
        </w:tc>
        <w:tc>
          <w:tcPr>
            <w:tcW w:w="2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Value</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Value</w:t>
            </w:r>
          </w:p>
        </w:tc>
        <w:tc>
          <w:tcPr>
            <w:tcW w:w="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5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Investor contract pricing as a</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percentage of unpaid principal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$ 302,776,827</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approach</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 commitments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Market</w:t>
            </w:r>
          </w:p>
        </w:tc>
        <w:tc>
          <w:tcPr>
            <w:tcW w:w="2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7,015,515</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approach</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Pull-through rate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Initial-Value</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Servicing</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 bps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 bps</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 bps</w:t>
            </w:r>
          </w:p>
        </w:tc>
      </w:tr>
      <w:tr>
        <w:trPr>
          <w:trHeight w:val="216"/>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2,023,348</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Broker quotes</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Pricing quotes</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96.87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111.11</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106.73</w:t>
            </w:r>
          </w:p>
        </w:tc>
      </w:tr>
      <w:tr>
        <w:trPr>
          <w:trHeight w:val="439"/>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9" w:name="page40"/>
    <w:bookmarkEnd w:id="39"/>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nine months ending 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Securities</w:t>
            </w:r>
          </w:p>
        </w:tc>
      </w:t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Net Loan</w:t>
            </w:r>
          </w:p>
        </w:tc>
        <w:tc>
          <w:tcPr>
            <w:tcW w:w="22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Loans Held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Available for</w:t>
            </w:r>
          </w:p>
        </w:tc>
      </w:tr>
      <w:tr>
        <w:trPr>
          <w:trHeight w:val="234"/>
        </w:trPr>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tcPr>
          <w:p>
            <w:pPr>
              <w:spacing w:after="0"/>
              <w:rPr>
                <w:sz w:val="20"/>
                <w:szCs w:val="20"/>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for 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Sale</w:t>
            </w: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7,015,515</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302,776,827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2,837,349,328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(2,987,906,269)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(368,980)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(49,428,757)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 (loss)</w:t>
            </w: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(2,843,155)(1)</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59,190,794(1)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1,957(2)</w:t>
            </w:r>
          </w:p>
        </w:tc>
      </w:tr>
      <w:tr>
        <w:trPr>
          <w:trHeight w:val="22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 (loss)</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(31,127)</w:t>
            </w:r>
          </w:p>
        </w:tc>
      </w:tr>
      <w:tr>
        <w:trPr>
          <w:trHeight w:val="210"/>
        </w:trPr>
        <w:tc>
          <w:tcPr>
            <w:tcW w:w="4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4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4,172,360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161,981,923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1,625,198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left="360" w:hanging="29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33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1783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nine months ending September 30,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Securities</w:t>
            </w:r>
          </w:p>
        </w:tc>
      </w:t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Net Loan</w:t>
            </w:r>
          </w:p>
        </w:tc>
        <w:tc>
          <w:tcPr>
            <w:tcW w:w="22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Loans Held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Available for</w:t>
            </w:r>
          </w:p>
        </w:tc>
      </w:tr>
      <w:tr>
        <w:trPr>
          <w:trHeight w:val="234"/>
        </w:trPr>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tcPr>
          <w:p>
            <w:pPr>
              <w:spacing w:after="0"/>
              <w:rPr>
                <w:sz w:val="20"/>
                <w:szCs w:val="20"/>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for 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Sale</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10,128,610</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422,772,418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2,201,175</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4,243,072,600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(4,484,170,804)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(33,950)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(201,951)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(549,093)(1)</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131,183,580(1)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2,729(2)</w:t>
            </w:r>
          </w:p>
        </w:tc>
      </w:tr>
      <w:tr>
        <w:trPr>
          <w:trHeight w:val="23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(119,133)</w:t>
            </w:r>
          </w:p>
        </w:tc>
      </w:tr>
      <w:tr>
        <w:trPr>
          <w:trHeight w:val="210"/>
        </w:trPr>
        <w:tc>
          <w:tcPr>
            <w:tcW w:w="4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4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9,579,517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312,655,843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2,050,821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333" w:lineRule="exact"/>
        <w:rPr>
          <w:rFonts w:ascii="Times New Roman" w:cs="Times New Roman" w:eastAsia="Times New Roman" w:hAnsi="Times New Roman"/>
          <w:sz w:val="18"/>
          <w:szCs w:val="18"/>
          <w:color w:val="auto"/>
        </w:rPr>
      </w:pPr>
    </w:p>
    <w:p>
      <w:pPr>
        <w:ind w:left="5540" w:right="3880" w:hanging="5472"/>
        <w:spacing w:after="0" w:line="657" w:lineRule="auto"/>
        <w:tabs>
          <w:tab w:leader="none" w:pos="3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0" w:name="page41"/>
    <w:bookmarkEnd w:id="4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months ending 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Securities</w:t>
            </w:r>
          </w:p>
        </w:tc>
      </w:t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Net Loan</w:t>
            </w:r>
          </w:p>
        </w:tc>
        <w:tc>
          <w:tcPr>
            <w:tcW w:w="22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Loans Held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Available for</w:t>
            </w:r>
          </w:p>
        </w:tc>
      </w:tr>
      <w:tr>
        <w:trPr>
          <w:trHeight w:val="234"/>
        </w:trPr>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tcPr>
          <w:p>
            <w:pPr>
              <w:spacing w:after="0"/>
              <w:rPr>
                <w:sz w:val="20"/>
                <w:szCs w:val="20"/>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for 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Sale</w:t>
            </w: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7,443,642</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209,860,409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1,962,789</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787,389,868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(800,430,402)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(344,630)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(49,428,757)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(3,271,282)(1)</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14,590,805(1)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7,039</w:t>
            </w:r>
          </w:p>
        </w:tc>
      </w:tr>
      <w:tr>
        <w:trPr>
          <w:trHeight w:val="210"/>
        </w:trPr>
        <w:tc>
          <w:tcPr>
            <w:tcW w:w="4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4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4,172,360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161,981,923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1,625,198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left="360" w:hanging="292"/>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1783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months ending September 30,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Securities</w:t>
            </w:r>
          </w:p>
        </w:tc>
      </w:t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Net Loan</w:t>
            </w:r>
          </w:p>
        </w:tc>
        <w:tc>
          <w:tcPr>
            <w:tcW w:w="22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Loans Held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Available for</w:t>
            </w:r>
          </w:p>
        </w:tc>
      </w:tr>
      <w:tr>
        <w:trPr>
          <w:trHeight w:val="234"/>
        </w:trPr>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tcPr>
          <w:p>
            <w:pPr>
              <w:spacing w:after="0"/>
              <w:rPr>
                <w:sz w:val="20"/>
                <w:szCs w:val="20"/>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for Sale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Sale</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9,960,213</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296,728,086</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2,180,828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8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1,432,842,093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(1,459,143,727)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(11,550)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(380,696)(1)</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42,229,391(1)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928(2)</w:t>
            </w:r>
          </w:p>
        </w:tc>
      </w:tr>
      <w:tr>
        <w:trPr>
          <w:trHeight w:val="22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80" w:type="dxa"/>
            <w:vAlign w:val="bottom"/>
          </w:tcPr>
          <w:p>
            <w:pPr>
              <w:spacing w:after="0"/>
              <w:rPr>
                <w:sz w:val="19"/>
                <w:szCs w:val="19"/>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(119,385)</w:t>
            </w:r>
          </w:p>
        </w:tc>
      </w:tr>
      <w:tr>
        <w:trPr>
          <w:trHeight w:val="210"/>
        </w:trPr>
        <w:tc>
          <w:tcPr>
            <w:tcW w:w="4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9,579,517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312,655,843</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2,050,821</w:t>
            </w:r>
          </w:p>
        </w:tc>
        <w:tc>
          <w:tcPr>
            <w:tcW w:w="28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nonrecurring basis by their classification in the condensed consolidated balance sheet at 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Active Markets</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for Identical</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 nonrecurring</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basis</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471,786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471,786</w:t>
            </w:r>
          </w:p>
        </w:tc>
      </w:tr>
      <w:tr>
        <w:trPr>
          <w:trHeight w:val="178"/>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basis</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471,786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471,786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nonrecurring basis by their classification in the condensed consolidated balance sheet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Active Markets</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Significant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for Identical</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Unobservable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Inputs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 nonrecurring</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basis</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851,903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851,903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real estate held for sale</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basis</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2,851,903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2,851,903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41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September 30, 2022 and December 31,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86,591,587</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84,867,935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84,867,935</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201,127,984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201,127,984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201,127,984</w:t>
            </w: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32,844,029</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32,018,351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32,018,351</w:t>
            </w: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320,563,600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318,014,270</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318,014,270</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13,066,150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13,066,150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13,066,150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40,877,511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40,877,511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40,877,511</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2,357,304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2,357,304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2,357,304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2,243,307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2,243,307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2,243,307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 (4)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54,379,245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93,863,177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93,863,177</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(201,479,763)</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(201,479,763)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(201,479,763)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(41,745,320)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(34,331,676)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(34,331,676)</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(106,760,557)</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(113,983,260)</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(113,983,260)</w:t>
            </w:r>
          </w:p>
        </w:tc>
      </w:tr>
    </w:tbl>
    <w:p>
      <w:pPr>
        <w:spacing w:after="0" w:line="193" w:lineRule="exact"/>
        <w:rPr>
          <w:sz w:val="20"/>
          <w:szCs w:val="20"/>
          <w:color w:val="auto"/>
        </w:rPr>
      </w:pPr>
    </w:p>
    <w:p>
      <w:pPr>
        <w:ind w:left="360" w:hanging="29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15 of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1783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51,396,172</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55,159,167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55,159,167</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174,691,408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174,691,408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174,691,408</w:t>
            </w: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51,218,466</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51,008,709</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51,008,709</w:t>
            </w: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280,859,284</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280,859,284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13,478,214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13,478,214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13,478,214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46,946,590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46,946,590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46,946,590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2,732,320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2,732,320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2,732,320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1,823,533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1,823,533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1,823,533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53,060,455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68,811,809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68,811,809</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(251,286,927)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(251,286,927)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(251,286,927)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(42,939,055)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(35,855,934)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(35,855,934)</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(107,992,830)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(116,215,717)</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(116,215,717)</w:t>
            </w:r>
          </w:p>
        </w:tc>
      </w:tr>
    </w:tbl>
    <w:p>
      <w:pPr>
        <w:spacing w:after="0" w:line="193" w:lineRule="exact"/>
        <w:rPr>
          <w:sz w:val="20"/>
          <w:szCs w:val="20"/>
          <w:color w:val="auto"/>
        </w:rPr>
      </w:pPr>
    </w:p>
    <w:p>
      <w:pPr>
        <w:ind w:left="360" w:hanging="29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1783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are primarily short in maturity.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condensed consolidated balance sheet for these financial instruments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are primarily short in maturity, accordingly, the carrying amounts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 for these financial instruments approximate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00" w:hanging="192"/>
        <w:spacing w:after="0"/>
        <w:tabs>
          <w:tab w:leader="none" w:pos="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these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200" w:hanging="192"/>
        <w:spacing w:after="0"/>
        <w:tabs>
          <w:tab w:leader="none" w:pos="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Allowance for Doubtful Accounts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and recognizes an expense for potential losses from other investments and receivables in accordance with generally accepted accounting principles.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80" w:lineRule="exact"/>
        <w:rPr>
          <w:sz w:val="20"/>
          <w:szCs w:val="20"/>
          <w:color w:val="auto"/>
        </w:rPr>
      </w:pPr>
    </w:p>
    <w:p>
      <w:pPr>
        <w:ind w:left="300" w:hanging="292"/>
        <w:spacing w:after="0"/>
        <w:tabs>
          <w:tab w:leader="none" w:pos="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300" w:hanging="292"/>
        <w:spacing w:after="0"/>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Sale Commitments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 and Put Options Derivatives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Balance Sheet</w:t>
            </w:r>
          </w:p>
        </w:tc>
        <w:tc>
          <w:tcPr>
            <w:tcW w:w="260" w:type="dxa"/>
            <w:vAlign w:val="bottom"/>
          </w:tcPr>
          <w:p>
            <w:pPr>
              <w:spacing w:after="0"/>
              <w:rPr>
                <w:sz w:val="20"/>
                <w:szCs w:val="20"/>
                <w:color w:val="auto"/>
              </w:rPr>
            </w:pPr>
          </w:p>
        </w:tc>
        <w:tc>
          <w:tcPr>
            <w:tcW w:w="24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September 30, 2022</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Pr>
          <w:p>
            <w:pPr>
              <w:spacing w:after="0"/>
              <w:rPr>
                <w:sz w:val="16"/>
                <w:szCs w:val="16"/>
                <w:color w:val="auto"/>
              </w:rPr>
            </w:pPr>
          </w:p>
        </w:tc>
        <w:tc>
          <w:tcPr>
            <w:tcW w:w="1120" w:type="dxa"/>
            <w:vAlign w:val="bottom"/>
            <w:gridSpan w:val="2"/>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280" w:type="dxa"/>
            <w:vAlign w:val="bottom"/>
          </w:tcPr>
          <w:p>
            <w:pPr>
              <w:spacing w:after="0"/>
              <w:rPr>
                <w:sz w:val="16"/>
                <w:szCs w:val="16"/>
                <w:color w:val="auto"/>
              </w:rPr>
            </w:pPr>
          </w:p>
        </w:tc>
        <w:tc>
          <w:tcPr>
            <w:tcW w:w="114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7"/>
              </w:rPr>
              <w:t>Asset Fair</w:t>
            </w:r>
          </w:p>
        </w:tc>
        <w:tc>
          <w:tcPr>
            <w:tcW w:w="20" w:type="dxa"/>
            <w:vAlign w:val="bottom"/>
          </w:tcPr>
          <w:p>
            <w:pPr>
              <w:spacing w:after="0"/>
              <w:rPr>
                <w:sz w:val="16"/>
                <w:szCs w:val="16"/>
                <w:color w:val="auto"/>
              </w:rPr>
            </w:pPr>
          </w:p>
        </w:tc>
        <w:tc>
          <w:tcPr>
            <w:tcW w:w="8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Location</w:t>
            </w:r>
          </w:p>
        </w:tc>
        <w:tc>
          <w:tcPr>
            <w:tcW w:w="2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Value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178"/>
        </w:trPr>
        <w:tc>
          <w:tcPr>
            <w:tcW w:w="2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1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2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Other</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$ 429,673,953</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$ 5,922,415</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$ 1,750,055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$ 862,568,967</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$ 8,563,410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$ 1,547,895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options</w:t>
            </w: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848,900</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1,688</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982,500</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50,936</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Put options</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297,000</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18,982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362,900</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430,819,853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$ 5,922,415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$ 1,770,725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863,914,367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$ 8,563,410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$ 1,603,324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300" w:hanging="292"/>
        <w:spacing w:after="0"/>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jc w:val="center"/>
              <w:ind w:right="521"/>
              <w:spacing w:after="0"/>
              <w:rPr>
                <w:sz w:val="20"/>
                <w:szCs w:val="20"/>
                <w:color w:val="auto"/>
              </w:rPr>
            </w:pPr>
            <w:r>
              <w:rPr>
                <w:rFonts w:ascii="Times New Roman" w:cs="Times New Roman" w:eastAsia="Times New Roman" w:hAnsi="Times New Roman"/>
                <w:sz w:val="18"/>
                <w:szCs w:val="18"/>
                <w:color w:val="auto"/>
              </w:rPr>
              <w:t>Net Amount Gain (Loss)</w:t>
            </w:r>
          </w:p>
        </w:tc>
        <w:tc>
          <w:tcPr>
            <w:tcW w:w="280" w:type="dxa"/>
            <w:vAlign w:val="bottom"/>
          </w:tcPr>
          <w:p>
            <w:pPr>
              <w:spacing w:after="0"/>
              <w:rPr>
                <w:sz w:val="20"/>
                <w:szCs w:val="20"/>
                <w:color w:val="auto"/>
              </w:rPr>
            </w:pPr>
          </w:p>
        </w:tc>
        <w:tc>
          <w:tcPr>
            <w:tcW w:w="3280" w:type="dxa"/>
            <w:vAlign w:val="bottom"/>
            <w:gridSpan w:val="5"/>
          </w:tcPr>
          <w:p>
            <w:pPr>
              <w:jc w:val="center"/>
              <w:ind w:right="321"/>
              <w:spacing w:after="0"/>
              <w:rPr>
                <w:sz w:val="20"/>
                <w:szCs w:val="20"/>
                <w:color w:val="auto"/>
              </w:rPr>
            </w:pPr>
            <w:r>
              <w:rPr>
                <w:rFonts w:ascii="Times New Roman" w:cs="Times New Roman" w:eastAsia="Times New Roman" w:hAnsi="Times New Roman"/>
                <w:sz w:val="18"/>
                <w:szCs w:val="18"/>
                <w:color w:val="auto"/>
              </w:rPr>
              <w:t>Net Amount Gain (Loss)</w:t>
            </w:r>
          </w:p>
        </w:tc>
      </w:tr>
      <w:tr>
        <w:trPr>
          <w:trHeight w:val="243"/>
        </w:trPr>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60" w:type="dxa"/>
            <w:vAlign w:val="bottom"/>
            <w:gridSpan w:val="5"/>
          </w:tcPr>
          <w:p>
            <w:pPr>
              <w:jc w:val="center"/>
              <w:ind w:right="521"/>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80" w:type="dxa"/>
            <w:vAlign w:val="bottom"/>
          </w:tcPr>
          <w:p>
            <w:pPr>
              <w:spacing w:after="0"/>
              <w:rPr>
                <w:sz w:val="21"/>
                <w:szCs w:val="21"/>
                <w:color w:val="auto"/>
              </w:rPr>
            </w:pPr>
          </w:p>
        </w:tc>
        <w:tc>
          <w:tcPr>
            <w:tcW w:w="3280" w:type="dxa"/>
            <w:vAlign w:val="bottom"/>
            <w:gridSpan w:val="5"/>
          </w:tcPr>
          <w:p>
            <w:pPr>
              <w:jc w:val="center"/>
              <w:ind w:right="321"/>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7"/>
        </w:trPr>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Derivative</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Classification</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36"/>
        </w:trPr>
        <w:tc>
          <w:tcPr>
            <w:tcW w:w="17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(3,271,282</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(380,696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(2,843,155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Gains on investments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and put options</w:t>
            </w: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50,045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12,985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176,274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128,270</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80" w:hanging="272"/>
        <w:spacing w:after="0"/>
        <w:tabs>
          <w:tab w:leader="none" w:pos="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$100,000,000 line of credit with Wells Fargo Bank N.A. The agreement charges interest at the 1-Month SOFR rate plus 2.1% and matures on June 2, 2023.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Texas Capital Bank N.A. This agreement with the bank allows SecurityNational Mortgage to borrow up to $100,000,000 for the sole purpose of funding mortgage loans. The agreement charges interest at the 1-Month LIBOR rate plus 2% and matures on November 9, 2022.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Comerica Bank. This agreement with the bank allows SecurityNational Mortgage to borrow up to $75,000,000 for the sole purpose of funding mortgage loans. The agreement charges interest at the 1-Month SOFR rate plus 2.50% and matures on May 26,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280" w:hanging="272"/>
        <w:spacing w:after="0"/>
        <w:tabs>
          <w:tab w:leader="none" w:pos="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U.S Bank. This agreement with the bank allows SecurityNational Mortgage to borrow up to $100,000,000 for the sole purpose of funding mortgage loans. The agreement charges interest at 2.10% plus the greater of (i) 0%, and (ii) the one-month forward-looking term rate based on SOFR and matures on June 2,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agreements for warehouse lines include cross default provisions in that a covenant violation under one agreement constitutes a covenant violation under the other agreement. As of September 30, 2022, SecurityNational Mortgage was not in compliance, but received waivers or amendments from the warehouse banks. In the unlikely event the Company is required to repay the warehouse lines, the Company has sufficient cash and borrowing capacity to do so and to continue to fund its origination activities through other internal funding 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commitments to fund construction and land development loans and has also provided financing for land acquisition and development. As of September 30, 2022, the Company’s commitments were approximately $302,567,000 for these loans, of which $206,285,687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5.25% to 8.00% per annum. Maturities range between six and eighteen months.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defendant in various other legal actions arising from the normal conduct of business. Management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300" w:hanging="292"/>
        <w:spacing w:after="0"/>
        <w:tabs>
          <w:tab w:leader="none" w:pos="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these MSRs at fair value as discussed in Note 8. Also, refer to Note 15 regarding a subsequent event for the MSRs.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As of</w:t>
            </w:r>
          </w:p>
        </w:tc>
        <w:tc>
          <w:tcPr>
            <w:tcW w:w="280" w:type="dxa"/>
            <w:vAlign w:val="bottom"/>
          </w:tcPr>
          <w:p>
            <w:pPr>
              <w:spacing w:after="0"/>
              <w:rPr>
                <w:sz w:val="24"/>
                <w:szCs w:val="24"/>
                <w:color w:val="auto"/>
              </w:rPr>
            </w:pPr>
          </w:p>
        </w:tc>
        <w:tc>
          <w:tcPr>
            <w:tcW w:w="17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Pr>
          <w:p>
            <w:pPr>
              <w:spacing w:after="0"/>
              <w:rPr>
                <w:sz w:val="18"/>
                <w:szCs w:val="18"/>
                <w:color w:val="auto"/>
              </w:rPr>
            </w:pPr>
          </w:p>
        </w:tc>
        <w:tc>
          <w:tcPr>
            <w:tcW w:w="17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53,060,455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35,210,516</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 (1)</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9,608,442</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32,701,819</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(2)</w:t>
            </w:r>
          </w:p>
        </w:tc>
        <w:tc>
          <w:tcPr>
            <w:tcW w:w="28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(8,289,652)</w:t>
            </w:r>
          </w:p>
        </w:tc>
        <w:tc>
          <w:tcPr>
            <w:tcW w:w="28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(14,851,880)</w:t>
            </w: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54,379,245</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53,060,455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5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54,379,245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53,060,455</w:t>
            </w:r>
          </w:p>
        </w:tc>
        <w:tc>
          <w:tcPr>
            <w:tcW w:w="60" w:type="dxa"/>
            <w:vAlign w:val="bottom"/>
          </w:tcPr>
          <w:p>
            <w:pPr>
              <w:spacing w:after="0"/>
              <w:rPr>
                <w:sz w:val="24"/>
                <w:szCs w:val="24"/>
                <w:color w:val="auto"/>
              </w:rPr>
            </w:pPr>
          </w:p>
        </w:tc>
      </w:tr>
      <w:tr>
        <w:trPr>
          <w:trHeight w:val="196"/>
        </w:trPr>
        <w:tc>
          <w:tcPr>
            <w:tcW w:w="5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93,863,177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68,811,809</w:t>
            </w:r>
          </w:p>
        </w:tc>
        <w:tc>
          <w:tcPr>
            <w:tcW w:w="6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(2)Included in other expenses on the condensed consolidated statements of earnings</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300" w:hanging="292"/>
        <w:spacing w:after="0"/>
        <w:tabs>
          <w:tab w:leader="none" w:pos="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estimate of future amortization of its existing MSRs carried at amortized cost. This projection was developed using the assumptions made by management in its September 30, 2022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Estimated MSR</w:t>
            </w:r>
          </w:p>
        </w:tc>
      </w:tr>
      <w:tr>
        <w:trPr>
          <w:trHeight w:val="234"/>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09"/>
        </w:trPr>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5,739,067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5,098,468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4,677,509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4,238,273</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3,843,026</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30,782,902</w:t>
            </w:r>
          </w:p>
        </w:tc>
      </w:tr>
      <w:tr>
        <w:trPr>
          <w:trHeight w:val="223"/>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54,379,245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9"/>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10"/>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c>
          <w:tcPr>
            <w:tcW w:w="226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9"/>
          </w:tcPr>
          <w:p>
            <w:pPr>
              <w:jc w:val="right"/>
              <w:ind w:right="1060"/>
              <w:spacing w:after="0"/>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color w:val="auto"/>
              </w:rPr>
              <w:t>September 30</w:t>
            </w:r>
          </w:p>
        </w:tc>
        <w:tc>
          <w:tcPr>
            <w:tcW w:w="2260" w:type="dxa"/>
            <w:vAlign w:val="bottom"/>
          </w:tcPr>
          <w:p>
            <w:pPr>
              <w:spacing w:after="0"/>
              <w:rPr>
                <w:sz w:val="20"/>
                <w:szCs w:val="20"/>
                <w:color w:val="auto"/>
              </w:rPr>
            </w:pPr>
          </w:p>
        </w:tc>
      </w:tr>
      <w:tr>
        <w:trPr>
          <w:trHeight w:val="237"/>
        </w:trPr>
        <w:tc>
          <w:tcPr>
            <w:tcW w:w="3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5"/>
          </w:tcPr>
          <w:p>
            <w:pPr>
              <w:jc w:val="right"/>
              <w:ind w:right="53"/>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4,644,397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4,037,142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13,845,626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11,179,908</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4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 fees</w:t>
            </w:r>
          </w:p>
        </w:tc>
        <w:tc>
          <w:tcPr>
            <w:tcW w:w="1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107,219</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71,724</w:t>
            </w:r>
          </w:p>
        </w:tc>
        <w:tc>
          <w:tcPr>
            <w:tcW w:w="280" w:type="dxa"/>
            <w:vAlign w:val="bottom"/>
          </w:tcPr>
          <w:p>
            <w:pPr>
              <w:spacing w:after="0"/>
              <w:rPr>
                <w:sz w:val="21"/>
                <w:szCs w:val="21"/>
                <w:color w:val="auto"/>
              </w:rPr>
            </w:pPr>
          </w:p>
        </w:tc>
        <w:tc>
          <w:tcPr>
            <w:tcW w:w="100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288,854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227,211</w:t>
            </w:r>
          </w:p>
        </w:tc>
        <w:tc>
          <w:tcPr>
            <w:tcW w:w="2260" w:type="dxa"/>
            <w:vAlign w:val="bottom"/>
          </w:tcPr>
          <w:p>
            <w:pPr>
              <w:spacing w:after="0"/>
              <w:rPr>
                <w:sz w:val="21"/>
                <w:szCs w:val="21"/>
                <w:color w:val="auto"/>
              </w:rPr>
            </w:pPr>
          </w:p>
        </w:tc>
      </w:tr>
      <w:tr>
        <w:trPr>
          <w:trHeight w:val="223"/>
        </w:trPr>
        <w:tc>
          <w:tcPr>
            <w:tcW w:w="3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4,751,616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4,108,866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14,134,480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11,407,119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6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4"/>
        </w:trPr>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of</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As of</w:t>
            </w:r>
          </w:p>
        </w:tc>
        <w:tc>
          <w:tcPr>
            <w:tcW w:w="2260" w:type="dxa"/>
            <w:vAlign w:val="bottom"/>
          </w:tcPr>
          <w:p>
            <w:pPr>
              <w:spacing w:after="0"/>
              <w:rPr>
                <w:sz w:val="24"/>
                <w:szCs w:val="24"/>
                <w:color w:val="auto"/>
              </w:rPr>
            </w:pPr>
          </w:p>
        </w:tc>
      </w:tr>
      <w:tr>
        <w:trPr>
          <w:trHeight w:val="234"/>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December 31 2021</w:t>
            </w:r>
          </w:p>
        </w:tc>
        <w:tc>
          <w:tcPr>
            <w:tcW w:w="2260" w:type="dxa"/>
            <w:vAlign w:val="bottom"/>
          </w:tcPr>
          <w:p>
            <w:pPr>
              <w:spacing w:after="0"/>
              <w:rPr>
                <w:sz w:val="20"/>
                <w:szCs w:val="20"/>
                <w:color w:val="auto"/>
              </w:rPr>
            </w:pPr>
          </w:p>
        </w:tc>
      </w:tr>
      <w:tr>
        <w:trPr>
          <w:trHeight w:val="209"/>
        </w:trPr>
        <w:tc>
          <w:tcPr>
            <w:tcW w:w="3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7,381,027,999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7,060,536,350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432"/>
        </w:trPr>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4"/>
        </w:trPr>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Prepayment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Average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Discount</w:t>
            </w:r>
          </w:p>
        </w:tc>
        <w:tc>
          <w:tcPr>
            <w:tcW w:w="2260" w:type="dxa"/>
            <w:vAlign w:val="bottom"/>
          </w:tcPr>
          <w:p>
            <w:pPr>
              <w:spacing w:after="0"/>
              <w:rPr>
                <w:sz w:val="24"/>
                <w:szCs w:val="24"/>
                <w:color w:val="auto"/>
              </w:rPr>
            </w:pPr>
          </w:p>
        </w:tc>
      </w:tr>
      <w:tr>
        <w:trPr>
          <w:trHeight w:val="234"/>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Speeds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Life (Years)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Rate</w:t>
            </w:r>
          </w:p>
        </w:tc>
        <w:tc>
          <w:tcPr>
            <w:tcW w:w="2260" w:type="dxa"/>
            <w:vAlign w:val="bottom"/>
          </w:tcPr>
          <w:p>
            <w:pPr>
              <w:spacing w:after="0"/>
              <w:rPr>
                <w:sz w:val="20"/>
                <w:szCs w:val="20"/>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Pr>
          <w:p>
            <w:pPr>
              <w:spacing w:after="0"/>
              <w:rPr>
                <w:sz w:val="20"/>
                <w:szCs w:val="20"/>
                <w:color w:val="auto"/>
              </w:rPr>
            </w:pPr>
          </w:p>
        </w:tc>
        <w:tc>
          <w:tcPr>
            <w:tcW w:w="14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11.60</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9.50</w:t>
            </w:r>
          </w:p>
        </w:tc>
        <w:tc>
          <w:tcPr>
            <w:tcW w:w="2260" w:type="dxa"/>
            <w:vAlign w:val="bottom"/>
          </w:tcPr>
          <w:p>
            <w:pPr>
              <w:spacing w:after="0"/>
              <w:rPr>
                <w:sz w:val="20"/>
                <w:szCs w:val="20"/>
                <w:color w:val="auto"/>
              </w:rPr>
            </w:pPr>
          </w:p>
        </w:tc>
      </w:tr>
      <w:tr>
        <w:trPr>
          <w:trHeight w:val="421"/>
        </w:trPr>
        <w:tc>
          <w:tcPr>
            <w:tcW w:w="3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0" w:name="page51"/>
    <w:bookmarkEnd w:id="5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300" w:hanging="292"/>
        <w:spacing w:after="0"/>
        <w:tabs>
          <w:tab w:leader="none" w:pos="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months ended September 30, 2022 and 2021 was 28.7% and 23.7%, respectively, which resulted in a provision for income taxes of ($949,159) and $3,352,663, respectively. The Company’s overall effective tax rate for the nine months ended September 30, 2022 and 2021 was 24.2% and 24.3%, respectively, which resulted in a provision for income taxes of $1,421,036 and $10,998,876, respectively. The Company’s effective tax rates differ from the U.S. federal statutory rate of 21% partially due to its provision for state income taxes. The decrease in the effective tax rate when compared to the prior year is partially due to the Company’s provision for state income taxes.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ind w:left="300" w:hanging="292"/>
        <w:spacing w:after="0"/>
        <w:tabs>
          <w:tab w:leader="none" w:pos="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Deferred pre-need land revenue is not placed in trust.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300" w:hanging="29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9"/>
                <w:szCs w:val="19"/>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(1/1/2022)</w:t>
            </w:r>
          </w:p>
        </w:tc>
        <w:tc>
          <w:tcPr>
            <w:tcW w:w="1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Closing (9/30/2022)</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5,846,865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15,873,046</w:t>
            </w:r>
          </w:p>
        </w:tc>
      </w:tr>
      <w:tr>
        <w:trPr>
          <w:trHeight w:val="223"/>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9"/>
                <w:szCs w:val="19"/>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(1/1/2021)</w:t>
            </w:r>
          </w:p>
        </w:tc>
        <w:tc>
          <w:tcPr>
            <w:tcW w:w="1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4,119,988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13,080,179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Closing (12/31/2021)</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5,298,636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14,508,022</w:t>
            </w:r>
          </w:p>
        </w:tc>
      </w:tr>
      <w:tr>
        <w:trPr>
          <w:trHeight w:val="223"/>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Receivables, net on the condensed consolidated balance sheets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 months ended September 30, 2022 and 2021 was $1,034,035 and $1,143,745, respectively, and for the nine months ended September 30, 2022 and 2021 was $3,624,463 and $3,588,682,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Major goods/service lines</w:t>
            </w: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At-need</w:t>
            </w:r>
          </w:p>
        </w:tc>
        <w:tc>
          <w:tcPr>
            <w:tcW w:w="8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4,839,289</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4,129,203</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16,304,276</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12,172,631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Pre-need</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1,631,074</w:t>
            </w:r>
          </w:p>
        </w:tc>
        <w:tc>
          <w:tcPr>
            <w:tcW w:w="4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1,838,472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4,622,311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6,055,568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6,470,363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5,967,675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20,926,587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18,228,199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9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8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4,040,381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4,132,050</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12,815,582</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12,882,878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2,429,982</w:t>
            </w:r>
          </w:p>
        </w:tc>
        <w:tc>
          <w:tcPr>
            <w:tcW w:w="4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1,835,625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8,111,005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5,345,321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6,470,363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5,967,675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20,926,587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18,228,199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2" w:name="page53"/>
    <w:bookmarkEnd w:id="5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2022 (Unaudited)</w:t>
      </w:r>
    </w:p>
    <w:p>
      <w:pPr>
        <w:spacing w:after="0" w:line="176" w:lineRule="exact"/>
        <w:rPr>
          <w:sz w:val="20"/>
          <w:szCs w:val="20"/>
          <w:color w:val="auto"/>
        </w:rPr>
      </w:pPr>
    </w:p>
    <w:p>
      <w:pPr>
        <w:ind w:left="300" w:hanging="292"/>
        <w:spacing w:after="0"/>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revenues from cemetery and mortuary contracts to Note 7 – Business Segment Information for the Cemetery/Mortuary Segment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36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6,470,363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20,926,587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18,228,199</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(640,593)</w:t>
            </w:r>
          </w:p>
        </w:tc>
        <w:tc>
          <w:tcPr>
            <w:tcW w:w="4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(112,828)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(1,615,253)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913,058</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681,239</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826,008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1,916,970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1,296,899</w:t>
            </w: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180,989</w:t>
            </w:r>
          </w:p>
        </w:tc>
        <w:tc>
          <w:tcPr>
            <w:tcW w:w="4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217,906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74,378</w:t>
            </w:r>
          </w:p>
        </w:tc>
      </w:tr>
      <w:tr>
        <w:trPr>
          <w:trHeight w:val="22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6,691,998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6,705,347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21,446,210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20,512,534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October 31, 2022, the Company, through its wholly owned subsidiary, SecurityNational Mortgage Company (“SecurityNational Mortgage”) sold certain of its mortgage loan servicing rights (“MSRs”) to PNC Bank, NA for aggregate gross consideration of approximately $89.7 million. The MSRs related to mortgage loans previously originated by SecurityNational Mortgage in aggregate unpaid principal amount of approximately $7.05 billion. Substantially all of the consideration has been received by SecurityNational Mortgage, with the remainder subject to certain holdbacks during transfer of the MSRs.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 The Company has adjusted its strategies to respond to the changing economic circumstances resulting from COVID-19.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Company’s life insurance sales force began using virtual and tele sales processes to market products. During the third quarter 2021, the life insurance sales force returned to in person sales, however, it continues to use virtual and tele sales where needed. Currently, approximately 75% of insurance operations office staff work in the office with the flexibility for hybrid-remote or completely remote working arrangements as needed.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three and nine months ended September 30, 2022 and 2021.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8"/>
          </w:tcPr>
          <w:p>
            <w:pPr>
              <w:jc w:val="right"/>
              <w:ind w:right="83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9"/>
          </w:tcPr>
          <w:p>
            <w:pPr>
              <w:jc w:val="right"/>
              <w:ind w:right="82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1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26,446</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78,491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74,755</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14,116</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47,269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41,860</w:t>
            </w:r>
          </w:p>
        </w:tc>
        <w:tc>
          <w:tcPr>
            <w:tcW w:w="11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931</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3,303</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1,724</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43,118</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42,039</w:t>
            </w:r>
          </w:p>
        </w:tc>
        <w:tc>
          <w:tcPr>
            <w:tcW w:w="32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125,786</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Intersegment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1,757</w:t>
            </w: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5,496</w:t>
            </w: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5,410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4,234</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3,721</w:t>
            </w:r>
          </w:p>
        </w:tc>
        <w:tc>
          <w:tcPr>
            <w:tcW w:w="3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8,982</w:t>
            </w:r>
          </w:p>
        </w:tc>
        <w:tc>
          <w:tcPr>
            <w:tcW w:w="3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11,110</w:t>
            </w: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Intersegment revenues are primarily interest income from the warehouse line for loans held for sale provided to SecurityNational Mortgage Company (“SecurityNational Mortgage”). Profitability for the nine months ended September 30, 2022 decreased due to (a) a $5,000,000 decrease in gains on investments and other assets primarily due to a decrease in the fair value of equity securities, (b) a $3,911,000 increase in selling, general and administrative expenses, (c) a $1,620,000 increase in future policy benefits, (d) a $1,578,000 increase in amortization of deferred policy acquisition costs primarily due to an increase in the average outstanding balance of deferred policy and pre-need acquisition costs, (e) a $1,268,000 increase in interest expense, and (f) an $2,000 decrease in other revenues, which were partially offset by (i) a $5,409,000 increase in net investment income, (ii) a $3,737,000 increase in insurance premiums and other considerations, (iii) a $1,821,000 decrease in death, surrenders and other policy benefits, (iv) a $198,000 decrease in intersegment interest expense and other expenses, and an (v) $86,000 increase in intersegment revenue.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cemetery and mortuary’s pre-need sales force began using virtual selling processes to market its products and services including some in home sales as local regulations permitted. During the third quarter of 2021, the sales force returned mostly to in home sales, however, it continues to use virtual selling where needed. Currently, the cemetery and mortuary operations office staff works in the office with the flexibility for hybrid-remote or completely remote working arrangements as needed.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and nine months ended September 30, 2022 and 2021.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8"/>
          </w:tcPr>
          <w:p>
            <w:pPr>
              <w:jc w:val="right"/>
              <w:ind w:right="83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9"/>
          </w:tcPr>
          <w:p>
            <w:pPr>
              <w:jc w:val="right"/>
              <w:ind w:right="82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1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2,191</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6,124</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3,776</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12,104</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826</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1,297</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901</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1,747</w:t>
            </w:r>
          </w:p>
        </w:tc>
        <w:tc>
          <w:tcPr>
            <w:tcW w:w="3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4,407</w:t>
            </w:r>
          </w:p>
        </w:tc>
        <w:tc>
          <w:tcPr>
            <w:tcW w:w="3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6,718</w:t>
            </w: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in the nine months ended September 30, 2022 decreased due to (a) a $2,528,000 decrease in gains on investments and other assets primarily attributable to a $579,000 decrease in gains on real estate sales and a $1,949,000 decrease in gains on equity securities classified as restricted assets and cemetery perpetual care trust investments primarily due to a decrease in the fair value of equity securities, (b) a $2,510,000 increase in selling, general and administrative expenses, (c) a $1,433,000 decrease in cemetery pre-need sales, (d) a $748,000 increase in costs of goods sold, and (e) a $173,000 increase in intersegment interest expense and other expenses, which were partially offset by (i) a $3,775,000 increase in mortuary at-need sales, (ii) a $620,000 increase in net investment income, (iii) a $356,000 increase in cemetery at-need sales, (iv) a $143,000 increase in other revenues (v) a $125,000 increase in intersegment revenues, (vi) a $54,000 decrease in interest expense, and (vii) an $8,000 decrease in amortization of deferred policy acquisition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Kilpatrick Life and unaffiliated financial institutions.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8% of its loan origination volume. These mortgage loans are serviced by either SecurityNational Mortgage or an approved third-party sub-servicer. In December 2021, the Company ceased operations in EverLEND Mortgage and merged its operations into SecurityNational Mortgage.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the higher than expected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 although not as significant as those in the refinance classification.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and 2021, SecurityNational Mortgage originated 8,886 loans ($2,837,349,000 total volume) and 14,898 loans ($4,157,704,000 total volume), respectively. For the nine months ended September 30, 2021, EverLEND Mortgage originated 260 loans ($85,368,000 total volume).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mortgage operations integrated employee work from home accommodations into its standard operating procedures. A large percentage of fulfillment employees are in office however the flexibility remains to accommodate in office or work from home functionality.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and nine months ended September 30, 2022 and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to the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8"/>
          </w:tcPr>
          <w:p>
            <w:pPr>
              <w:jc w:val="right"/>
              <w:ind w:right="83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9"/>
          </w:tcPr>
          <w:p>
            <w:pPr>
              <w:jc w:val="right"/>
              <w:ind w:right="82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0"/>
                <w:szCs w:val="20"/>
                <w:color w:val="auto"/>
              </w:rPr>
            </w:pPr>
          </w:p>
        </w:tc>
        <w:tc>
          <w:tcPr>
            <w:tcW w:w="11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28,825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55,441</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103,220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179,901</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11,457</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26,463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33,382</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14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(7,973)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(8,320)</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(549)</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w:t>
            </w: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4,197</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14,396</w:t>
            </w: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11,744</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(8,437</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8,675</w:t>
            </w:r>
          </w:p>
        </w:tc>
        <w:tc>
          <w:tcPr>
            <w:tcW w:w="3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(7,518</w:t>
            </w:r>
          </w:p>
        </w:tc>
        <w:tc>
          <w:tcPr>
            <w:tcW w:w="3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27,348</w:t>
            </w:r>
          </w:p>
        </w:tc>
        <w:tc>
          <w:tcPr>
            <w:tcW w:w="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Included in other revenues is service fee income. Profitability for the nine months ended September 30, 2022 decreased due to (a) a $76,681,000 decrease in secondary gains from investors, (b) a $6,919,000 decrease in income from loan originations, (c) $2,294,000 decrease in the fair value of loan commitments, (d) a $911,000 increase in intersegment expenses, (e) a $217,000 decrease in intersegment revenues, and (e) a $32,000 increase in depreciation on property and equipment, which were partially offset by (i) a $37,978,000 decrease in commissions, (ii) a $4,918,000 decrease in other expenses, (iii) a $2,652,000 increase in other revenues, (iv) a $1,800,000 decrease in costs related to funding mortgage loans, (v) a $1,019,000 decrease in personnel expenses, (vi) a $1,154,000 decrease in advertising expenses, (vii) a $893,000 decrease in intersegment interest expense and other expenses,</w:t>
      </w:r>
    </w:p>
    <w:p>
      <w:pPr>
        <w:spacing w:after="0" w:line="5" w:lineRule="exact"/>
        <w:rPr>
          <w:sz w:val="20"/>
          <w:szCs w:val="20"/>
          <w:color w:val="auto"/>
        </w:rPr>
      </w:pPr>
    </w:p>
    <w:p>
      <w:pPr>
        <w:ind w:right="20" w:firstLine="8"/>
        <w:spacing w:after="0" w:line="260" w:lineRule="auto"/>
        <w:tabs>
          <w:tab w:leader="none" w:pos="42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$778,000 decrease in interest expense, (ix) a $347,000 increase in the fair value of loans held for sale, (x) a $282,000 decrease in rent and rent related expenses, (xi) a $192,000 increase in gains on investments and other assets, and (xii) $175,000 increase in net investment income.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Three Months Ended September 30, 2021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decreased by $36,032,000, or 30.1%, to $83,477,000 for the three months ended September 30, 2022, from $119,509,000 for the comparable period in 2021. Contributing to this decrease in total revenues was a $37,650,000 decrease in mortgage fee income and a $3,156,000 decrease in gains on investments and other assets, a $208,000 decrease in insurance premiums and other considerations, which were partially offset by a $3,510,000 increase in net investment income, a $503,000 increase in net mortuary and cemetery sales, and a $969,000 increase in other revenues.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$37,650,000, or 56.8%, to $28,608,000, for the three months ended September 30, 2022, from $66,258,000 for the comparable period in 2021. This decrease was primarily due to a $26,500,000 decrease in secondary gains from mortgage loans sold to third-party investors into the secondary market a $3,872,000 decrease in the fair value of loans held for sale, a $2,891,000 decrease in the fair value of loan commitments, and a $4,387,000 decrease in loan fees and interest income net of a decrease in the provision for loan loss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decreased by $208,000, or 0.8%, to $26,238,000 for the three months ended September 30, 2022, from $26,446,000 for the comparable period in 2021. This decrease was primarily due to a decrease of $497,000 in renewal premiums which was partially offset by a $289,000 increase in first year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$3,510,000, or 23.3%, to $18,603,000 for the three months ended September 30, 2022, from $15,093,000 for the comparable period in 2021. This increase was primarily attributable to a $3,437,000 increase in mortgage loan interest, a $610,000 increase in real estate income, a $521,000 increase in fixed maturity securities income, a $434,000 increase in interest on cash and cash equivalents, a $146,000 increase in income on other investments, and a $28,000 increase in equity securities income, which were partially offset by a $1,087,000 increase in investment expenses, a $563,000 decrease in insurance assignment income, and a $16,000 decrease in policy loan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$503,000, or 8.4%, to $6,470,000 for the three months ended September 30, 2022, from $5,967,000 for the comparable period in 2021. This increase was primarily due to a $835,000 increase in mortuary at-need sales, which were partially offset by a $207,000 decrease in cemetery pre-need sales and a $125,000 decrease in cemetery at-need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on investments and other assets decreased by $3,156,000, or 323.0%, to $2,179,000 in losses for the three months ended September 30, 2022, from $977,000 in gains for the comparable period in 2021. This decrease in gains on investments and other assets was primarily due to a $1,512,000 decrease in gains on equity securities mostly attributable to decreases in the fair value of these equity securities, a $1,420,000 decrease in gains on other assets, and a $224,000 decrease in gains on fixed maturity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increased by $969,000, or 20.3%, to $5,737,000 for the three months ended September 30, 2022, from $4,768,000 for the comparable period in 2021. This increase was primarily attributable to an increase in servicing fee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benefits and expenses were $86,780,000, or 104.0% of total revenues, for the three months ended September 30, 2022, as compared to $105,366,000, or 88.2% of total revenues, for the comparable period in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$1,213,000 or 5.1%, to $22,724,000 for the three months ended September 30, 2022, from $23,937,000 for the comparable period in 2021. This decrease was primarily the result of a $1,478,000 decrease in death benefits ($1,023,000 for COVID-19 related deaths), a $96,000 decrease in future policy benefits, which were partially offset by a $361,000 increase in surrender and other policy benefits.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$352,000, or 7.5%, to $5,062,000 for the three months ended September 30, 2022, from $4,710,000 for the comparable period in 2021. This increase was primarily due to an increase in the average outstanding balance of deferred policy and pre-need acquisition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$18,346,000, or 24.8%, to $55,657,000 for the three months ended September 30, 2022, from $74,003,000 for the comparable period in 2021. This decrease was primarily the result of a $13,765,000 decrease in commissions, a $2,597,000 decrease in other expenses, a $1,008,000 decrease in costs related to funding mortgage loans, a $729,000 decrease in personnel expenses, and $318,000 decrease in advertising expense, and a $153,000 decrease in rent and rent related expenses, which were partially offset by a $224,000 increase in depreciation on property and equipment.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$329,000, or 18.2%, to $2,137,000 for the three months ended September 30, 2022, from $1,807,000 for the comparable period in 2021. This increase was primarily due to an increase of $423,000 in interest expense on bank loans, which was partially offset by a decrease of $94,000 in interest expense on mortgage warehouse lines for loans held for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increased by $292,000, or 32.2%, to $1,200,000 for the three months ended September 30, 2022, from $908,000 for the comparable period in 2021. This increase was primarily due to a $346,000 increase in mortuary at-need sales, which were partially offset by a $30,000 decrease in cemetery pre-need sales and a $24,000 decrease in cemetery at-need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decreased by $77,448,000, or 21.6%, to $281,470,000 for the nine months ended September 30, 2022, from $358,918,000 for the comparable period in 2021. Contributing to this decrease in total revenues was a $85,431,000 decrease in mortgage fee income and a $7,335,000 decrease in gains on investments and other assets, which were partially offset by a $3,736,000 increase in insurance premiums and other considerations, a $6,205,000 increase in net investment income, a $2,698,000 increase in net mortuary and cemetery sales, and a $2,679,000 increase in other revenues.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$85,431,000, or 41.8%, to $118,983,000, for the nine months ended September 30, 2022, from $204,414,000 for the comparable period in 2021. This decrease was primarily due to a $76,565,000 decrease in secondary gains from mortgage loans sold to third-party investors into the secondary market and a $6,919,000 decrease in loan fees and interest income net of a decrease in the provision for loan loss reserve, and a $2,294,000 decrease in the fair value of loan commitments, which were partially offset by a $347,000 increase in the fair value of loans held for sale.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Insurance premiums and other considerations increased by $3,736,000, or 5.0%, to $78,491,000 for the nine months ended September 30, 2022, from $74,755,000 for the comparable period in 2021. This increase was due to an increase of $1,996,000 in renewal premiums due to the growth of the Company’s outstanding policies in recent years, particularly in whole life products, which resulted in more premium paying business in force and an increase of $1,740,000 in first year premiums as a result of increased insurance sales.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$6,205,000, or 14.2%, to $49,769,000 for the nine months ended September 30, 2022, from $43,564,000 for the comparable period in 2021. This increase was primarily attributable to a $7,655,000 increase in mortgage loan interest, a $1,617,000 increase in income on real estate, a $544,000 increase in interest on cash and cash equivalents, a $446,000 increase in fixed maturity securities income, a $262,000 increase in income on other investments, a $37,000 increase in equity securities income, and a $33,000 increase in policy loan income, which were partially offset by a $3,800,000 increase in investment expenses and a $589,000 decrease in insurance assignment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$2,698,000, or 14.8%, to $20,926,000 for the nine months ended September 30, 2022, from $18,228,000 for the comparable period in 2021. This increase was primarily due to a $3,775,000 increase in mortuary at-need sales and a $356,000 increase in cemetery at-need sales, which were partially offset by a $1,433,000 decrease in cemetery pre-need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Gains on investments and other assets decreased by $7,335,000, or 166.2%, to $2,921,000 in losses for the nine months ended September 30, 2022, from $4,414,000 in gains for the comparable period in 2021. This decrease in gains on investments and other assets was primarily due to a $5,849,000 decrease in gains on equity securities mostly attributable to decreases in the fair value of these equity securities, a $1,169,000 decrease in gains on other assets, and a $317,000 decrease in gains on fixed maturity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increased by $2,679,000, or 19.8%, to $16,221,000 for the nine months ended September 30, 2022, from $13,542,000 for the comparable period in 2021. This increase was primarily attributable to an increase in servicing fee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benefits and expenses were $275,599,000, or 97.9% of total revenues, for the nine months ended September 30, 2022, as compared to $313,742,000, or 87.4% of total revenues, for the comparable period in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$201,000 or 0.3%, to $70,296,000 for the nine months ended September 30, 2022, from $70,497,000 for the comparable period in 2021. This decrease was primarily the result of a $2,910,000 decrease in death benefits ($2,339,000 for COVID-19 related deaths), which were partially offset by $1,620,000 increase in future policy benefits and a $1,089,000 increase in surrender and other policy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$1,570,000, or 13.2%, to $13,511,000 for the nine months ended September 30, 2022, from $11,941,000 for the comparable period in 2021. This increase was primarily due to an increase in the average outstanding balance of deferred policy and pre-need acquisition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$40,698,000, or 18.2%, to $182,398,000 for the nine months ended September 30, 2022, from $223,096,000 for the comparable period in 2021. This decrease was primarily the result of a $38,089,000 decrease in commissions, a $3,311,000 decrease in other expenses, a $1,800,000 decrease in costs related to funding mortgage loans, a $532,000 decrease in rent and rent related expenses, and a $409,000 decrease in advertising expenses, which were partially offset by a $2,950,000 increase in personnel expenses and a $493,000 increase in depreciation on property and equipment.</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increased by $437,000, or 8.2%, to $5,764,000 for the nine months ended September 30, 2022, from $5,327,000 for the comparable period in 2021. This increase was primarily due to a $1,215,000 increase in interest expense on bank loans, which was partially offset by decrease of $778,000 in interest expense on mortgage warehouse lines for loans held for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increased by $747,000, or 26.0%, to $3,628,000 for the nine months ended September 30, 2022, from $2,881,000 for the comparable period in 2021. This increase was primarily due to a $942,000 increase in mortuary at-need sales and a $42,000 increase in cemetery at-need sales, which were partially offset by and a $237,000 decrease in cemetery pre-need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caused by COVID-19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 As of September 30, 2022, SecurityNational Mortgage was not in compliance with its warehouse line debt covenants, but received waivers or amendments from the warehouse banks. In the unlikely event the Company is required to repay the warehouse lines, the Company has sufficient cash and borrowing capacity to do so and to continue to fund its origination activities through other internal funding sources.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Company’s operations provided cash of $109,318,000 and $128,891,000, respectively. The decrease in cash provided by operations from the nine months ended September 30, 2021 to those ended September 30, 2022 was due primarily to decreased proceeds from the sale of mortgage loans held for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liability for future policy benefits is expected to be paid out over the long-term due to the Company’s market niche of selling funeral plans. Funeral plans are small face value life insurance policies that payout upon a person’s death to cover funeral burial costs. Policyholders generally keep these policies in force and do not surrender them prior to death. Because of the long-term nature of these liabilities, the Company is able to hold to maturity its bonds, real estate, and mortgage loans thus reducing the risk of liquidating these long-term investments as a result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$320,546,000 (at estimated fair value) and $259,005,000 (at estimated fair value) as of September 30, 2022 and December 31, 2021, respectively. This represented 34.7% and 31.5% of the total investments as of September 30, 2022, and December 31, 2021, respectively. Generally, all bonds owned by the life insurance subsidiaries are rated by the National Association of Insurance Commissioners. Under this rating system, there are six categories used for rating bonds. At September 30, 2022, 2.2% (or $7,311,000) and at December 31, 2021, 3.9% (or $9,991,000) of the Company’s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risk-based capital guidelines established by statutory regulators requiring minimum capital levels based on the perceived risk of assets, liabilities, disintermediation, and business risk. At September 30, 2022 and December 31, 2021, the life insurance subsidiaries were in compliance with the regulatory criteria.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$470,342,000 as of September 30, 2022, as compared to $551,054,000 as of December 31, 2021. Stockholders’ equity as a percent of total capitalization was 57.2% and 54.4% as of September 30, 2022 and December 31, 2021,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2021 was 4.8% as compared to a rate of 5.9% for 2020. The 2022 lapse rate to date has been approximately the same as 2021.</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$90,667,000 and $82,823,000 as of September 30, 2022 and December 31, 2021, respectively. The life insurance subsidiaries cannot pay a dividend to their parent company without the approval of state insurance regulatory authorities.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2020, the outbreak of COVID-19 had spread worldwide and was declared a global pandemic by the World Health Organization on March 11, 2020. COVID-19, and its variants, pose a threat to the health and economic well-being of the Company’s employees, customers, and vendors. The Company continues to closely monitor developments relating to COVID-19 and assessing its impact on the Company’s business. The continued uncertainty surrounding COVID-19 has had and continues to have a significant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the economic conditions. Most monetary and fiscal interventions have been significantly curtailed.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most businesses, COVID-19 has impacted the Company, including the temporary adoption of work from home arrangements and a restructuring of selling techniques for its products and services. The Company also experienced increased expenses for cleaning services of its offices. Throughout 2021 and 2022, the Company continued to adapt to the impact of COVID-19 and its related economic effects. The Company cannot, with any certainty predict the severity or duration with which COVID-19 will impact the Company’s business, financial condition, results of operations, and cash flows. To the extent COVID-19 adversely affects the Company’s business, financial condition, and results of operations, it may also have the effect of heightening many of the other Company risks. These uncertainties have the potential to negatively affect the risk of credit default for the issuers of the Company’s fixed maturity debt securities and individual borrowers with mortgage loans held by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2022,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June 30, 2022,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Stock Repurchase Plan was amended in December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 and for shares held in the Deferred Compensation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 months ended September 30, 2022 under the Stock Repurchase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 Maximum Number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 Approximate</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Dollar Value) of Class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Shares that May Yet</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Class A Shares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 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Publicly Announced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 Purchased Under</w:t>
            </w:r>
          </w:p>
        </w:tc>
      </w:tr>
      <w:tr>
        <w:trPr>
          <w:trHeight w:val="234"/>
        </w:trPr>
        <w:tc>
          <w:tcPr>
            <w:tcW w:w="33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Period</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Class A Share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 or Program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the Plan or Program</w:t>
            </w:r>
          </w:p>
        </w:tc>
      </w:tr>
      <w:tr>
        <w:trPr>
          <w:trHeight w:val="209"/>
        </w:trPr>
        <w:tc>
          <w:tcPr>
            <w:tcW w:w="3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7/1/2022-7/31/2022</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8/1/2022-8/31/2022</w:t>
            </w:r>
          </w:p>
        </w:tc>
        <w:tc>
          <w:tcPr>
            <w:tcW w:w="1600" w:type="dxa"/>
            <w:vAlign w:val="bottom"/>
          </w:tcPr>
          <w:p>
            <w:pPr>
              <w:spacing w:after="0"/>
              <w:rPr>
                <w:sz w:val="18"/>
                <w:szCs w:val="18"/>
                <w:color w:val="auto"/>
              </w:rPr>
            </w:pPr>
          </w:p>
        </w:tc>
        <w:tc>
          <w:tcPr>
            <w:tcW w:w="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443,178</w:t>
            </w:r>
          </w:p>
        </w:tc>
      </w:tr>
      <w:tr>
        <w:trPr>
          <w:trHeight w:val="216"/>
        </w:trPr>
        <w:tc>
          <w:tcPr>
            <w:tcW w:w="3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9/1/2022-9/30/2022</w:t>
            </w:r>
          </w:p>
        </w:tc>
        <w:tc>
          <w:tcPr>
            <w:tcW w:w="1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443,178</w:t>
            </w:r>
          </w:p>
        </w:tc>
      </w:tr>
      <w:tr>
        <w:trPr>
          <w:trHeight w:val="230"/>
        </w:trPr>
        <w:tc>
          <w:tcPr>
            <w:tcW w:w="3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 Financial Statements Schedules and Reports on Form 8-K.</w:t>
      </w:r>
    </w:p>
    <w:p>
      <w:pPr>
        <w:spacing w:after="0" w:line="2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39"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660" w:type="dxa"/>
            <w:vAlign w:val="bottom"/>
            <w:gridSpan w:val="7"/>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 and Restated Articles of Incorporation (4)</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Amended and Restated Bylaws (6)</w:t>
              </w:r>
            </w:hyperlink>
          </w:p>
        </w:tc>
        <w:tc>
          <w:tcPr>
            <w:tcW w:w="1240" w:type="dxa"/>
            <w:vAlign w:val="bottom"/>
            <w:tcBorders>
              <w:top w:val="single" w:sz="8" w:color="0000EE"/>
            </w:tcBorders>
            <w:gridSpan w:val="2"/>
          </w:tcPr>
          <w:p>
            <w:pPr>
              <w:spacing w:after="0"/>
              <w:rPr>
                <w:sz w:val="17"/>
                <w:szCs w:val="17"/>
                <w:color w:val="auto"/>
              </w:rPr>
            </w:pPr>
          </w:p>
        </w:tc>
        <w:tc>
          <w:tcPr>
            <w:tcW w:w="2900" w:type="dxa"/>
            <w:vAlign w:val="bottom"/>
            <w:gridSpan w:val="3"/>
          </w:tcPr>
          <w:p>
            <w:pPr>
              <w:spacing w:after="0"/>
              <w:rPr>
                <w:sz w:val="17"/>
                <w:szCs w:val="17"/>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Specimen Class A Stock Certificate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Specimen Class C Stock Certificate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Specimen Preferred Stock Certificate and Certificate of Designation of Preferred Stock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Employee Stock Ownership Plan, as amended and restated (ESOP) and Trust Agreement (1)</w:t>
            </w: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6660" w:type="dxa"/>
            <w:vAlign w:val="bottom"/>
            <w:gridSpan w:val="7"/>
          </w:tcPr>
          <w:p>
            <w:pPr>
              <w:spacing w:after="0" w:line="194"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Amended and Restated 2013 Stock Option and Other Equity Incentive Awards Plan (3)</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2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Amended and Restated 2014 Director Stock Option Plan (7)</w:t>
              </w:r>
            </w:hyperlink>
          </w:p>
        </w:tc>
        <w:tc>
          <w:tcPr>
            <w:tcW w:w="38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Employment Agreement with Scott M. Quist (2)</w:t>
              </w:r>
            </w:hyperlink>
          </w:p>
        </w:tc>
        <w:tc>
          <w:tcPr>
            <w:tcW w:w="840" w:type="dxa"/>
            <w:vAlign w:val="bottom"/>
            <w:tcBorders>
              <w:top w:val="single" w:sz="8" w:color="0000EE"/>
            </w:tcBorders>
            <w:gridSpan w:val="2"/>
          </w:tcPr>
          <w:p>
            <w:pPr>
              <w:spacing w:after="0"/>
              <w:rPr>
                <w:sz w:val="17"/>
                <w:szCs w:val="17"/>
                <w:color w:val="auto"/>
              </w:rPr>
            </w:pPr>
          </w:p>
        </w:tc>
        <w:tc>
          <w:tcPr>
            <w:tcW w:w="2320" w:type="dxa"/>
            <w:vAlign w:val="bottom"/>
            <w:gridSpan w:val="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Stock Repurchase Plan (5)</w:t>
              </w:r>
            </w:hyperlink>
          </w:p>
        </w:tc>
        <w:tc>
          <w:tcPr>
            <w:tcW w:w="4740" w:type="dxa"/>
            <w:vAlign w:val="bottom"/>
            <w:gridSpan w:val="6"/>
          </w:tcPr>
          <w:p>
            <w:pPr>
              <w:spacing w:after="0"/>
              <w:rPr>
                <w:sz w:val="17"/>
                <w:szCs w:val="17"/>
                <w:color w:val="auto"/>
              </w:rPr>
            </w:pPr>
          </w:p>
        </w:tc>
      </w:tr>
    </w:tbl>
    <w:p>
      <w:pPr>
        <w:spacing w:after="0" w:line="9" w:lineRule="exact"/>
        <w:rPr>
          <w:sz w:val="20"/>
          <w:szCs w:val="20"/>
          <w:color w:val="auto"/>
        </w:rPr>
      </w:pPr>
    </w:p>
    <w:p>
      <w:pPr>
        <w:ind w:left="1760" w:hanging="915"/>
        <w:spacing w:after="0"/>
        <w:tabs>
          <w:tab w:leader="none" w:pos="1760" w:val="left"/>
        </w:tabs>
        <w:numPr>
          <w:ilvl w:val="0"/>
          <w:numId w:val="71"/>
        </w:numPr>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Code of Business Conduct and Ethics (6)</w:t>
        </w:r>
      </w:hyperlink>
    </w:p>
    <w:p>
      <w:pPr>
        <w:spacing w:after="0" w:line="27" w:lineRule="exact"/>
        <w:rPr>
          <w:sz w:val="20"/>
          <w:szCs w:val="20"/>
          <w:color w:val="auto"/>
        </w:rPr>
      </w:pPr>
    </w:p>
    <w:p>
      <w:pPr>
        <w:ind w:left="1760" w:hanging="915"/>
        <w:spacing w:after="0"/>
        <w:tabs>
          <w:tab w:leader="none" w:pos="1760" w:val="left"/>
        </w:tabs>
        <w:numPr>
          <w:ilvl w:val="0"/>
          <w:numId w:val="72"/>
        </w:numPr>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Subsidiaries of the Registrant (8)</w:t>
        </w:r>
      </w:hyperlink>
    </w:p>
    <w:tbl>
      <w:tblPr>
        <w:tblLayout w:type="fixed"/>
        <w:tblInd w:w="840" w:type="dxa"/>
        <w:tblCellMar>
          <w:top w:w="0" w:type="dxa"/>
          <w:left w:w="0" w:type="dxa"/>
          <w:bottom w:w="0" w:type="dxa"/>
          <w:right w:w="0" w:type="dxa"/>
        </w:tblCellMar>
      </w:tblPr>
      <w:tr>
        <w:trPr>
          <w:trHeight w:val="185"/>
        </w:trPr>
        <w:tc>
          <w:tcPr>
            <w:tcW w:w="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2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137160</wp:posOffset>
            </wp:positionV>
            <wp:extent cx="2143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5" w:lineRule="exact"/>
        <w:rPr>
          <w:sz w:val="20"/>
          <w:szCs w:val="20"/>
          <w:color w:val="auto"/>
        </w:rPr>
      </w:pPr>
    </w:p>
    <w:p>
      <w:pPr>
        <w:ind w:left="1680" w:hanging="835"/>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Registration Statement on Form S-1, as filed on June 29, 1987</w:t>
      </w:r>
    </w:p>
    <w:p>
      <w:pPr>
        <w:spacing w:after="0" w:line="27" w:lineRule="exact"/>
        <w:rPr>
          <w:rFonts w:ascii="Times New Roman" w:cs="Times New Roman" w:eastAsia="Times New Roman" w:hAnsi="Times New Roman"/>
          <w:sz w:val="18"/>
          <w:szCs w:val="18"/>
          <w:color w:val="auto"/>
        </w:rPr>
      </w:pPr>
    </w:p>
    <w:p>
      <w:pPr>
        <w:ind w:left="1680" w:hanging="835"/>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2015</w:t>
      </w:r>
    </w:p>
    <w:p>
      <w:pPr>
        <w:spacing w:after="0" w:line="9" w:lineRule="exact"/>
        <w:rPr>
          <w:rFonts w:ascii="Times New Roman" w:cs="Times New Roman" w:eastAsia="Times New Roman" w:hAnsi="Times New Roman"/>
          <w:sz w:val="18"/>
          <w:szCs w:val="18"/>
          <w:color w:val="auto"/>
        </w:rPr>
      </w:pPr>
    </w:p>
    <w:p>
      <w:pPr>
        <w:ind w:left="1680" w:hanging="835"/>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15, 2016</w:t>
      </w:r>
    </w:p>
    <w:p>
      <w:pPr>
        <w:spacing w:after="0" w:line="9" w:lineRule="exact"/>
        <w:rPr>
          <w:rFonts w:ascii="Times New Roman" w:cs="Times New Roman" w:eastAsia="Times New Roman" w:hAnsi="Times New Roman"/>
          <w:sz w:val="18"/>
          <w:szCs w:val="18"/>
          <w:color w:val="auto"/>
        </w:rPr>
      </w:pPr>
    </w:p>
    <w:p>
      <w:pPr>
        <w:ind w:left="1680" w:hanging="835"/>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9" w:lineRule="exact"/>
        <w:rPr>
          <w:rFonts w:ascii="Times New Roman" w:cs="Times New Roman" w:eastAsia="Times New Roman" w:hAnsi="Times New Roman"/>
          <w:sz w:val="18"/>
          <w:szCs w:val="18"/>
          <w:color w:val="auto"/>
        </w:rPr>
      </w:pPr>
    </w:p>
    <w:p>
      <w:pPr>
        <w:ind w:left="1680" w:hanging="835"/>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2018</w:t>
      </w:r>
    </w:p>
    <w:p>
      <w:pPr>
        <w:spacing w:after="0" w:line="9" w:lineRule="exact"/>
        <w:rPr>
          <w:rFonts w:ascii="Times New Roman" w:cs="Times New Roman" w:eastAsia="Times New Roman" w:hAnsi="Times New Roman"/>
          <w:sz w:val="18"/>
          <w:szCs w:val="18"/>
          <w:color w:val="auto"/>
        </w:rPr>
      </w:pPr>
    </w:p>
    <w:p>
      <w:pPr>
        <w:ind w:left="1680" w:hanging="835"/>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9" w:lineRule="exact"/>
        <w:rPr>
          <w:rFonts w:ascii="Times New Roman" w:cs="Times New Roman" w:eastAsia="Times New Roman" w:hAnsi="Times New Roman"/>
          <w:sz w:val="18"/>
          <w:szCs w:val="18"/>
          <w:color w:val="auto"/>
        </w:rPr>
      </w:pPr>
    </w:p>
    <w:p>
      <w:pPr>
        <w:ind w:left="1680" w:hanging="835"/>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14, 2020</w:t>
      </w:r>
    </w:p>
    <w:p>
      <w:pPr>
        <w:spacing w:after="0" w:line="9" w:lineRule="exact"/>
        <w:rPr>
          <w:rFonts w:ascii="Times New Roman" w:cs="Times New Roman" w:eastAsia="Times New Roman" w:hAnsi="Times New Roman"/>
          <w:sz w:val="18"/>
          <w:szCs w:val="18"/>
          <w:color w:val="auto"/>
        </w:rPr>
      </w:pPr>
    </w:p>
    <w:p>
      <w:pPr>
        <w:ind w:left="1680" w:hanging="835"/>
        <w:spacing w:after="0"/>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i w:val="1"/>
                <w:iCs w:val="1"/>
                <w:color w:val="auto"/>
                <w:w w:val="99"/>
              </w:rPr>
              <w:t>REGISTRANT</w:t>
            </w:r>
          </w:p>
        </w:tc>
      </w:tr>
      <w:tr>
        <w:trPr>
          <w:trHeight w:val="392"/>
        </w:trPr>
        <w:tc>
          <w:tcPr>
            <w:tcW w:w="354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SECURITY NATIONAL FINANCIAL CORPORATION</w:t>
            </w:r>
          </w:p>
        </w:tc>
        <w:tc>
          <w:tcPr>
            <w:tcW w:w="3540" w:type="dxa"/>
            <w:vAlign w:val="bottom"/>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77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2022</w:t>
            </w:r>
          </w:p>
        </w:tc>
        <w:tc>
          <w:tcPr>
            <w:tcW w:w="220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2022</w:t>
            </w:r>
          </w:p>
        </w:tc>
        <w:tc>
          <w:tcPr>
            <w:tcW w:w="220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Garrett S. Sill</w:t>
            </w: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35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center"/>
              <w:ind w:left="1890"/>
              <w:spacing w:after="0"/>
              <w:rPr>
                <w:sz w:val="20"/>
                <w:szCs w:val="20"/>
                <w:color w:val="auto"/>
              </w:rPr>
            </w:pPr>
            <w:r>
              <w:rPr>
                <w:rFonts w:ascii="Times New Roman" w:cs="Times New Roman" w:eastAsia="Times New Roman" w:hAnsi="Times New Roman"/>
                <w:sz w:val="18"/>
                <w:szCs w:val="18"/>
                <w:color w:val="auto"/>
                <w:w w:val="99"/>
              </w:rPr>
              <w:t>63</w:t>
            </w:r>
          </w:p>
        </w:tc>
        <w:tc>
          <w:tcPr>
            <w:tcW w:w="19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4" w:name="page65"/>
    <w:bookmarkEnd w:id="64"/>
    <w:p>
      <w:pPr>
        <w:ind w:left="10160"/>
        <w:spacing w:after="0"/>
        <w:rPr>
          <w:sz w:val="20"/>
          <w:szCs w:val="20"/>
          <w:color w:val="auto"/>
        </w:rPr>
      </w:pPr>
      <w:r>
        <w:rPr>
          <w:rFonts w:ascii="Times New Roman" w:cs="Times New Roman" w:eastAsia="Times New Roman" w:hAnsi="Times New Roman"/>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9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23"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40"/>
        <w:spacing w:after="0" w:line="282" w:lineRule="auto"/>
        <w:tabs>
          <w:tab w:leader="none" w:pos="721"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0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November 14, 2022</w:t>
      </w:r>
      <w:r>
        <w:rPr>
          <w:sz w:val="20"/>
          <w:szCs w:val="20"/>
          <w:color w:val="auto"/>
        </w:rPr>
        <w:tab/>
      </w: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Scott M. Quist</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10160"/>
        <w:spacing w:after="0"/>
        <w:rPr>
          <w:sz w:val="20"/>
          <w:szCs w:val="20"/>
          <w:color w:val="auto"/>
        </w:rPr>
      </w:pPr>
      <w:r>
        <w:rPr>
          <w:rFonts w:ascii="Times New Roman" w:cs="Times New Roman" w:eastAsia="Times New Roman" w:hAnsi="Times New Roman"/>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9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23"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40"/>
        <w:spacing w:after="0" w:line="282" w:lineRule="auto"/>
        <w:tabs>
          <w:tab w:leader="none" w:pos="721"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0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5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November 14, 2022</w:t>
      </w:r>
      <w:r>
        <w:rPr>
          <w:sz w:val="20"/>
          <w:szCs w:val="20"/>
          <w:color w:val="auto"/>
        </w:rPr>
        <w:tab/>
      </w:r>
      <w:r>
        <w:rPr>
          <w:rFonts w:ascii="Times New Roman" w:cs="Times New Roman" w:eastAsia="Times New Roman" w:hAnsi="Times New Roman"/>
          <w:sz w:val="17"/>
          <w:szCs w:val="17"/>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Garrett S. Sill</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September 30, 2022,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2022</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September 30, 2022,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2022</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2"/>
    </w:lvl>
  </w:abstractNum>
  <w:abstractNum w:abstractNumId="5">
    <w:nsid w:val="3855585C"/>
    <w:multiLevelType w:val="hybridMultilevel"/>
    <w:lvl w:ilvl="0">
      <w:lvlJc w:val="left"/>
      <w:lvlText w:val="%1)"/>
      <w:numFmt w:val="decimal"/>
      <w:start w:val="3"/>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3"/>
    </w:lvl>
  </w:abstractNum>
  <w:abstractNum w:abstractNumId="8">
    <w:nsid w:val="2A487CB0"/>
    <w:multiLevelType w:val="hybridMultilevel"/>
    <w:lvl w:ilvl="0">
      <w:lvlJc w:val="left"/>
      <w:lvlText w:val="%1)"/>
      <w:numFmt w:val="decimal"/>
      <w:start w:val="3"/>
    </w:lvl>
  </w:abstractNum>
  <w:abstractNum w:abstractNumId="9">
    <w:nsid w:val="1D4ED43B"/>
    <w:multiLevelType w:val="hybridMultilevel"/>
    <w:lvl w:ilvl="0">
      <w:lvlJc w:val="left"/>
      <w:lvlText w:val="%1)"/>
      <w:numFmt w:val="decimal"/>
      <w:start w:val="3"/>
    </w:lvl>
  </w:abstractNum>
  <w:abstractNum w:abstractNumId="10">
    <w:nsid w:val="725A06FB"/>
    <w:multiLevelType w:val="hybridMultilevel"/>
    <w:lvl w:ilvl="0">
      <w:lvlJc w:val="left"/>
      <w:lvlText w:val="%1)"/>
      <w:numFmt w:val="decimal"/>
      <w:start w:val="3"/>
    </w:lvl>
  </w:abstractNum>
  <w:abstractNum w:abstractNumId="11">
    <w:nsid w:val="2CD89A32"/>
    <w:multiLevelType w:val="hybridMultilevel"/>
    <w:lvl w:ilvl="0">
      <w:lvlJc w:val="left"/>
      <w:lvlText w:val="%1)"/>
      <w:numFmt w:val="decimal"/>
      <w:start w:val="3"/>
    </w:lvl>
  </w:abstractNum>
  <w:abstractNum w:abstractNumId="12">
    <w:nsid w:val="57E4CCAF"/>
    <w:multiLevelType w:val="hybridMultilevel"/>
    <w:lvl w:ilvl="0">
      <w:lvlJc w:val="left"/>
      <w:lvlText w:val="%1)"/>
      <w:numFmt w:val="decimal"/>
      <w:start w:val="3"/>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3"/>
    </w:lvl>
  </w:abstractNum>
  <w:abstractNum w:abstractNumId="15">
    <w:nsid w:val="542289EC"/>
    <w:multiLevelType w:val="hybridMultilevel"/>
    <w:lvl w:ilvl="0">
      <w:lvlJc w:val="left"/>
      <w:lvlText w:val="%1)"/>
      <w:numFmt w:val="decimal"/>
      <w:start w:val="3"/>
    </w:lvl>
  </w:abstractNum>
  <w:abstractNum w:abstractNumId="16">
    <w:nsid w:val="6DE91B18"/>
    <w:multiLevelType w:val="hybridMultilevel"/>
    <w:lvl w:ilvl="0">
      <w:lvlJc w:val="left"/>
      <w:lvlText w:val="%1)"/>
      <w:numFmt w:val="decimal"/>
      <w:start w:val="3"/>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decimal"/>
      <w:start w:val="3"/>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3"/>
    </w:lvl>
  </w:abstractNum>
  <w:abstractNum w:abstractNumId="21">
    <w:nsid w:val="579478FE"/>
    <w:multiLevelType w:val="hybridMultilevel"/>
    <w:lvl w:ilvl="0">
      <w:lvlJc w:val="left"/>
      <w:lvlText w:val="%1)"/>
      <w:numFmt w:val="decimal"/>
      <w:start w:val="3"/>
    </w:lvl>
  </w:abstractNum>
  <w:abstractNum w:abstractNumId="22">
    <w:nsid w:val="749ABB43"/>
    <w:multiLevelType w:val="hybridMultilevel"/>
    <w:lvl w:ilvl="0">
      <w:lvlJc w:val="left"/>
      <w:lvlText w:val="%1)"/>
      <w:numFmt w:val="decimal"/>
      <w:start w:val="4"/>
    </w:lvl>
  </w:abstractNum>
  <w:abstractNum w:abstractNumId="23">
    <w:nsid w:val="3DC240FB"/>
    <w:multiLevelType w:val="hybridMultilevel"/>
    <w:lvl w:ilvl="0">
      <w:lvlJc w:val="left"/>
      <w:lvlText w:val="%1)"/>
      <w:numFmt w:val="decimal"/>
      <w:start w:val="4"/>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5"/>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6"/>
    </w:lvl>
  </w:abstractNum>
  <w:abstractNum w:abstractNumId="35">
    <w:nsid w:val="39386575"/>
    <w:multiLevelType w:val="hybridMultilevel"/>
    <w:lvl w:ilvl="0">
      <w:lvlJc w:val="left"/>
      <w:lvlText w:val="%1)"/>
      <w:numFmt w:val="decimal"/>
      <w:start w:val="7"/>
    </w:lvl>
  </w:abstractNum>
  <w:abstractNum w:abstractNumId="36">
    <w:nsid w:val="1CF10FD8"/>
    <w:multiLevelType w:val="hybridMultilevel"/>
    <w:lvl w:ilvl="0">
      <w:lvlJc w:val="left"/>
      <w:lvlText w:val="%1)"/>
      <w:numFmt w:val="decimal"/>
      <w:start w:val="7"/>
    </w:lvl>
  </w:abstractNum>
  <w:abstractNum w:abstractNumId="37">
    <w:nsid w:val="180115BE"/>
    <w:multiLevelType w:val="hybridMultilevel"/>
    <w:lvl w:ilvl="0">
      <w:lvlJc w:val="left"/>
      <w:lvlText w:val="%1)"/>
      <w:numFmt w:val="decimal"/>
      <w:start w:val="8"/>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decimal"/>
      <w:start w:val="8"/>
    </w:lvl>
  </w:abstractNum>
  <w:abstractNum w:abstractNumId="40">
    <w:nsid w:val="354FE9F9"/>
    <w:multiLevelType w:val="hybridMultilevel"/>
    <w:lvl w:ilvl="0">
      <w:lvlJc w:val="left"/>
      <w:lvlText w:val="%1)"/>
      <w:numFmt w:val="decimal"/>
      <w:start w:val="8"/>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8"/>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8"/>
    </w:lvl>
  </w:abstractNum>
  <w:abstractNum w:abstractNumId="45">
    <w:nsid w:val="3F6AB60F"/>
    <w:multiLevelType w:val="hybridMultilevel"/>
    <w:lvl w:ilvl="0">
      <w:lvlJc w:val="left"/>
      <w:lvlText w:val="%1)"/>
      <w:numFmt w:val="decimal"/>
      <w:start w:val="8"/>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8"/>
    </w:lvl>
  </w:abstractNum>
  <w:abstractNum w:abstractNumId="49">
    <w:nsid w:val="579BE4F1"/>
    <w:multiLevelType w:val="hybridMultilevel"/>
    <w:lvl w:ilvl="0">
      <w:lvlJc w:val="left"/>
      <w:lvlText w:val="(%1)"/>
      <w:numFmt w:val="decimal"/>
      <w:start w:val="1"/>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1)"/>
      <w:numFmt w:val="decimal"/>
      <w:start w:val="8"/>
    </w:lvl>
  </w:abstractNum>
  <w:abstractNum w:abstractNumId="52">
    <w:nsid w:val="2F305DEF"/>
    <w:multiLevelType w:val="hybridMultilevel"/>
    <w:lvl w:ilvl="0">
      <w:lvlJc w:val="left"/>
      <w:lvlText w:val="%1)"/>
      <w:numFmt w:val="decimal"/>
      <w:start w:val="8"/>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1)"/>
      <w:numFmt w:val="decimal"/>
      <w:start w:val="8"/>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decimal"/>
      <w:start w:val="8"/>
    </w:lvl>
  </w:abstractNum>
  <w:abstractNum w:abstractNumId="57">
    <w:nsid w:val="1381823A"/>
    <w:multiLevelType w:val="hybridMultilevel"/>
    <w:lvl w:ilvl="0">
      <w:lvlJc w:val="left"/>
      <w:lvlText w:val="%1)"/>
      <w:numFmt w:val="decimal"/>
      <w:start w:val="9"/>
    </w:lvl>
  </w:abstractNum>
  <w:abstractNum w:abstractNumId="58">
    <w:nsid w:val="5DB70AE5"/>
    <w:multiLevelType w:val="hybridMultilevel"/>
    <w:lvl w:ilvl="0">
      <w:lvlJc w:val="left"/>
      <w:lvlText w:val="%1)"/>
      <w:numFmt w:val="decimal"/>
      <w:start w:val="10"/>
    </w:lvl>
  </w:abstractNum>
  <w:abstractNum w:abstractNumId="59">
    <w:nsid w:val="100F8FCA"/>
    <w:multiLevelType w:val="hybridMultilevel"/>
    <w:lvl w:ilvl="0">
      <w:lvlJc w:val="left"/>
      <w:lvlText w:val="%1)"/>
      <w:numFmt w:val="decimal"/>
      <w:start w:val="10"/>
    </w:lvl>
  </w:abstractNum>
  <w:abstractNum w:abstractNumId="60">
    <w:nsid w:val="6590700B"/>
    <w:multiLevelType w:val="hybridMultilevel"/>
    <w:lvl w:ilvl="0">
      <w:lvlJc w:val="left"/>
      <w:lvlText w:val="%1)"/>
      <w:numFmt w:val="decimal"/>
      <w:start w:val="10"/>
    </w:lvl>
  </w:abstractNum>
  <w:abstractNum w:abstractNumId="61">
    <w:nsid w:val="15014ACB"/>
    <w:multiLevelType w:val="hybridMultilevel"/>
    <w:lvl w:ilvl="0">
      <w:lvlJc w:val="left"/>
      <w:lvlText w:val="%1)"/>
      <w:numFmt w:val="decimal"/>
      <w:start w:val="11"/>
    </w:lvl>
  </w:abstractNum>
  <w:abstractNum w:abstractNumId="62">
    <w:nsid w:val="5F5E7FD0"/>
    <w:multiLevelType w:val="hybridMultilevel"/>
    <w:lvl w:ilvl="0">
      <w:lvlJc w:val="left"/>
      <w:lvlText w:val="%1)"/>
      <w:numFmt w:val="decimal"/>
      <w:start w:val="11"/>
    </w:lvl>
  </w:abstractNum>
  <w:abstractNum w:abstractNumId="63">
    <w:nsid w:val="98A3148"/>
    <w:multiLevelType w:val="hybridMultilevel"/>
    <w:lvl w:ilvl="0">
      <w:lvlJc w:val="left"/>
      <w:lvlText w:val="%1)"/>
      <w:numFmt w:val="decimal"/>
      <w:start w:val="12"/>
    </w:lvl>
  </w:abstractNum>
  <w:abstractNum w:abstractNumId="64">
    <w:nsid w:val="799D0247"/>
    <w:multiLevelType w:val="hybridMultilevel"/>
    <w:lvl w:ilvl="0">
      <w:lvlJc w:val="left"/>
      <w:lvlText w:val="%1)"/>
      <w:numFmt w:val="decimal"/>
      <w:start w:val="12"/>
    </w:lvl>
  </w:abstractNum>
  <w:abstractNum w:abstractNumId="65">
    <w:nsid w:val="6B94764"/>
    <w:multiLevelType w:val="hybridMultilevel"/>
    <w:lvl w:ilvl="0">
      <w:lvlJc w:val="left"/>
      <w:lvlText w:val="%1)"/>
      <w:numFmt w:val="decimal"/>
      <w:start w:val="13"/>
    </w:lvl>
  </w:abstractNum>
  <w:abstractNum w:abstractNumId="66">
    <w:nsid w:val="42C296BD"/>
    <w:multiLevelType w:val="hybridMultilevel"/>
    <w:lvl w:ilvl="0">
      <w:lvlJc w:val="left"/>
      <w:lvlText w:val="%1)"/>
      <w:numFmt w:val="decimal"/>
      <w:start w:val="14"/>
    </w:lvl>
  </w:abstractNum>
  <w:abstractNum w:abstractNumId="67">
    <w:nsid w:val="168E121F"/>
    <w:multiLevelType w:val="hybridMultilevel"/>
    <w:lvl w:ilvl="0">
      <w:lvlJc w:val="left"/>
      <w:lvlText w:val="%1)"/>
      <w:numFmt w:val="decimal"/>
      <w:start w:val="14"/>
    </w:lvl>
  </w:abstractNum>
  <w:abstractNum w:abstractNumId="68">
    <w:nsid w:val="1EBA5D23"/>
    <w:multiLevelType w:val="hybridMultilevel"/>
    <w:lvl w:ilvl="0">
      <w:lvlJc w:val="left"/>
      <w:lvlText w:val="%1)"/>
      <w:numFmt w:val="decimal"/>
      <w:start w:val="14"/>
    </w:lvl>
  </w:abstractNum>
  <w:abstractNum w:abstractNumId="69">
    <w:nsid w:val="661E3F1E"/>
    <w:multiLevelType w:val="hybridMultilevel"/>
    <w:lvl w:ilvl="0">
      <w:lvlJc w:val="left"/>
      <w:lvlText w:val="(%1)"/>
      <w:numFmt w:val="lowerRoman"/>
      <w:start w:val="8"/>
    </w:lvl>
  </w:abstractNum>
  <w:abstractNum w:abstractNumId="70">
    <w:nsid w:val="5DC79EA8"/>
    <w:multiLevelType w:val="hybridMultilevel"/>
    <w:lvl w:ilvl="0">
      <w:lvlJc w:val="left"/>
      <w:lvlText w:val="%1"/>
      <w:numFmt w:val="decimal"/>
      <w:start w:val="14"/>
    </w:lvl>
  </w:abstractNum>
  <w:abstractNum w:abstractNumId="71">
    <w:nsid w:val="540A471C"/>
    <w:multiLevelType w:val="hybridMultilevel"/>
    <w:lvl w:ilvl="0">
      <w:lvlJc w:val="left"/>
      <w:lvlText w:val="%1"/>
      <w:numFmt w:val="decimal"/>
      <w:start w:val="2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22" Type="http://schemas.openxmlformats.org/officeDocument/2006/relationships/hyperlink" Target="https://www.sec.gov/Archives/edgar/data/318673/000109690617000214/exh3_1.pdf" TargetMode="External"/><Relationship Id="rId123" Type="http://schemas.openxmlformats.org/officeDocument/2006/relationships/hyperlink" Target="https://www.sec.gov/Archives/edgar/data/318673/000109690619000199/exh3_2.pdf" TargetMode="External"/><Relationship Id="rId124" Type="http://schemas.openxmlformats.org/officeDocument/2006/relationships/hyperlink" Target="https://www.sec.gov/Archives/edgar/data/318673/000109690616001835/exh10_4.htm" TargetMode="External"/><Relationship Id="rId125" Type="http://schemas.openxmlformats.org/officeDocument/2006/relationships/hyperlink" Target="https://www.sec.gov/Archives/edgar/data/318673/000144586620001192/snfca_ex10z3.htm" TargetMode="External"/><Relationship Id="rId126" Type="http://schemas.openxmlformats.org/officeDocument/2006/relationships/hyperlink" Target="https://www.sec.gov/Archives/edgar/data/318673/000109690615001153/exh108.htm" TargetMode="External"/><Relationship Id="rId127" Type="http://schemas.openxmlformats.org/officeDocument/2006/relationships/hyperlink" Target="https://www.sec.gov/Archives/edgar/data/318673/000109690618000639/exh10_9.htm" TargetMode="External"/><Relationship Id="rId128" Type="http://schemas.openxmlformats.org/officeDocument/2006/relationships/hyperlink" Target="https://www.sec.gov/Archives/edgar/data/318673/000109690619000199/exh14.htm" TargetMode="External"/><Relationship Id="rId129" Type="http://schemas.openxmlformats.org/officeDocument/2006/relationships/hyperlink" Target="https://www.sec.gov/Archives/edgar/data/318673/00014931522200823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2022-11-14T12:13:31Z</dcterms:created>
  <dcterms:modified xsi:type="dcterms:W3CDTF">2022-11-14T12:13:31Z</dcterms:modified>
</cp:coreProperties>
</file>