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right="1880" w:firstLine="8"/>
        <w:spacing w:after="0" w:line="263" w:lineRule="auto"/>
        <w:tabs>
          <w:tab w:leader="none" w:pos="20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right="1860" w:firstLine="8"/>
        <w:spacing w:after="0" w:line="286" w:lineRule="auto"/>
        <w:tabs>
          <w:tab w:leader="none" w:pos="2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580" w:type="dxa"/>
        <w:tblCellMar>
          <w:top w:w="0" w:type="dxa"/>
          <w:left w:w="0" w:type="dxa"/>
          <w:bottom w:w="0" w:type="dxa"/>
          <w:right w:w="0" w:type="dxa"/>
        </w:tblCellMar>
      </w:tblPr>
      <w:tr>
        <w:trPr>
          <w:trHeight w:val="218"/>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37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87-0345941</w:t>
            </w:r>
          </w:p>
        </w:tc>
      </w:tr>
      <w:tr>
        <w:trPr>
          <w:trHeight w:val="236"/>
        </w:trPr>
        <w:tc>
          <w:tcPr>
            <w:tcW w:w="5500" w:type="dxa"/>
            <w:vAlign w:val="bottom"/>
          </w:tcPr>
          <w:p>
            <w:pPr>
              <w:jc w:val="center"/>
              <w:ind w:right="103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700" w:type="dxa"/>
            <w:vAlign w:val="bottom"/>
          </w:tcPr>
          <w:p>
            <w:pPr>
              <w:jc w:val="center"/>
              <w:ind w:left="10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52"/>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433 Ascension Way, 6</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Salt Lake City, Utah</w:t>
            </w:r>
          </w:p>
        </w:tc>
        <w:tc>
          <w:tcPr>
            <w:tcW w:w="37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84123</w:t>
            </w:r>
          </w:p>
        </w:tc>
      </w:tr>
      <w:tr>
        <w:trPr>
          <w:trHeight w:val="236"/>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700" w:type="dxa"/>
            <w:vAlign w:val="bottom"/>
          </w:tcPr>
          <w:p>
            <w:pPr>
              <w:jc w:val="center"/>
              <w:ind w:left="10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264-1060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SNFCA</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9" w:lineRule="exact"/>
        <w:rPr>
          <w:sz w:val="24"/>
          <w:szCs w:val="24"/>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47"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220" w:space="720"/>
            <w:col w:w="4300"/>
          </w:cols>
          <w:pgMar w:left="320" w:top="740" w:right="339" w:bottom="1440" w:gutter="0" w:footer="0" w:header="0"/>
          <w:type w:val="continuous"/>
        </w:sectPr>
      </w:pPr>
    </w:p>
    <w:p>
      <w:pPr>
        <w:spacing w:after="0" w:line="17" w:lineRule="exact"/>
        <w:rPr>
          <w:sz w:val="24"/>
          <w:szCs w:val="24"/>
          <w:color w:val="auto"/>
        </w:rPr>
      </w:pPr>
    </w:p>
    <w:p>
      <w:pPr>
        <w:ind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1034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r>
        <w:rPr>
          <w:rFonts w:ascii="MS PGothic" w:cs="MS PGothic" w:eastAsia="MS PGothic" w:hAnsi="MS PGothic"/>
          <w:sz w:val="17"/>
          <w:szCs w:val="17"/>
          <w:color w:val="auto"/>
        </w:rPr>
        <w:t>☒</w:t>
      </w:r>
    </w:p>
    <w:p>
      <w:pPr>
        <w:spacing w:after="0" w:line="223" w:lineRule="exact"/>
        <w:rPr>
          <w:sz w:val="24"/>
          <w:szCs w:val="24"/>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May 10, 2022, the registrant had 17,778,315 shares of Class A Common Stock, $2.00 par value, outstanding and 2,789,249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gridSpan w:val="12"/>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1"/>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6"/>
              </w:rPr>
              <w:t>Page No.</w:t>
            </w:r>
          </w:p>
        </w:tc>
      </w:tr>
      <w:tr>
        <w:trPr>
          <w:trHeight w:val="21"/>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6"/>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3500" w:type="dxa"/>
            <w:vAlign w:val="bottom"/>
            <w:tcBorders>
              <w:bottom w:val="single" w:sz="8" w:color="CCEEFF"/>
            </w:tcBorders>
            <w:gridSpan w:val="7"/>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March 31, 2022 (unaudited) and December 31, 2021</w:t>
            </w:r>
          </w:p>
        </w:tc>
        <w:tc>
          <w:tcPr>
            <w:tcW w:w="230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980" w:type="dxa"/>
            <w:vAlign w:val="bottom"/>
          </w:tcPr>
          <w:p>
            <w:pPr>
              <w:spacing w:after="0"/>
              <w:rPr>
                <w:sz w:val="15"/>
                <w:szCs w:val="15"/>
                <w:color w:val="auto"/>
              </w:rPr>
            </w:pPr>
          </w:p>
        </w:tc>
        <w:tc>
          <w:tcPr>
            <w:tcW w:w="94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for the three months ended March 31, 2022 and 2021 (unaudited)</w:t>
            </w:r>
          </w:p>
        </w:tc>
        <w:tc>
          <w:tcPr>
            <w:tcW w:w="80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94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months ended March 31, 2022 and 2021 (unaudited)</w:t>
            </w:r>
          </w:p>
        </w:tc>
        <w:tc>
          <w:tcPr>
            <w:tcW w:w="80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980" w:type="dxa"/>
            <w:vAlign w:val="bottom"/>
            <w:tcBorders>
              <w:top w:val="single" w:sz="8" w:color="CCEEFF"/>
            </w:tcBorders>
          </w:tcPr>
          <w:p>
            <w:pPr>
              <w:spacing w:after="0"/>
              <w:rPr>
                <w:sz w:val="15"/>
                <w:szCs w:val="15"/>
                <w:color w:val="auto"/>
              </w:rPr>
            </w:pPr>
          </w:p>
        </w:tc>
        <w:tc>
          <w:tcPr>
            <w:tcW w:w="93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as of March 31, 2022 and March 31, 2021 (unaudited)</w:t>
            </w:r>
          </w:p>
        </w:tc>
        <w:tc>
          <w:tcPr>
            <w:tcW w:w="1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94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2022 and 2021 (unaudited)</w:t>
            </w:r>
          </w:p>
        </w:tc>
        <w:tc>
          <w:tcPr>
            <w:tcW w:w="80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6"/>
        </w:trPr>
        <w:tc>
          <w:tcPr>
            <w:tcW w:w="980" w:type="dxa"/>
            <w:vAlign w:val="bottom"/>
            <w:tcBorders>
              <w:top w:val="single" w:sz="8" w:color="CCEEFF"/>
            </w:tcBorders>
          </w:tcPr>
          <w:p>
            <w:pPr>
              <w:spacing w:after="0"/>
              <w:rPr>
                <w:sz w:val="15"/>
                <w:szCs w:val="15"/>
                <w:color w:val="auto"/>
              </w:rPr>
            </w:pPr>
          </w:p>
        </w:tc>
        <w:tc>
          <w:tcPr>
            <w:tcW w:w="84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0" w:type="dxa"/>
            <w:vAlign w:val="bottom"/>
            <w:tcBorders>
              <w:top w:val="single" w:sz="8" w:color="CCEEFF"/>
            </w:tcBorders>
            <w:gridSpan w:val="2"/>
          </w:tcPr>
          <w:p>
            <w:pPr>
              <w:spacing w:after="0"/>
              <w:rPr>
                <w:sz w:val="15"/>
                <w:szCs w:val="15"/>
                <w:color w:val="auto"/>
              </w:rPr>
            </w:pPr>
          </w:p>
        </w:tc>
        <w:tc>
          <w:tcPr>
            <w:tcW w:w="800" w:type="dxa"/>
            <w:vAlign w:val="bottom"/>
            <w:tcBorders>
              <w:top w:val="single" w:sz="8" w:color="CCEEFF"/>
            </w:tcBorders>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00" w:type="dxa"/>
            <w:vAlign w:val="bottom"/>
            <w:tcBorders>
              <w:bottom w:val="single" w:sz="8" w:color="CCEEFF"/>
            </w:tcBorders>
            <w:gridSpan w:val="6"/>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0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0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5"/>
        </w:trPr>
        <w:tc>
          <w:tcPr>
            <w:tcW w:w="9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720" w:type="dxa"/>
            <w:vAlign w:val="bottom"/>
            <w:tcBorders>
              <w:top w:val="single" w:sz="8" w:color="CCEEFF"/>
            </w:tcBorders>
            <w:gridSpan w:val="12"/>
          </w:tcPr>
          <w:p>
            <w:pPr>
              <w:jc w:val="center"/>
              <w:ind w:right="360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1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120" w:type="dxa"/>
            <w:vAlign w:val="bottom"/>
            <w:tcBorders>
              <w:bottom w:val="single" w:sz="8" w:color="CCEEFF"/>
            </w:tcBorders>
            <w:gridSpan w:val="17"/>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0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0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120" w:type="dxa"/>
            <w:vAlign w:val="bottom"/>
            <w:tcBorders>
              <w:top w:val="single" w:sz="8" w:color="CCEEFF"/>
            </w:tcBorders>
            <w:gridSpan w:val="10"/>
          </w:tcPr>
          <w:p>
            <w:pPr>
              <w:spacing w:after="0"/>
              <w:rPr>
                <w:sz w:val="15"/>
                <w:szCs w:val="15"/>
                <w:color w:val="auto"/>
              </w:rPr>
            </w:pPr>
          </w:p>
        </w:tc>
        <w:tc>
          <w:tcPr>
            <w:tcW w:w="800" w:type="dxa"/>
            <w:vAlign w:val="bottom"/>
            <w:tcBorders>
              <w:top w:val="single" w:sz="8" w:color="CCEEFF"/>
            </w:tcBorders>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80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700" w:type="dxa"/>
            <w:vAlign w:val="bottom"/>
            <w:tcBorders>
              <w:top w:val="single" w:sz="8" w:color="CCEEFF"/>
            </w:tcBorders>
            <w:gridSpan w:val="15"/>
          </w:tcPr>
          <w:p>
            <w:pPr>
              <w:spacing w:after="0"/>
              <w:rPr>
                <w:sz w:val="15"/>
                <w:szCs w:val="15"/>
                <w:color w:val="auto"/>
              </w:rPr>
            </w:pPr>
          </w:p>
        </w:tc>
        <w:tc>
          <w:tcPr>
            <w:tcW w:w="800" w:type="dxa"/>
            <w:vAlign w:val="bottom"/>
            <w:tcBorders>
              <w:top w:val="single" w:sz="8" w:color="CCEEFF"/>
            </w:tcBorders>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860" w:type="dxa"/>
            <w:vAlign w:val="bottom"/>
            <w:tcBorders>
              <w:bottom w:val="single" w:sz="8" w:color="CCEEFF"/>
            </w:tcBorders>
            <w:gridSpan w:val="21"/>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98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700" w:type="dxa"/>
            <w:vAlign w:val="bottom"/>
            <w:gridSpan w:val="20"/>
          </w:tcPr>
          <w:p>
            <w:pPr>
              <w:spacing w:after="0"/>
              <w:rPr>
                <w:sz w:val="15"/>
                <w:szCs w:val="15"/>
                <w:color w:val="auto"/>
              </w:rPr>
            </w:pPr>
          </w:p>
        </w:tc>
        <w:tc>
          <w:tcPr>
            <w:tcW w:w="80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459"/>
        </w:trPr>
        <w:tc>
          <w:tcPr>
            <w:tcW w:w="9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13"/>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March 31</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(amortized cost of $264,704,239 and $236,303,310 for 2022 and 2021)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272,213,552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259,287,603</w:t>
            </w: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$8,662,438 and</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$8,275,772 for 2022 and 2021)</w:t>
            </w:r>
          </w:p>
        </w:tc>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11,511,141</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allowances for loan losses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$1,603,676 and $1,699,902 for 2022 and 2021)</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279,911,839</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277,306,046</w:t>
            </w: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$19,018,617 and $17,692,038 for 2022 and 2021)</w:t>
            </w:r>
          </w:p>
        </w:tc>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201,379,078</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197,365,797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2,943,442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3,731,300</w:t>
            </w: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allowances for doubtful</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of $1,805,311 and $1,686,218 for 2022 and 2021)</w:t>
            </w:r>
          </w:p>
        </w:tc>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73,569,249</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67,955,155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5,632,626</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6,313,012</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847,160,927</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823,555,327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145,630,099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234,012,872</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302,776,827</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allowances for doubtful accounts of $1,807,938 and $1,800,725 for 2022 and</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14,504,617</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18,316,116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(including $5,253,218 and $5,205,510 for 2022 and 2021 at estimated fair value)</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16,685,113</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16,938,122</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$3,411,104 and</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$4,087,245 for 2022 and 2021 at estimated fair value)</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7,760,709</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7,835,721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14,769,909</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14,850,608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8,938,638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8,977,877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105,905,093</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105,049,983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55,583,962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53,060,455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21,222,598</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21,517,598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8,577,480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8,421,432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5,253,783</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33,797,992</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29,684,987</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1,519,803,792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1,547,593,306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March 31</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869,968,065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863,274,693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3,004,772</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3,060,738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233,626,919</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251,286,927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15,270,642</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14,508,022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4,961,894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4,915,285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8,846,235</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10,166,573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62,819,893</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69,578,138</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29,004,505</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31,036,096</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1,227,502,925</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1,247,826,472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none issued or outstanding</w:t>
            </w:r>
          </w:p>
        </w:tc>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20,000,000 shares authorized;</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17,693,152 shares in 2022 and 17,642,722 shares in 2021</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35,386,304</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35,285,444</w:t>
            </w: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authorized; none issued or outstanding</w:t>
            </w:r>
          </w:p>
        </w:tc>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3,000,000 shares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issued 2,866,358 shares in 2022 and 2,866,565 shares in 2021</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5,732,716</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5,733,130</w:t>
            </w: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4"/>
                <w:szCs w:val="24"/>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58,379,438</w:t>
            </w: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57,985,947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net of taxes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5,880,118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18,070,448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187,766,207</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184,537,489</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- 8,079 Class A shares and 96,097 Class C shares in</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and 108,079 Class A shares and 109,193 Class C shares in 2021</w:t>
            </w: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(843,916)</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(1,845,624)</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292,300,867</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299,766,834</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1,519,803,792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1,547,593,306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48,344,445</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72,998,612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26,341,952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23,350,210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15,194,306</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14,293,887</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7,205,721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5,942,126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171,975</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1,960,113</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5,167,508</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4,113,658</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102,425,907</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122,658,606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16,884,706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18,312,006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1,323,168</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1,077,644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6,771,101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4,254,658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4,396,413</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3,576,865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19,902,202</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32,729,680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26,874,764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24,371,505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1,711,795</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1,800,998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1,659,270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1,865,898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615,544</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501,645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2,839,463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2,937,225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12,091,636</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11,949,864</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1,727,315</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1,825,599</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and services sold-mortuaries and cemeteries</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1,185,014</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1,099,964</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97,982,391</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106,303,551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4,443,516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16,355,055</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(1,214,798)</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(4,226,340)</w:t>
            </w:r>
          </w:p>
        </w:tc>
      </w:tr>
      <w:tr>
        <w:trPr>
          <w:trHeight w:val="209"/>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3,228,718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12,128,715</w:t>
            </w:r>
          </w:p>
        </w:tc>
        <w:tc>
          <w:tcPr>
            <w:tcW w:w="80" w:type="dxa"/>
            <w:vAlign w:val="bottom"/>
          </w:tcPr>
          <w:p>
            <w:pPr>
              <w:spacing w:after="0"/>
              <w:rPr>
                <w:sz w:val="24"/>
                <w:szCs w:val="24"/>
                <w:color w:val="auto"/>
              </w:rPr>
            </w:pP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tcPr>
          <w:p>
            <w:pPr>
              <w:spacing w:after="0"/>
              <w:rPr>
                <w:sz w:val="24"/>
                <w:szCs w:val="24"/>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assuming dilution (1)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0.15</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0.58</w:t>
            </w:r>
          </w:p>
        </w:tc>
        <w:tc>
          <w:tcPr>
            <w:tcW w:w="80" w:type="dxa"/>
            <w:vAlign w:val="bottom"/>
          </w:tcPr>
          <w:p>
            <w:pPr>
              <w:spacing w:after="0"/>
              <w:rPr>
                <w:sz w:val="24"/>
                <w:szCs w:val="24"/>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equivalent common shares outstanding (1)</w:t>
            </w:r>
          </w:p>
        </w:tc>
        <w:tc>
          <w:tcPr>
            <w:tcW w:w="38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20,390,153</w:t>
            </w:r>
          </w:p>
        </w:tc>
        <w:tc>
          <w:tcPr>
            <w:tcW w:w="38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20,080,994</w:t>
            </w:r>
          </w:p>
        </w:tc>
        <w:tc>
          <w:tcPr>
            <w:tcW w:w="80" w:type="dxa"/>
            <w:vAlign w:val="bottom"/>
          </w:tcPr>
          <w:p>
            <w:pPr>
              <w:spacing w:after="0"/>
              <w:rPr>
                <w:sz w:val="24"/>
                <w:szCs w:val="24"/>
                <w:color w:val="auto"/>
              </w:rPr>
            </w:pP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equivalent common shares outstanding-assuming dilution (1)</w:t>
            </w:r>
          </w:p>
        </w:tc>
        <w:tc>
          <w:tcPr>
            <w:tcW w:w="38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21,232,520</w:t>
            </w:r>
          </w:p>
        </w:tc>
        <w:tc>
          <w:tcPr>
            <w:tcW w:w="3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21,009,245</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3,228,718</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12,128,715</w:t>
            </w:r>
          </w:p>
        </w:tc>
        <w:tc>
          <w:tcPr>
            <w:tcW w:w="100" w:type="dxa"/>
            <w:vAlign w:val="bottom"/>
            <w:gridSpan w:val="2"/>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fixed maturity securities available for sale</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(15,326,903)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(6,805,903)</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on restricted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(71,946)</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(10,428)</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cemetery perpetual care trust investments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(37,357)</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(8,197)</w:t>
            </w: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Pr>
          <w:p>
            <w:pPr>
              <w:spacing w:after="0"/>
              <w:rPr>
                <w:sz w:val="19"/>
                <w:szCs w:val="19"/>
                <w:color w:val="auto"/>
              </w:rPr>
            </w:pPr>
          </w:p>
        </w:tc>
      </w:tr>
      <w:tr>
        <w:trPr>
          <w:trHeight w:val="209"/>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 income tax</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(15,436,206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(6,821,693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3,245,876</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1,433,171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income tax</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(12,190,330</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(5,388,522</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(8,961,612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6,740,193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8"/>
                <w:szCs w:val="18"/>
                <w:color w:val="auto"/>
              </w:rPr>
              <w:t>Three Months Ended March 31, 2022</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8"/>
                <w:szCs w:val="18"/>
                <w:color w:val="auto"/>
              </w:rPr>
            </w:pPr>
          </w:p>
        </w:tc>
        <w:tc>
          <w:tcPr>
            <w:tcW w:w="10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Income</w:t>
            </w:r>
          </w:p>
        </w:tc>
        <w:tc>
          <w:tcPr>
            <w:tcW w:w="8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10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$35,285,444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$ 5,733,130</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$57,985,947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18,070,448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$ 184,537,489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(1,845,624)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$ 299,766,834</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3,228,718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3,228,718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(12,190,330)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(12,190,330)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271,747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271,747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100,446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91,959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1,880,125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1,904,180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106,176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(878,417)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(772,241)</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35,386,304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$ 5,732,716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58,379,438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5,880,118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187,766,207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(843,916</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292,300,867</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8"/>
                <w:szCs w:val="18"/>
                <w:color w:val="auto"/>
              </w:rPr>
              <w:t>Three Months Ended March 31, 2021</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8"/>
                <w:szCs w:val="18"/>
                <w:color w:val="auto"/>
              </w:rPr>
            </w:pPr>
          </w:p>
        </w:tc>
        <w:tc>
          <w:tcPr>
            <w:tcW w:w="10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Income</w:t>
            </w:r>
          </w:p>
        </w:tc>
        <w:tc>
          <w:tcPr>
            <w:tcW w:w="8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10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2021</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$33,191,566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$ 5,359,206</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$50,287,253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23,243,133</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$ 153,739,167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(1,833,272)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$ 263,987,053</w:t>
            </w:r>
          </w:p>
        </w:tc>
      </w:tr>
      <w:tr>
        <w:trPr>
          <w:trHeight w:val="216"/>
        </w:trPr>
        <w:tc>
          <w:tcPr>
            <w:tcW w:w="276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1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12,128,715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12,128,715</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(5,388,522)</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(5,388,522)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39,153</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55,852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89,253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290,381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1,632,041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1,922,422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(910,233)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(910,233)</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97,054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(97,054)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33,344,472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$ 5,262,152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50,650,188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17,854,611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165,867,882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(1,111,464</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271,867,841</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72,508,768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100,975,851</w:t>
            </w:r>
          </w:p>
        </w:tc>
      </w:tr>
      <w:tr>
        <w:trPr>
          <w:trHeight w:val="209"/>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(32,508,649)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(1,753,606)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4,052,570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9,993,624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(1,657,160)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(367,786)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1,400,848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1,376,669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restricted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492,489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179,052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perpetual care trusts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731,331</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(47,841)</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(195,470,561)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(200,084,136)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 loans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187,519,868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203,929,458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(356,802)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(2,865,020)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64,579</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(6,367,199)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(23,554,515)</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4,860,188</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5,147,199</w:t>
            </w:r>
          </w:p>
        </w:tc>
      </w:tr>
      <w:tr>
        <w:trPr>
          <w:trHeight w:val="209"/>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(37,238,498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(8,046,902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2,875,328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2,542,681</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(4,285,446)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(4,386,172)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91,959</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89,253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(772,241)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(910,233)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(426,027)</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(46,367,270)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7,186,083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54,896,199</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380" w:type="dxa"/>
            <w:vAlign w:val="bottom"/>
          </w:tcPr>
          <w:p>
            <w:pPr>
              <w:spacing w:after="0"/>
              <w:rPr>
                <w:sz w:val="19"/>
                <w:szCs w:val="19"/>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(24,430,063)</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(60,432,330)</w:t>
            </w: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(19,760,407</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(54,567,872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15,509,863</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38,361,077</w:t>
            </w:r>
          </w:p>
        </w:tc>
      </w:tr>
      <w:tr>
        <w:trPr>
          <w:trHeight w:val="210"/>
        </w:trPr>
        <w:tc>
          <w:tcPr>
            <w:tcW w:w="7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141,414,282</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115,465,086</w:t>
            </w:r>
          </w:p>
        </w:tc>
      </w:tr>
      <w:tr>
        <w:trPr>
          <w:trHeight w:val="209"/>
        </w:trPr>
        <w:tc>
          <w:tcPr>
            <w:tcW w:w="7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156,924,145</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153,826,163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1,815,921</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2,142,375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real estate construction costs and retainage</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2,775,240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4,521,048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1,904,180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1,922,422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597,635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1,082,388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foreclosed into real estate held for investment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389,145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201,951</w:t>
            </w:r>
          </w:p>
        </w:tc>
      </w:tr>
      <w:tr>
        <w:trPr>
          <w:trHeight w:val="439"/>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is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145,630,099</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144,159,566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9,460,057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9,256,997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1,833,989</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409,600</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156,924,145</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153,826,163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9" w:name="page10"/>
    <w:bookmarkEnd w:id="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2021, included in the Company’s Annual Report on Form 10-K (File Number 000-09341). In the opinion of management, all adjustments (consisting of normal recurring accruals) considered necessary for a fair presentation have been included. Operating results for the three months ended March 31, 2022 are not necessarily indicative of the results that may be expected for the year ending December 31, 2022.</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During 2020, the outbreak of COVID-19 had spread worldwide and was declared a global pandemic by the World Health Organization on March 11, 2020. COVID-19, and its variants, pose a threat to the health and economic well-being of the Company’s employees, customers, and vendors. The Company continues to closely monitor developments relating to the ongoing COVID-19 pandemic and assessing its impact on the Company’s business. The continued uncertainty surrounding the COVID-19 pandemic has had and continues to have a significant impact on the global economy and financial markets. Governments and businesses have taken numerous measures to try to contain the virus and its variants, which include the implementation of travel bans, self-imposed quarantine periods, social distancing, and various mask and vaccine mandates. These measures have disrupted and will continue to disrupt businesses globally. Governments and central banks have reacted with significant monetary and fiscal interventions designed to stabilize the economic conditions.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most businesses, COVID-19 has impacted the Company, including the temporary adoption of work from home arrangements and a restructuring of selling techniques for its products and services. The Company also experienced increased expenses for cleaning services of its offices. Throughout 2021 and the first quarter 2022, the Company continues to adapt to the impact of COVID-19 and its related economic effects.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Company risks. These uncertainties have the potential to negatively affect the risk of credit default for the issuers of the Company’s fixed maturity debt securities and individual borrowers with mortgage loans held by the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implemented risk management, business continuity plans and has taken preventive measures and other precautions, including some remote work arrangements. Such measures and precautions have enabled the Company to continue to conduct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2016-13: “Financial Instruments – Credit Losses (Topic 326)”</w:t>
      </w:r>
      <w:r>
        <w:rPr>
          <w:rFonts w:ascii="Times New Roman" w:cs="Times New Roman" w:eastAsia="Times New Roman" w:hAnsi="Times New Roman"/>
          <w:sz w:val="18"/>
          <w:szCs w:val="18"/>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has made progress in the implementation of the new standard, including the involvement of actuaries, accountants, and systems specialists. However, the Company has not yet estimated the impact the new guidance will have on the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March 31, 2022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Gross Unrealized</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Gains</w:t>
            </w:r>
          </w:p>
        </w:tc>
        <w:tc>
          <w:tcPr>
            <w:tcW w:w="26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69"/>
        </w:trPr>
        <w:tc>
          <w:tcPr>
            <w:tcW w:w="47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March 31, 2022:</w:t>
            </w: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51,218,752</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210,351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(740,495)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50,688,608</w:t>
            </w:r>
          </w:p>
        </w:tc>
      </w:tr>
      <w:tr>
        <w:trPr>
          <w:trHeight w:val="216"/>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4,638,702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96,125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4,689,766</w:t>
            </w:r>
          </w:p>
        </w:tc>
      </w:tr>
      <w:tr>
        <w:trPr>
          <w:trHeight w:val="216"/>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175,511,122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10,036,162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(1,505,578)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184,041,706</w:t>
            </w:r>
          </w:p>
        </w:tc>
      </w:tr>
      <w:tr>
        <w:trPr>
          <w:trHeight w:val="216"/>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33,066,449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274,636</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(829,922)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32,511,163</w:t>
            </w:r>
          </w:p>
        </w:tc>
      </w:tr>
      <w:tr>
        <w:trPr>
          <w:trHeight w:val="216"/>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13,095</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282,309</w:t>
            </w:r>
          </w:p>
        </w:tc>
      </w:tr>
      <w:tr>
        <w:trPr>
          <w:trHeight w:val="209"/>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264,704,239</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10,630,369</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(3,121,056)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272,213,552</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8,662,438</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3,165,378</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(316,675)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11,511,141</w:t>
            </w:r>
          </w:p>
        </w:tc>
      </w:tr>
      <w:tr>
        <w:trPr>
          <w:trHeight w:val="210"/>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8,662,438</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3,165,378</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(316,675)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11,511,141</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46,552,738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193,151,868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43,251,622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(1,075,371)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(1,603,676)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(365,342)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279,911,839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42,580,341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158,798,737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201,379,078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2,540,698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2,943,442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13,261,353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54,755,913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2,588,400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4,768,894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(1,805,311)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2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73,569,249</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2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5,632,626</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2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847,160,927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661"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(1) Includes $937,100 of Membership stock and $1,651,300 of Activity stock due to short-term borrowings.</w:t>
      </w:r>
    </w:p>
    <w:p>
      <w:pPr>
        <w:sectPr>
          <w:pgSz w:w="11900" w:h="16838" w:orient="portrait"/>
          <w:cols w:equalWidth="0" w:num="1">
            <w:col w:w="10139"/>
          </w:cols>
          <w:pgMar w:left="320" w:top="121" w:right="1440" w:bottom="1440" w:gutter="0" w:footer="0" w:header="0"/>
        </w:sectPr>
      </w:pP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3" w:name="page14"/>
    <w:bookmarkEnd w:id="1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2021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Gross Unrealized</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Gains</w:t>
            </w:r>
          </w:p>
        </w:tc>
        <w:tc>
          <w:tcPr>
            <w:tcW w:w="26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2021:</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22,307,736</w:t>
            </w: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578,567</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22,886,303</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4,649,917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212,803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4,860,731</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174,711,061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21,791,370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(353,668)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196,148,763</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34,365,382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905,159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(161,332)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35,109,209</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13,383</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282,597</w:t>
            </w: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236,303,310</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23,501,282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(516,989)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259,287,603</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8,275,772</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3,626,444</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(305,802)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8,275,772</w:t>
            </w: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3,626,444</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(305,802)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11,596,414</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53,533,712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175,117,783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51,683,022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(918,586)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(1,699,902)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(409,983)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277,306,046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41,972,462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155,393,335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197,365,797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2,540,698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13,478,214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48,632,808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4,983,251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(1,686,218)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67,955,155</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6,313,012</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6"/>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823,555,327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661" w:right="3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(1) Includes $905,700 of Membership stock and $1,641,400 of Activity stock due to short-term advances and letters of credit.</w:t>
      </w:r>
    </w:p>
    <w:p>
      <w:pPr>
        <w:sectPr>
          <w:pgSz w:w="11900" w:h="16838" w:orient="portrait"/>
          <w:cols w:equalWidth="0" w:num="1">
            <w:col w:w="10139"/>
          </w:cols>
          <w:pgMar w:left="320" w:top="121" w:right="1440" w:bottom="1440" w:gutter="0" w:footer="0" w:header="0"/>
        </w:sectPr>
      </w:pP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5" w:name="page16"/>
    <w:bookmarkEnd w:id="1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unrealized losses on fixed maturity securities available for sale that were carried at estimated fair value at March 31, 2022 and at December 31, 2021. The unrealized losses were primarily related to interest rate fluctuations and uncertainties relating to COVID-19. The tables set forth unrealized losses by duration with the fair value of the related fixed 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Losses for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Less than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Combined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Twelve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Twelve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Combined</w:t>
            </w:r>
          </w:p>
        </w:tc>
      </w:tr>
      <w:tr>
        <w:trPr>
          <w:trHeight w:val="234"/>
        </w:trPr>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Months</w:t>
            </w: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Months</w:t>
            </w: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Loss</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3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At March 31, 2022</w:t>
            </w:r>
          </w:p>
        </w:tc>
        <w:tc>
          <w:tcPr>
            <w:tcW w:w="30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3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740,495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29,372,895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740,495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29,372,895</w:t>
            </w:r>
          </w:p>
        </w:tc>
        <w:tc>
          <w:tcPr>
            <w:tcW w:w="80" w:type="dxa"/>
            <w:vAlign w:val="bottom"/>
          </w:tcPr>
          <w:p>
            <w:pPr>
              <w:spacing w:after="0"/>
              <w:rPr>
                <w:sz w:val="20"/>
                <w:szCs w:val="20"/>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45,061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1,377,655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1,377,655</w:t>
            </w:r>
          </w:p>
        </w:tc>
        <w:tc>
          <w:tcPr>
            <w:tcW w:w="80" w:type="dxa"/>
            <w:vAlign w:val="bottom"/>
            <w:shd w:val="clear" w:color="auto" w:fill="CCEEFF"/>
          </w:tcPr>
          <w:p>
            <w:pPr>
              <w:spacing w:after="0"/>
              <w:rPr>
                <w:sz w:val="18"/>
                <w:szCs w:val="18"/>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1,026,974</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28,212,781</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478,604</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3,896,622</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1,505,578</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32,109,403</w:t>
            </w:r>
          </w:p>
        </w:tc>
        <w:tc>
          <w:tcPr>
            <w:tcW w:w="80" w:type="dxa"/>
            <w:vAlign w:val="bottom"/>
          </w:tcPr>
          <w:p>
            <w:pPr>
              <w:spacing w:after="0"/>
              <w:rPr>
                <w:sz w:val="18"/>
                <w:szCs w:val="18"/>
                <w:color w:val="auto"/>
              </w:rPr>
            </w:pPr>
          </w:p>
        </w:tc>
      </w:tr>
      <w:tr>
        <w:trPr>
          <w:trHeight w:val="229"/>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655,663</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22,390,497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174,259</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1,670,730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829,922</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24,061,227</w:t>
            </w:r>
          </w:p>
        </w:tc>
        <w:tc>
          <w:tcPr>
            <w:tcW w:w="80" w:type="dxa"/>
            <w:vAlign w:val="bottom"/>
            <w:shd w:val="clear" w:color="auto" w:fill="CCEEFF"/>
          </w:tcPr>
          <w:p>
            <w:pPr>
              <w:spacing w:after="0"/>
              <w:rPr>
                <w:sz w:val="19"/>
                <w:szCs w:val="19"/>
                <w:color w:val="auto"/>
              </w:rPr>
            </w:pPr>
          </w:p>
        </w:tc>
      </w:tr>
      <w:tr>
        <w:trPr>
          <w:trHeight w:val="263"/>
        </w:trPr>
        <w:tc>
          <w:tcPr>
            <w:tcW w:w="4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2,468,193</w:t>
            </w:r>
          </w:p>
        </w:tc>
        <w:tc>
          <w:tcPr>
            <w:tcW w:w="3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81,353,828</w:t>
            </w:r>
          </w:p>
        </w:tc>
        <w:tc>
          <w:tcPr>
            <w:tcW w:w="3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652,863</w:t>
            </w:r>
          </w:p>
        </w:tc>
        <w:tc>
          <w:tcPr>
            <w:tcW w:w="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5,567,352</w:t>
            </w:r>
          </w:p>
        </w:tc>
        <w:tc>
          <w:tcPr>
            <w:tcW w:w="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3,121,056</w:t>
            </w:r>
          </w:p>
        </w:tc>
        <w:tc>
          <w:tcPr>
            <w:tcW w:w="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86,921,180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4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548,715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548,715</w:t>
            </w:r>
          </w:p>
        </w:tc>
        <w:tc>
          <w:tcPr>
            <w:tcW w:w="80" w:type="dxa"/>
            <w:vAlign w:val="bottom"/>
            <w:shd w:val="clear" w:color="auto" w:fill="CCEEFF"/>
          </w:tcPr>
          <w:p>
            <w:pPr>
              <w:spacing w:after="0"/>
              <w:rPr>
                <w:sz w:val="18"/>
                <w:szCs w:val="18"/>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73,507</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4,638,750</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280,161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3,771,813</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353,668</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8,410,563</w:t>
            </w:r>
          </w:p>
        </w:tc>
        <w:tc>
          <w:tcPr>
            <w:tcW w:w="80" w:type="dxa"/>
            <w:vAlign w:val="bottom"/>
          </w:tcPr>
          <w:p>
            <w:pPr>
              <w:spacing w:after="0"/>
              <w:rPr>
                <w:sz w:val="18"/>
                <w:szCs w:val="18"/>
                <w:color w:val="auto"/>
              </w:rPr>
            </w:pPr>
          </w:p>
        </w:tc>
      </w:tr>
      <w:tr>
        <w:trPr>
          <w:trHeight w:val="230"/>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72,952</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7,934,760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88,380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1,582,804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161,332</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9,517,564</w:t>
            </w:r>
          </w:p>
        </w:tc>
        <w:tc>
          <w:tcPr>
            <w:tcW w:w="80" w:type="dxa"/>
            <w:vAlign w:val="bottom"/>
            <w:shd w:val="clear" w:color="auto" w:fill="CCEEFF"/>
          </w:tcPr>
          <w:p>
            <w:pPr>
              <w:spacing w:after="0"/>
              <w:rPr>
                <w:sz w:val="19"/>
                <w:szCs w:val="19"/>
                <w:color w:val="auto"/>
              </w:rPr>
            </w:pPr>
          </w:p>
        </w:tc>
      </w:tr>
      <w:tr>
        <w:trPr>
          <w:trHeight w:val="223"/>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148,448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13,122,225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5,354,617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516,989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18,476,842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180 securities with fair value of 96.5% of amortized cost at March 31, 2022. There were 55 securities with fair value of 97.3% of amortized cost at December 31, 2021. No additional credit losses have been recognized for the three months ended March 31, 2022 and 2021, since the increase in unrealized losses is primarily a result of the recent rise in interest rates.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evaluates its fixed maturity securities classified as available for sale. This evaluation includes a review of current ratings by the National Association of Insurance Commissions (“NAIC”). Securities with a rating of 1 or 2 are considered investment grade and are not reviewed for impairment, unless current market or recent company news could lead to a credit downgrade.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Company’s cumulative other than temporary credit impairments (“OTTI”) recognized in earnings on fixed maturity securities available for sale.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credit-related OTTI at January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370,975</w:t>
            </w: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credit impairments recognized 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not previously impaired</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previously impaired</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credit impairments previously recognized 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that matured or were sold during the period (realized)</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due to an increase in expected cash flows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credit-related OTTI at March 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264,977</w:t>
            </w:r>
          </w:p>
        </w:tc>
        <w:tc>
          <w:tcPr>
            <w:tcW w:w="4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370,975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fixed maturity securities available for sale at March 31, 2022, by contractual maturity.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13,431,790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13,486,895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97,740,824</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98,279,298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53,462,561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55,425,119</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66,833,402</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72,328,770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33,066,449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32,511,163</w:t>
            </w: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269,214</w:t>
            </w: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282,309</w:t>
            </w:r>
          </w:p>
        </w:tc>
      </w:tr>
      <w:tr>
        <w:trPr>
          <w:trHeight w:val="223"/>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264,704,239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272,213,552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The Company pledged a total of $56,741,531, at estimated fair value, of fixed maturity securities with the FHLB at March 31, 2022. These securities are used as collateral on any cash borrowings from the FHLB. As of March 31, 2022, the Company owed $-0- to the FHLB and its estimated maximum borrowing capacity was $52,059,046.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net realized gains and losses from sales, calls, and maturities, unrealized gains and losses on equity securities, and other than temporary impairments from investments and other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7"/>
          </w:tcPr>
          <w:p>
            <w:pPr>
              <w:jc w:val="right"/>
              <w:ind w:right="42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5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46,123</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97,622</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(24,997)</w:t>
            </w:r>
          </w:p>
        </w:tc>
      </w:t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106,569</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and (losses) on securities held at the end of the period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(607,047)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952,030</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838,508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1,109,358</w:t>
            </w:r>
          </w:p>
        </w:tc>
        <w:tc>
          <w:tcPr>
            <w:tcW w:w="60" w:type="dxa"/>
            <w:vAlign w:val="bottom"/>
          </w:tcPr>
          <w:p>
            <w:pPr>
              <w:spacing w:after="0"/>
              <w:rPr>
                <w:sz w:val="18"/>
                <w:szCs w:val="18"/>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(94,400)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(280,469)</w:t>
            </w: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1,960,113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4500" w:type="dxa"/>
            <w:vAlign w:val="bottom"/>
          </w:tcPr>
          <w:p>
            <w:pPr>
              <w:spacing w:after="0"/>
              <w:rPr>
                <w:sz w:val="20"/>
                <w:szCs w:val="20"/>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4500" w:type="dxa"/>
            <w:vAlign w:val="bottom"/>
          </w:tcPr>
          <w:p>
            <w:pPr>
              <w:spacing w:after="0"/>
              <w:rPr>
                <w:sz w:val="19"/>
                <w:szCs w:val="19"/>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819,565</w:t>
            </w:r>
          </w:p>
        </w:tc>
        <w:tc>
          <w:tcPr>
            <w:tcW w:w="450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59,794</w:t>
            </w:r>
          </w:p>
        </w:tc>
        <w:tc>
          <w:tcPr>
            <w:tcW w:w="45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500" w:type="dxa"/>
            <w:vAlign w:val="bottom"/>
          </w:tcPr>
          <w:p>
            <w:pPr>
              <w:spacing w:after="0"/>
              <w:rPr>
                <w:sz w:val="18"/>
                <w:szCs w:val="18"/>
                <w:color w:val="auto"/>
              </w:rPr>
            </w:pPr>
          </w:p>
        </w:tc>
      </w:tr>
      <w:tr>
        <w:trPr>
          <w:trHeight w:val="439"/>
        </w:trPr>
        <w:tc>
          <w:tcPr>
            <w:tcW w:w="3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16</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8" w:name="page19"/>
    <w:bookmarkEnd w:id="1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Investments (Continued)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r>
      <w:tr>
        <w:trPr>
          <w:trHeight w:val="209"/>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2,824,111</w:t>
            </w:r>
          </w:p>
        </w:tc>
        <w:tc>
          <w:tcPr>
            <w:tcW w:w="80" w:type="dxa"/>
            <w:vAlign w:val="bottom"/>
            <w:shd w:val="clear" w:color="auto" w:fill="CCEEFF"/>
          </w:tcPr>
          <w:p>
            <w:pPr>
              <w:spacing w:after="0"/>
              <w:rPr>
                <w:sz w:val="18"/>
                <w:szCs w:val="18"/>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128,229</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7,960,178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6,084,417</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3,040,033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3,042,829</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232,353</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5,396,987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5,345,729</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13,707</w:t>
            </w:r>
          </w:p>
        </w:tc>
      </w:tr>
      <w:tr>
        <w:trPr>
          <w:trHeight w:val="230"/>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39,594</w:t>
            </w:r>
          </w:p>
        </w:tc>
      </w:tr>
      <w:tr>
        <w:trPr>
          <w:trHeight w:val="209"/>
        </w:trPr>
        <w:tc>
          <w:tcPr>
            <w:tcW w:w="5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19,608,679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17,710,969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(4,414,373)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(3,417,082)</w:t>
            </w:r>
          </w:p>
        </w:tc>
      </w:tr>
      <w:tr>
        <w:trPr>
          <w:trHeight w:val="223"/>
        </w:trPr>
        <w:tc>
          <w:tcPr>
            <w:tcW w:w="5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15,194,306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14,293,887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investment income includes income earned by the restricted assets of the cemeteries and mortuaries of $476,708 and $161,211 for the three months ended March 31,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expenses consist primarily of depreciation, property taxes, operating expenses of real estate and an estimated portion of administrative expenses relating to investment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on deposit with regulatory authorities as required by law amounted to $10,169,064 at March 31, 2022 and $10,168,853 at December 31, 2021 (December 31, 2021 amount corrected from that previously reported due to a typographical error). These restricted securities are included in various assets under investments on the accompanying condensed consolidated balance sheets.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investments, aggregated by issuer, in excess of 10% of shareholders’ equity (before net unrealized gains and losses on equity securities and fixed maturity securities) at March 31, 2022, other than investments issued or guaranteed by the United States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11 commercial properties in 5 states. These properties include office buildings, flex office space, and includes the redevelopment and expansion of its corporate campus (“Center53”) in Salt Lake City, Utah. The Company uses bank debt in strategic cases to leverage established yields or to acquire a higher quality or different class of asset.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aggregated net ending balance of commercial real estate that serves as collateral for bank loans was $137,775,232 and $134,251,205 as of March 31, 2022 and December 31, 2021, respectively. The associated bank loan carrying values totaled $92,644,180 and $85,663,148 as of March 31, 2022 and December 31, 2021,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Net Ending Balance</w:t>
            </w:r>
          </w:p>
        </w:tc>
        <w:tc>
          <w:tcPr>
            <w:tcW w:w="30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1"/>
        </w:trPr>
        <w:tc>
          <w:tcPr>
            <w:tcW w:w="2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16"/>
                <w:szCs w:val="16"/>
                <w:color w:val="auto"/>
              </w:rPr>
            </w:pPr>
          </w:p>
        </w:tc>
        <w:tc>
          <w:tcPr>
            <w:tcW w:w="1580" w:type="dxa"/>
            <w:vAlign w:val="bottom"/>
            <w:tcBorders>
              <w:top w:val="single" w:sz="8" w:color="auto"/>
            </w:tcBorders>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3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r>
      <w:tr>
        <w:trPr>
          <w:trHeight w:val="234"/>
        </w:trPr>
        <w:tc>
          <w:tcPr>
            <w:tcW w:w="27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153,457,809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150,105,948</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675,920</w:t>
            </w:r>
          </w:p>
        </w:tc>
        <w:tc>
          <w:tcPr>
            <w:tcW w:w="8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2,415,170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2,426,612</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31,778</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31,778</w:t>
            </w:r>
          </w:p>
        </w:tc>
      </w:tr>
      <w:tr>
        <w:trPr>
          <w:trHeight w:val="229"/>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2,925,758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2,860,775</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19,694</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19,694</w:t>
            </w:r>
          </w:p>
        </w:tc>
      </w:tr>
      <w:tr>
        <w:trPr>
          <w:trHeight w:val="209"/>
        </w:trPr>
        <w:tc>
          <w:tcPr>
            <w:tcW w:w="2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2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158,798,737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155,393,335</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677,392</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727,392</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Center53 phase 1 and phase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Net Ending Balance</w:t>
            </w:r>
          </w:p>
        </w:tc>
        <w:tc>
          <w:tcPr>
            <w:tcW w:w="30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1"/>
        </w:trPr>
        <w:tc>
          <w:tcPr>
            <w:tcW w:w="2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16"/>
                <w:szCs w:val="16"/>
                <w:color w:val="auto"/>
              </w:rPr>
            </w:pPr>
          </w:p>
        </w:tc>
        <w:tc>
          <w:tcPr>
            <w:tcW w:w="1580" w:type="dxa"/>
            <w:vAlign w:val="bottom"/>
            <w:tcBorders>
              <w:top w:val="single" w:sz="8" w:color="auto"/>
            </w:tcBorders>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3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r>
      <w:tr>
        <w:trPr>
          <w:trHeight w:val="234"/>
        </w:trPr>
        <w:tc>
          <w:tcPr>
            <w:tcW w:w="27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222,679</w:t>
            </w:r>
          </w:p>
        </w:tc>
        <w:tc>
          <w:tcPr>
            <w:tcW w:w="8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389,145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389,145</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2,872</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2,872</w:t>
            </w:r>
          </w:p>
        </w:tc>
      </w:tr>
      <w:tr>
        <w:trPr>
          <w:trHeight w:val="23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151,553</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2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2,540,698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2,540,698</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225,551</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225,551</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Approximately 93 acres of undeveloped land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owns a small portfolio of residential homes primarily as a result of loan foreclosures. The Company has the option to sell them or to continue to hold them for cash flow and acceptable returns. The Company also invests in residential subdivision land developments.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ending balance of foreclosed residential real estate included in residential real estate held for investment and sale is $210,963 and $1,190,602 as of March 31, 2022 and December 31, 2021,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recorded impairment losses on residential real estate held for sale of $94,400 and $-0-, respectively. Impairment losses are included in gains (losses) on investment and other assets on the condensed consolidated statements of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w:t>
      </w:r>
    </w:p>
    <w:p>
      <w:pPr>
        <w:spacing w:after="0" w:line="2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Net Ending Balance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16"/>
                <w:szCs w:val="16"/>
                <w:color w:val="auto"/>
              </w:rPr>
            </w:pPr>
          </w:p>
        </w:tc>
      </w:tr>
      <w:tr>
        <w:trPr>
          <w:trHeight w:val="234"/>
        </w:trPr>
        <w:tc>
          <w:tcPr>
            <w:tcW w:w="28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CCEEFF"/>
            </w:tcBorders>
          </w:tcPr>
          <w:p>
            <w:pPr>
              <w:spacing w:after="0"/>
              <w:rPr>
                <w:sz w:val="20"/>
                <w:szCs w:val="20"/>
                <w:color w:val="auto"/>
              </w:rPr>
            </w:pPr>
          </w:p>
        </w:tc>
      </w:tr>
      <w:tr>
        <w:trPr>
          <w:trHeight w:val="209"/>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42,580,341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41,686,281</w:t>
            </w:r>
          </w:p>
        </w:tc>
        <w:tc>
          <w:tcPr>
            <w:tcW w:w="40" w:type="dxa"/>
            <w:vAlign w:val="bottom"/>
            <w:shd w:val="clear" w:color="auto" w:fill="CCEEFF"/>
          </w:tcPr>
          <w:p>
            <w:pPr>
              <w:spacing w:after="0"/>
              <w:rPr>
                <w:sz w:val="18"/>
                <w:szCs w:val="18"/>
                <w:color w:val="auto"/>
              </w:rPr>
            </w:pPr>
          </w:p>
        </w:tc>
      </w:tr>
      <w:tr>
        <w:trPr>
          <w:trHeight w:val="229"/>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Washington (2)</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286,181</w:t>
            </w:r>
          </w:p>
        </w:tc>
      </w:tr>
      <w:tr>
        <w:trPr>
          <w:trHeight w:val="223"/>
        </w:trPr>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42,580,341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41,972,462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128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w:t>
            </w:r>
          </w:p>
        </w:tc>
        <w:tc>
          <w:tcPr>
            <w:tcW w:w="382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18"/>
                <w:szCs w:val="18"/>
                <w:color w:val="auto"/>
              </w:rPr>
              <w:t>Includes subdivision land developments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Improved residential lots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the Company’s subdivision land developments in Utah.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9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CCEEFF"/>
            </w:tcBorders>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42,376,141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41,479,434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Net Ending Balance</w:t>
            </w:r>
          </w:p>
        </w:tc>
      </w:tr>
      <w:tr>
        <w:trPr>
          <w:trHeight w:val="191"/>
        </w:trPr>
        <w:tc>
          <w:tcPr>
            <w:tcW w:w="39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16"/>
                <w:szCs w:val="16"/>
                <w:color w:val="auto"/>
              </w:rPr>
            </w:pPr>
          </w:p>
        </w:tc>
      </w:tr>
      <w:tr>
        <w:trPr>
          <w:trHeight w:val="234"/>
        </w:trPr>
        <w:tc>
          <w:tcPr>
            <w:tcW w:w="39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CCEEFF"/>
            </w:tcBorders>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979,640</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200,963</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200,962</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Washington (1)</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191,781</w:t>
            </w: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402,744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1,190,602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Improved residential lots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Owned and Occupied by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March 31, 2022,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Approximate Square</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Occupied by the</w:t>
            </w:r>
          </w:p>
        </w:tc>
      </w:tr>
      <w:tr>
        <w:trPr>
          <w:trHeight w:val="234"/>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Location</w:t>
            </w: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Business Segment</w:t>
            </w: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Footage</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1"/>
        </w:trPr>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Ascension Way, Salt Lake City, UT</w:t>
            </w:r>
          </w:p>
        </w:tc>
        <w:tc>
          <w:tcPr>
            <w:tcW w:w="3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Cemetery/Mortuary Operations, and Mortgage</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Center53 Building 2</w:t>
            </w:r>
          </w:p>
        </w:tc>
        <w:tc>
          <w:tcPr>
            <w:tcW w:w="3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 and Sales</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221,000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1044</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River Oaks Dr., Flowood, MS</w:t>
            </w: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19,694</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1818</w:t>
            </w: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 Street, Shreveport, LA (1)</w:t>
            </w:r>
          </w:p>
        </w:tc>
        <w:tc>
          <w:tcPr>
            <w:tcW w:w="3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12,274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909</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Foisy Street, Alexandria, LA (1)</w:t>
            </w: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Life Insurance Sales</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8,059</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812</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Sheppard Street, Minden, LA (1)</w:t>
            </w:r>
          </w:p>
        </w:tc>
        <w:tc>
          <w:tcPr>
            <w:tcW w:w="38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Life Insurance Sales</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1550</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 3rd Street, Jena, LA (1)</w:t>
            </w: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Life Insurance Sales</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1,737</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property and equipment on the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March 31, 2022, the Company had 75%, 6%, 4%, 4%, 3% and 3% of its mortgage loans from borrowers located in the states of Utah, Florida, Texas, Nevada, California, and Arizona, respectively. At December 31, 2021, the Company had 70%, 7%, 5%, 4%, 4% and 2% of its mortgage loans from borrowers located in the states of Utah, Florida, California, Texas, Nevada and Arizona, respectively.</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As a practical expedient,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Secured by family dwelling units. These loans are secured by first and second mortgages on the unit. The borrower’s ability to repay is sensitive to the life events and general economic condition of the region. Where loan to values exceed 80%, the loan is generally guaranteed by private mortgage insurance, FHA or VA.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w:t>
      </w:r>
      <w:r>
        <w:rPr>
          <w:rFonts w:ascii="Times New Roman" w:cs="Times New Roman" w:eastAsia="Times New Roman" w:hAnsi="Times New Roman"/>
          <w:sz w:val="18"/>
          <w:szCs w:val="18"/>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establishes a valuation allowance for credit losses in its mortgage loans held for investment portfolio. The following table presents the valuation allowance for loan losses as a contra-asset account.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1,469,571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1,699,902</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(96,226)</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(96,226)</w:t>
            </w:r>
          </w:p>
        </w:tc>
      </w:tr>
      <w:tr>
        <w:trPr>
          <w:trHeight w:val="263"/>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1,373,345</w:t>
            </w:r>
          </w:p>
        </w:tc>
        <w:tc>
          <w:tcPr>
            <w:tcW w:w="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1,603,676</w:t>
            </w:r>
          </w:p>
        </w:tc>
        <w:tc>
          <w:tcPr>
            <w:tcW w:w="220" w:type="dxa"/>
            <w:vAlign w:val="bottom"/>
            <w:tcBorders>
              <w:bottom w:val="single" w:sz="8" w:color="CCEEFF"/>
            </w:tcBorders>
          </w:tcPr>
          <w:p>
            <w:pPr>
              <w:spacing w:after="0"/>
              <w:rPr>
                <w:sz w:val="22"/>
                <w:szCs w:val="22"/>
                <w:color w:val="auto"/>
              </w:rPr>
            </w:pPr>
          </w:p>
        </w:tc>
      </w:tr>
      <w:tr>
        <w:trPr>
          <w:trHeight w:val="196"/>
        </w:trPr>
        <w:tc>
          <w:tcPr>
            <w:tcW w:w="4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8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99,036</w:t>
            </w:r>
          </w:p>
        </w:tc>
      </w:tr>
      <w:tr>
        <w:trPr>
          <w:trHeight w:val="197"/>
        </w:trPr>
        <w:tc>
          <w:tcPr>
            <w:tcW w:w="4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8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1,274,309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1,504,640</w:t>
            </w:r>
          </w:p>
        </w:tc>
      </w:tr>
      <w:tr>
        <w:trPr>
          <w:trHeight w:val="197"/>
        </w:trPr>
        <w:tc>
          <w:tcPr>
            <w:tcW w:w="4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March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43,251,622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46,552,738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193,151,868</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282,956,228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1,736,752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1,863,882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3,600,634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41,514,870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44,688,856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193,151,868</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279,355,594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1,774,796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2,005,127</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(305,225)</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(305,225)</w:t>
            </w:r>
          </w:p>
        </w:tc>
      </w:tr>
      <w:tr>
        <w:trPr>
          <w:trHeight w:val="263"/>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December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1,469,571</w:t>
            </w:r>
          </w:p>
        </w:tc>
        <w:tc>
          <w:tcPr>
            <w:tcW w:w="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1,699,902</w:t>
            </w:r>
          </w:p>
        </w:tc>
        <w:tc>
          <w:tcPr>
            <w:tcW w:w="220" w:type="dxa"/>
            <w:vAlign w:val="bottom"/>
            <w:tcBorders>
              <w:bottom w:val="single" w:sz="8" w:color="CCEEFF"/>
            </w:tcBorders>
          </w:tcPr>
          <w:p>
            <w:pPr>
              <w:spacing w:after="0"/>
              <w:rPr>
                <w:sz w:val="22"/>
                <w:szCs w:val="22"/>
                <w:color w:val="auto"/>
              </w:rPr>
            </w:pPr>
          </w:p>
        </w:tc>
      </w:tr>
      <w:tr>
        <w:trPr>
          <w:trHeight w:val="197"/>
        </w:trPr>
        <w:tc>
          <w:tcPr>
            <w:tcW w:w="4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8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105,384</w:t>
            </w:r>
          </w:p>
        </w:tc>
      </w:tr>
      <w:tr>
        <w:trPr>
          <w:trHeight w:val="196"/>
        </w:trPr>
        <w:tc>
          <w:tcPr>
            <w:tcW w:w="4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8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1,364,187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43,202</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1,594,518</w:t>
            </w:r>
          </w:p>
        </w:tc>
      </w:tr>
      <w:tr>
        <w:trPr>
          <w:trHeight w:val="197"/>
        </w:trPr>
        <w:tc>
          <w:tcPr>
            <w:tcW w:w="4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51,683,022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53,533,712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175,117,783</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280,334,517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individually evaluated for impairment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1,723,372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2,548,656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4,272,028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collectively evaluated for impairment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49,959,650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50,985,056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175,117,783</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276,062,489(1)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360" w:hanging="5532"/>
        <w:spacing w:after="0" w:line="409" w:lineRule="auto"/>
        <w:tabs>
          <w:tab w:leader="none" w:pos="33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corrected from that previously reported due to a typographical error.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1,294,666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1,294,666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978,669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978,669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90 Days (1)</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1,233,200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1,153,957</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2,387,157</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503,552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709,925</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1,213,477</w:t>
            </w: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1,736,752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4,137,217</w:t>
            </w: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5,873,969</w:t>
            </w:r>
          </w:p>
        </w:tc>
        <w:tc>
          <w:tcPr>
            <w:tcW w:w="100" w:type="dxa"/>
            <w:vAlign w:val="bottom"/>
            <w:tcBorders>
              <w:bottom w:val="single" w:sz="8" w:color="CCEEFF"/>
            </w:tcBorders>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41,514,870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42,415,521</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193,151,868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277,082,259</w:t>
            </w:r>
          </w:p>
        </w:tc>
        <w:tc>
          <w:tcPr>
            <w:tcW w:w="100" w:type="dxa"/>
            <w:vAlign w:val="bottom"/>
            <w:shd w:val="clear" w:color="auto" w:fill="CCEEFF"/>
          </w:tcPr>
          <w:p>
            <w:pPr>
              <w:spacing w:after="0"/>
              <w:rPr>
                <w:sz w:val="18"/>
                <w:szCs w:val="18"/>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Mortgage Loans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43,251,622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46,552,738</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193,151,868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282,956,228</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(1,603,676)</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(467,977)</w:t>
            </w: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(522,768)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(1,075,371)</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(244,362)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(120,980)</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(365,342)</w:t>
            </w:r>
          </w:p>
        </w:tc>
      </w:tr>
      <w:tr>
        <w:trPr>
          <w:trHeight w:val="263"/>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Mortgage Loans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42,735,505</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44,590,436</w:t>
            </w:r>
          </w:p>
        </w:tc>
        <w:tc>
          <w:tcPr>
            <w:tcW w:w="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192,585,898</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279,911,839</w:t>
            </w:r>
          </w:p>
        </w:tc>
        <w:tc>
          <w:tcPr>
            <w:tcW w:w="100" w:type="dxa"/>
            <w:vAlign w:val="bottom"/>
            <w:tcBorders>
              <w:bottom w:val="single" w:sz="8" w:color="CCEEFF"/>
            </w:tcBorders>
          </w:tcPr>
          <w:p>
            <w:pPr>
              <w:spacing w:after="0"/>
              <w:rPr>
                <w:sz w:val="22"/>
                <w:szCs w:val="22"/>
                <w:color w:val="auto"/>
              </w:rPr>
            </w:pPr>
          </w:p>
        </w:tc>
      </w:tr>
      <w:tr>
        <w:trPr>
          <w:trHeight w:val="196"/>
        </w:trPr>
        <w:tc>
          <w:tcPr>
            <w:tcW w:w="4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3,117,826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1,363,127</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4,480,953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580,815</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681,019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90 Days (1)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1,723,372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2,052,062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3,775,434</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496,594</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496,594</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6,247,297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1,363,127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49,859,446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47,286,415</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173,754,656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270,900,517</w:t>
            </w:r>
          </w:p>
        </w:tc>
        <w:tc>
          <w:tcPr>
            <w:tcW w:w="100" w:type="dxa"/>
            <w:vAlign w:val="bottom"/>
            <w:tcBorders>
              <w:bottom w:val="single" w:sz="8" w:color="CCEEFF"/>
            </w:tcBorders>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51,683,022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53,533,712</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280,334,517</w:t>
            </w: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61" w:right="339" w:bottom="1440" w:gutter="0" w:footer="0" w:header="0"/>
        </w:sectPr>
      </w:pPr>
    </w:p>
    <w:p>
      <w:pPr>
        <w:ind w:right="1420"/>
        <w:spacing w:after="0" w:line="250" w:lineRule="auto"/>
        <w:rPr>
          <w:sz w:val="20"/>
          <w:szCs w:val="20"/>
          <w:color w:val="auto"/>
        </w:rPr>
      </w:pPr>
      <w:r>
        <w:rPr>
          <w:rFonts w:ascii="Times New Roman" w:cs="Times New Roman" w:eastAsia="Times New Roman" w:hAnsi="Times New Roman"/>
          <w:sz w:val="18"/>
          <w:szCs w:val="18"/>
          <w:color w:val="auto"/>
        </w:rPr>
        <w:t>Allowance for Loan Losses Unamortized deferred loan fees, net Unamortized discounts,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320" w:type="dxa"/>
            <w:vAlign w:val="bottom"/>
          </w:tcPr>
          <w:p>
            <w:pPr>
              <w:spacing w:after="0"/>
              <w:rPr>
                <w:sz w:val="17"/>
                <w:szCs w:val="17"/>
                <w:color w:val="auto"/>
              </w:rPr>
            </w:pPr>
          </w:p>
        </w:tc>
        <w:tc>
          <w:tcPr>
            <w:tcW w:w="138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(187,129)</w:t>
            </w:r>
          </w:p>
        </w:tc>
        <w:tc>
          <w:tcPr>
            <w:tcW w:w="320" w:type="dxa"/>
            <w:vAlign w:val="bottom"/>
          </w:tcPr>
          <w:p>
            <w:pPr>
              <w:spacing w:after="0"/>
              <w:rPr>
                <w:sz w:val="17"/>
                <w:szCs w:val="17"/>
                <w:color w:val="auto"/>
              </w:rPr>
            </w:pPr>
          </w:p>
        </w:tc>
        <w:tc>
          <w:tcPr>
            <w:tcW w:w="13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(1,469,571)</w:t>
            </w:r>
          </w:p>
        </w:tc>
        <w:tc>
          <w:tcPr>
            <w:tcW w:w="260" w:type="dxa"/>
            <w:vAlign w:val="bottom"/>
          </w:tcPr>
          <w:p>
            <w:pPr>
              <w:spacing w:after="0"/>
              <w:rPr>
                <w:sz w:val="17"/>
                <w:szCs w:val="17"/>
                <w:color w:val="auto"/>
              </w:rPr>
            </w:pPr>
          </w:p>
        </w:tc>
        <w:tc>
          <w:tcPr>
            <w:tcW w:w="140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(43,202)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(1,699,902)</w:t>
            </w:r>
          </w:p>
        </w:tc>
      </w:tr>
      <w:tr>
        <w:trPr>
          <w:trHeight w:val="216"/>
        </w:trPr>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(36,813)</w:t>
            </w:r>
          </w:p>
        </w:tc>
        <w:tc>
          <w:tcPr>
            <w:tcW w:w="3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(498,600)</w:t>
            </w:r>
          </w:p>
        </w:tc>
        <w:tc>
          <w:tcPr>
            <w:tcW w:w="2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(383,173)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(918,586)</w:t>
            </w:r>
          </w:p>
        </w:tc>
      </w:tr>
      <w:tr>
        <w:trPr>
          <w:trHeight w:val="248"/>
        </w:trPr>
        <w:tc>
          <w:tcPr>
            <w:tcW w:w="3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(240,614)</w:t>
            </w:r>
          </w:p>
        </w:tc>
        <w:tc>
          <w:tcPr>
            <w:tcW w:w="32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(169,369)</w:t>
            </w:r>
          </w:p>
        </w:tc>
        <w:tc>
          <w:tcPr>
            <w:tcW w:w="2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(409,983)</w:t>
            </w:r>
          </w:p>
        </w:tc>
      </w:tr>
      <w:tr>
        <w:trPr>
          <w:trHeight w:val="223"/>
        </w:trPr>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51,218,466</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51,396,172</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174,691,408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277,306,046</w:t>
            </w:r>
          </w:p>
        </w:tc>
        <w:tc>
          <w:tcPr>
            <w:tcW w:w="60" w:type="dxa"/>
            <w:vAlign w:val="bottom"/>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-462280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661" w:right="339" w:bottom="1440" w:gutter="0" w:footer="0" w:header="0"/>
          <w:type w:val="continuous"/>
        </w:sectPr>
      </w:pPr>
    </w:p>
    <w:p>
      <w:pPr>
        <w:spacing w:after="0" w:line="25" w:lineRule="exact"/>
        <w:rPr>
          <w:sz w:val="20"/>
          <w:szCs w:val="20"/>
          <w:color w:val="auto"/>
        </w:rPr>
      </w:pPr>
    </w:p>
    <w:p>
      <w:pPr>
        <w:ind w:left="5540" w:right="4460" w:hanging="5532"/>
        <w:spacing w:after="0" w:line="532" w:lineRule="auto"/>
        <w:tabs>
          <w:tab w:leader="none" w:pos="3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past due greater than 90 days or in foreclosure.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25" w:name="page26"/>
    <w:bookmarkEnd w:id="2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Impaired Mortgage Loans Held for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Unpaid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Interest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Related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34"/>
        </w:trPr>
        <w:tc>
          <w:tcPr>
            <w:tcW w:w="1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Balance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Allowance</w:t>
            </w:r>
          </w:p>
        </w:tc>
        <w:tc>
          <w:tcPr>
            <w:tcW w:w="1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Recognized</w:t>
            </w:r>
          </w:p>
        </w:tc>
      </w:tr>
      <w:tr>
        <w:trPr>
          <w:trHeight w:val="209"/>
        </w:trPr>
        <w:tc>
          <w:tcPr>
            <w:tcW w:w="3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1,736,752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1,736,752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1,736,752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1,046,562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1,046,562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1,046,563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817,320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817,320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99,036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817,320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1,736,752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1,736,752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1,736,752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1,863,882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1,863,882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99,036</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1,863,883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34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1,723,372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1,723,372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1,053,865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1,591,368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1,591,368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2,731,421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957,288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726,449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1,723,372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1,723,372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1,053,865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2,548,656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105,384</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3,457,870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1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6" w:name="page27"/>
    <w:bookmarkEnd w:id="2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 Profile Based on Performance Status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performing and non-performing mortgage loans held for investment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224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20"/>
                <w:szCs w:val="20"/>
                <w:color w:val="auto"/>
              </w:rPr>
            </w:pPr>
          </w:p>
        </w:tc>
        <w:tc>
          <w:tcPr>
            <w:tcW w:w="24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340" w:type="dxa"/>
            <w:vAlign w:val="bottom"/>
            <w:gridSpan w:val="5"/>
          </w:tcPr>
          <w:p>
            <w:pPr>
              <w:ind w:left="94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March 31,</w:t>
            </w:r>
          </w:p>
        </w:tc>
        <w:tc>
          <w:tcPr>
            <w:tcW w:w="1120" w:type="dxa"/>
            <w:vAlign w:val="bottom"/>
            <w:tcBorders>
              <w:top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w w:val="97"/>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March 31,</w:t>
            </w:r>
          </w:p>
        </w:tc>
        <w:tc>
          <w:tcPr>
            <w:tcW w:w="1100" w:type="dxa"/>
            <w:vAlign w:val="bottom"/>
            <w:tcBorders>
              <w:top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w w:val="97"/>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December 31,</w:t>
            </w:r>
          </w:p>
        </w:tc>
        <w:tc>
          <w:tcPr>
            <w:tcW w:w="220" w:type="dxa"/>
            <w:vAlign w:val="bottom"/>
          </w:tcPr>
          <w:p>
            <w:pPr>
              <w:spacing w:after="0"/>
              <w:rPr>
                <w:sz w:val="16"/>
                <w:szCs w:val="16"/>
                <w:color w:val="auto"/>
              </w:rPr>
            </w:pPr>
          </w:p>
        </w:tc>
        <w:tc>
          <w:tcPr>
            <w:tcW w:w="122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March 31,</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gridSpan w:val="2"/>
          </w:tcPr>
          <w:p>
            <w:pPr>
              <w:spacing w:after="0"/>
              <w:rPr>
                <w:sz w:val="16"/>
                <w:szCs w:val="16"/>
                <w:color w:val="auto"/>
              </w:rPr>
            </w:pPr>
          </w:p>
        </w:tc>
      </w:tr>
      <w:tr>
        <w:trPr>
          <w:trHeight w:val="234"/>
        </w:trPr>
        <w:tc>
          <w:tcPr>
            <w:tcW w:w="1460" w:type="dxa"/>
            <w:vAlign w:val="bottom"/>
          </w:tcPr>
          <w:p>
            <w:pPr>
              <w:spacing w:after="0"/>
              <w:rPr>
                <w:sz w:val="20"/>
                <w:szCs w:val="20"/>
                <w:color w:val="auto"/>
              </w:rPr>
            </w:pP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$41,514,870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49,959,650</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$44,688,856</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50,985,056</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$ 193,151,868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$ 175,117,783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$ 279,355,594</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$ 276,062,489</w:t>
            </w:r>
          </w:p>
        </w:tc>
        <w:tc>
          <w:tcPr>
            <w:tcW w:w="60" w:type="dxa"/>
            <w:vAlign w:val="bottom"/>
            <w:shd w:val="clear" w:color="auto" w:fill="CCEEFF"/>
          </w:tcPr>
          <w:p>
            <w:pPr>
              <w:spacing w:after="0"/>
              <w:rPr>
                <w:sz w:val="18"/>
                <w:szCs w:val="18"/>
                <w:color w:val="auto"/>
              </w:rPr>
            </w:pP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1,736,752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1,723,372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1,863,882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2,548,656</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3,600,634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4,272,028</w:t>
            </w:r>
          </w:p>
        </w:tc>
        <w:tc>
          <w:tcPr>
            <w:tcW w:w="60" w:type="dxa"/>
            <w:vAlign w:val="bottom"/>
          </w:tcPr>
          <w:p>
            <w:pPr>
              <w:spacing w:after="0"/>
              <w:rPr>
                <w:sz w:val="19"/>
                <w:szCs w:val="19"/>
                <w:color w:val="auto"/>
              </w:rPr>
            </w:pPr>
          </w:p>
        </w:tc>
      </w:tr>
      <w:tr>
        <w:trPr>
          <w:trHeight w:val="210"/>
        </w:trPr>
        <w:tc>
          <w:tcPr>
            <w:tcW w:w="1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43,251,622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51,683,022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46,552,738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53,533,712</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193,151,868</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$ 175,117,783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282,956,228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$ 280,334,517</w:t>
            </w:r>
          </w:p>
        </w:tc>
        <w:tc>
          <w:tcPr>
            <w:tcW w:w="60" w:type="dxa"/>
            <w:vAlign w:val="bottom"/>
          </w:tcPr>
          <w:p>
            <w:pPr>
              <w:spacing w:after="0"/>
              <w:rPr>
                <w:sz w:val="21"/>
                <w:szCs w:val="2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Non-Accrual Mortgage Loans Held for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$254,000 and $236,000 as of March 31, 2022 and December 31, 2021,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See Note 8 to the condensed consolidated financial statements for additional disclosures regarding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As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As of December</w:t>
            </w:r>
          </w:p>
        </w:tc>
      </w:tr>
      <w:tr>
        <w:trPr>
          <w:trHeight w:val="234"/>
        </w:trPr>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31 2021</w:t>
            </w:r>
          </w:p>
        </w:tc>
        <w:tc>
          <w:tcPr>
            <w:tcW w:w="40" w:type="dxa"/>
            <w:vAlign w:val="bottom"/>
          </w:tcPr>
          <w:p>
            <w:pPr>
              <w:spacing w:after="0"/>
              <w:rPr>
                <w:sz w:val="20"/>
                <w:szCs w:val="20"/>
                <w:color w:val="auto"/>
              </w:rPr>
            </w:pPr>
          </w:p>
        </w:tc>
      </w:tr>
      <w:tr>
        <w:trPr>
          <w:trHeight w:val="209"/>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234,012,872</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302,776,827</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228,907,138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294,481,503</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5,105,734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8,295,324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certain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45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7,087,182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9,539,956</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2,031,869</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2,311,802</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39,602,614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68,438,933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2,675,371</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314,466</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(2,746,565)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(6,945,882)</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(306,026)</w:t>
            </w: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(660,663)</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48,344,445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72,998,612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Loss Reserve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Balance, beginning of period Provision on current loan originations (1)</w:t>
      </w:r>
    </w:p>
    <w:p>
      <w:pPr>
        <w:spacing w:after="0" w:line="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Charge-offs, net of recaptured amounts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As of March 31</w:t>
            </w:r>
          </w:p>
        </w:tc>
        <w:tc>
          <w:tcPr>
            <w:tcW w:w="160" w:type="dxa"/>
            <w:vAlign w:val="bottom"/>
          </w:tcPr>
          <w:p>
            <w:pPr>
              <w:spacing w:after="0"/>
              <w:rPr>
                <w:sz w:val="18"/>
                <w:szCs w:val="18"/>
                <w:color w:val="auto"/>
              </w:rPr>
            </w:pP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4"/>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2,447,139</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20,583,618</w:t>
            </w:r>
          </w:p>
        </w:tc>
        <w:tc>
          <w:tcPr>
            <w:tcW w:w="60" w:type="dxa"/>
            <w:vAlign w:val="bottom"/>
            <w:gridSpan w:val="2"/>
          </w:tcPr>
          <w:p>
            <w:pPr>
              <w:spacing w:after="0"/>
              <w:rPr>
                <w:sz w:val="19"/>
                <w:szCs w:val="19"/>
                <w:color w:val="auto"/>
              </w:rPr>
            </w:pPr>
          </w:p>
        </w:tc>
      </w:tr>
      <w:tr>
        <w:trPr>
          <w:trHeight w:val="395"/>
        </w:trPr>
        <w:tc>
          <w:tcPr>
            <w:tcW w:w="16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306,026</w:t>
            </w:r>
          </w:p>
        </w:tc>
        <w:tc>
          <w:tcPr>
            <w:tcW w:w="16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2,211,230</w:t>
            </w:r>
          </w:p>
        </w:tc>
        <w:tc>
          <w:tcPr>
            <w:tcW w:w="40" w:type="dxa"/>
            <w:vAlign w:val="bottom"/>
          </w:tcPr>
          <w:p>
            <w:pPr>
              <w:spacing w:after="0"/>
              <w:rPr>
                <w:sz w:val="24"/>
                <w:szCs w:val="24"/>
                <w:color w:val="auto"/>
              </w:rPr>
            </w:pPr>
          </w:p>
        </w:tc>
      </w:tr>
      <w:tr>
        <w:trPr>
          <w:trHeight w:val="248"/>
        </w:trPr>
        <w:tc>
          <w:tcPr>
            <w:tcW w:w="16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(609,775)</w:t>
            </w:r>
          </w:p>
        </w:tc>
        <w:tc>
          <w:tcPr>
            <w:tcW w:w="1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(20,347,709)</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2,143,390</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2,447,139</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-744855</wp:posOffset>
            </wp:positionV>
            <wp:extent cx="427736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7736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-325120</wp:posOffset>
            </wp:positionV>
            <wp:extent cx="427736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2820" w:space="260"/>
            <w:col w:w="8160"/>
          </w:cols>
          <w:pgMar w:left="320" w:top="661" w:right="339" w:bottom="1440" w:gutter="0" w:footer="0" w:header="0"/>
          <w:type w:val="continuous"/>
        </w:sectPr>
      </w:pP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three months ended March 31, 2022, $306,026 in reserves were added at a rate of 2.9 basis points per loan, the equivalent of $290 per $1,000,000 in loans originated. This is a decrease over the three months ended March 31, 2021, when reserves of $660,663 were added at a rate of 4.5 basis points per loan originated, the equivalent of $450 per $1,000,000 in loans originated. The unique nature of COVID-19 creates significant difficulty for forecasting potential future losses. The Company will continue to monitor data and economic conditions in order to maintain adequate loss reserves on current production. Thus, the Company believes that the final loan loss reserve as of March 31, 2022, represents its best estimate for adequate loss reserves on loans sold.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29" w:name="page30"/>
    <w:bookmarkEnd w:id="2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fixed option plans (the “2013 Plan” and the “2014 Director Plan”). Compensation expense for options issued of $271,747 and $39,153 has been recognized for these plans for the three months ended March 31, 2022 and 2021, respectively. As of March 31, 2022, the total unrecognized compensation expense related to the options issued was $610,889.</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compensation plans as of March 31, 2022, and the changes during the three months ended March 31, 2022, are presented below:</w:t>
      </w:r>
    </w:p>
    <w:p>
      <w:pPr>
        <w:sectPr>
          <w:pgSz w:w="11900" w:h="16838" w:orient="portrait"/>
          <w:cols w:equalWidth="0" w:num="1">
            <w:col w:w="11240"/>
          </w:cols>
          <w:pgMar w:left="320" w:top="661" w:right="33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Class A Shares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40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1,024,351</w:t>
            </w:r>
          </w:p>
        </w:tc>
        <w:tc>
          <w:tcPr>
            <w:tcW w:w="20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effect of stock dividends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(50,968)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977,383</w:t>
            </w:r>
          </w:p>
        </w:tc>
        <w:tc>
          <w:tcPr>
            <w:tcW w:w="20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March 31, 2022:</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906,258</w:t>
            </w:r>
          </w:p>
        </w:tc>
        <w:tc>
          <w:tcPr>
            <w:tcW w:w="200" w:type="dxa"/>
            <w:vAlign w:val="bottom"/>
          </w:tcPr>
          <w:p>
            <w:pPr>
              <w:spacing w:after="0"/>
              <w:rPr>
                <w:sz w:val="22"/>
                <w:szCs w:val="22"/>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March 31, 2022:</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228,376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 outstanding at</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 years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 exercisable at</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 years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Aggregated intrinsic value of options outstanding at March</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31, 2022 (1)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5,115,622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Aggregated intrinsic value of options exercisable at March 31,</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2022 (1)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5,017,469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1020" w:hanging="5532"/>
        <w:spacing w:after="0" w:line="532" w:lineRule="auto"/>
        <w:tabs>
          <w:tab w:leader="none" w:pos="3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$10.00 as of March 31, 2022 to derive intrinsic value.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Class C Shares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407"/>
        </w:trPr>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821,146</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3"/>
        </w:trPr>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821,146</w:t>
            </w:r>
          </w:p>
        </w:tc>
        <w:tc>
          <w:tcPr>
            <w:tcW w:w="44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line="20" w:lineRule="exact"/>
              <w:rPr>
                <w:sz w:val="1"/>
                <w:szCs w:val="1"/>
                <w:color w:val="auto"/>
              </w:rPr>
            </w:pPr>
          </w:p>
        </w:tc>
      </w:tr>
      <w:tr>
        <w:trPr>
          <w:trHeight w:val="655"/>
        </w:trPr>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648,646</w:t>
            </w:r>
          </w:p>
        </w:tc>
        <w:tc>
          <w:tcPr>
            <w:tcW w:w="440" w:type="dxa"/>
            <w:vAlign w:val="bottom"/>
            <w:gridSpan w:val="2"/>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years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years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3,666,085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3,460,285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820" w:space="320"/>
            <w:col w:w="3100"/>
          </w:cols>
          <w:pgMar w:left="320" w:top="661" w:right="339" w:bottom="1440" w:gutter="0" w:footer="0" w:header="0"/>
          <w:type w:val="continuous"/>
        </w:sectPr>
      </w:pPr>
    </w:p>
    <w:bookmarkStart w:id="30" w:name="page31"/>
    <w:bookmarkEnd w:id="3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compensation plans as of March 31, 2021, and the changes during the three months ended March 31, 2021, are presented below:</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effect of stock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March 31, 2021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options for future grant</w:t>
      </w:r>
    </w:p>
    <w:p>
      <w:pPr>
        <w:spacing w:after="0" w:line="27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March 31, 2021</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March 31, 2021</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outstanding at March 31, 2021 (1)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exercisable at March 31, 2021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96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1,072,863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-119380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5715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5715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96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1,039,938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317500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17145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1,039,938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180340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34290</wp:posOffset>
            </wp:positionV>
            <wp:extent cx="796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330,371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17145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6.28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17145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6.28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17145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hanging="539"/>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5,212,677</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40" w:hanging="539"/>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5,212,677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96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34290</wp:posOffset>
            </wp:positionV>
            <wp:extent cx="796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-436245</wp:posOffset>
            </wp:positionV>
            <wp:extent cx="713232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color w:val="auto"/>
        </w:rPr>
        <w:t>Weighted</w:t>
      </w:r>
    </w:p>
    <w:p>
      <w:pPr>
        <w:spacing w:after="0" w:line="27"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color w:val="auto"/>
        </w:rPr>
        <w:t>Average</w:t>
      </w:r>
    </w:p>
    <w:p>
      <w:pPr>
        <w:spacing w:after="0" w:line="9"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96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ind w:left="945" w:hanging="945"/>
        <w:spacing w:after="0"/>
        <w:tabs>
          <w:tab w:leader="none" w:pos="9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45" w:hanging="945"/>
        <w:spacing w:after="0"/>
        <w:tabs>
          <w:tab w:leader="none" w:pos="9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945" w:hanging="945"/>
        <w:spacing w:after="0"/>
        <w:tabs>
          <w:tab w:leader="none" w:pos="9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797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662,666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662,666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797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662,666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797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797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6.71 years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6.71 years</w:t>
      </w:r>
    </w:p>
    <w:p>
      <w:pPr>
        <w:spacing w:after="0" w:line="200" w:lineRule="exact"/>
        <w:rPr>
          <w:sz w:val="20"/>
          <w:szCs w:val="20"/>
          <w:color w:val="auto"/>
        </w:rPr>
      </w:pPr>
    </w:p>
    <w:p>
      <w:pPr>
        <w:spacing w:after="0" w:line="268" w:lineRule="exact"/>
        <w:rPr>
          <w:sz w:val="20"/>
          <w:szCs w:val="20"/>
          <w:color w:val="auto"/>
        </w:rPr>
      </w:pPr>
    </w:p>
    <w:p>
      <w:pPr>
        <w:ind w:left="520" w:hanging="51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3,059,620</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3,059,620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797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7797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-436245</wp:posOffset>
            </wp:positionV>
            <wp:extent cx="7797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left="97" w:right="103"/>
        <w:spacing w:after="0" w:line="266" w:lineRule="auto"/>
        <w:rPr>
          <w:sz w:val="20"/>
          <w:szCs w:val="20"/>
          <w:color w:val="auto"/>
        </w:rPr>
      </w:pPr>
      <w:r>
        <w:rPr>
          <w:rFonts w:ascii="Times New Roman" w:cs="Times New Roman" w:eastAsia="Times New Roman" w:hAnsi="Times New Roman"/>
          <w:sz w:val="18"/>
          <w:szCs w:val="18"/>
          <w:color w:val="auto"/>
        </w:rPr>
        <w:t>Weighted Average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797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69" w:lineRule="exact"/>
        <w:rPr>
          <w:sz w:val="20"/>
          <w:szCs w:val="20"/>
          <w:color w:val="auto"/>
        </w:rPr>
      </w:pPr>
    </w:p>
    <w:p>
      <w:pPr>
        <w:ind w:left="917" w:hanging="917"/>
        <w:spacing w:after="0"/>
        <w:tabs>
          <w:tab w:leader="none" w:pos="9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17" w:hanging="917"/>
        <w:spacing w:after="0"/>
        <w:tabs>
          <w:tab w:leader="none" w:pos="9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917" w:hanging="917"/>
        <w:spacing w:after="0"/>
        <w:tabs>
          <w:tab w:leader="none" w:pos="9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w:t>
      </w:r>
    </w:p>
    <w:p>
      <w:pPr>
        <w:spacing w:after="0" w:line="3705" w:lineRule="exact"/>
        <w:rPr>
          <w:sz w:val="20"/>
          <w:szCs w:val="20"/>
          <w:color w:val="auto"/>
        </w:rPr>
      </w:pPr>
    </w:p>
    <w:p>
      <w:pPr>
        <w:sectPr>
          <w:pgSz w:w="11900" w:h="16838" w:orient="portrait"/>
          <w:cols w:equalWidth="0" w:num="5">
            <w:col w:w="4500" w:space="340"/>
            <w:col w:w="1320" w:space="395"/>
            <w:col w:w="1265" w:space="420"/>
            <w:col w:w="1240" w:space="423"/>
            <w:col w:w="1337"/>
          </w:cols>
          <w:pgMar w:left="320" w:top="661"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used a stock price of $9.35 as of March 31, 2021 to derive intrinsic value.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three months March 31, 2022 and 2021 was $395,831 and $139,035,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1" w:name="page32"/>
    <w:bookmarkEnd w:id="3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3,228,718</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12,128,715</w:t>
            </w:r>
          </w:p>
        </w:tc>
        <w:tc>
          <w:tcPr>
            <w:tcW w:w="80" w:type="dxa"/>
            <w:vAlign w:val="bottom"/>
          </w:tcPr>
          <w:p>
            <w:pPr>
              <w:spacing w:after="0"/>
              <w:rPr>
                <w:sz w:val="24"/>
                <w:szCs w:val="24"/>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0"/>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20,390,153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20,080,994</w:t>
            </w:r>
          </w:p>
        </w:tc>
        <w:tc>
          <w:tcPr>
            <w:tcW w:w="80" w:type="dxa"/>
            <w:vAlign w:val="bottom"/>
          </w:tcPr>
          <w:p>
            <w:pPr>
              <w:spacing w:after="0"/>
              <w:rPr>
                <w:sz w:val="19"/>
                <w:szCs w:val="19"/>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842,367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928,251</w:t>
            </w:r>
          </w:p>
        </w:tc>
        <w:tc>
          <w:tcPr>
            <w:tcW w:w="80" w:type="dxa"/>
            <w:vAlign w:val="bottom"/>
          </w:tcPr>
          <w:p>
            <w:pPr>
              <w:spacing w:after="0"/>
              <w:rPr>
                <w:sz w:val="19"/>
                <w:szCs w:val="19"/>
                <w:color w:val="auto"/>
              </w:rPr>
            </w:pPr>
          </w:p>
        </w:tc>
      </w:tr>
      <w:tr>
        <w:trPr>
          <w:trHeight w:val="210"/>
        </w:trPr>
        <w:tc>
          <w:tcPr>
            <w:tcW w:w="5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34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21,232,520</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21,009,245</w:t>
            </w:r>
          </w:p>
        </w:tc>
        <w:tc>
          <w:tcPr>
            <w:tcW w:w="80" w:type="dxa"/>
            <w:vAlign w:val="bottom"/>
          </w:tcPr>
          <w:p>
            <w:pPr>
              <w:spacing w:after="0"/>
              <w:rPr>
                <w:sz w:val="24"/>
                <w:szCs w:val="24"/>
                <w:color w:val="auto"/>
              </w:rPr>
            </w:pPr>
          </w:p>
        </w:tc>
      </w:tr>
      <w:tr>
        <w:trPr>
          <w:trHeight w:val="197"/>
        </w:trPr>
        <w:tc>
          <w:tcPr>
            <w:tcW w:w="5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tcPr>
          <w:p>
            <w:pPr>
              <w:spacing w:after="0"/>
              <w:rPr>
                <w:sz w:val="24"/>
                <w:szCs w:val="24"/>
                <w:color w:val="auto"/>
              </w:rPr>
            </w:pPr>
          </w:p>
        </w:tc>
      </w:tr>
      <w:tr>
        <w:trPr>
          <w:trHeight w:val="197"/>
        </w:trPr>
        <w:tc>
          <w:tcPr>
            <w:tcW w:w="5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80" w:type="dxa"/>
            <w:vAlign w:val="bottom"/>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March 31, 2022 and 2021, there were no anti-dilutive employee stock option shares. Basic and diluted earnings per share amounts are the same for each class of common stock.</w:t>
      </w:r>
    </w:p>
    <w:p>
      <w:pPr>
        <w:sectPr>
          <w:pgSz w:w="11900" w:h="16838" w:orient="portrait"/>
          <w:cols w:equalWidth="0" w:num="1">
            <w:col w:w="11240"/>
          </w:cols>
          <w:pgMar w:left="320" w:top="66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in shares of capital stock.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70039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34"/>
        </w:trPr>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5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Class C</w:t>
            </w:r>
          </w:p>
        </w:tc>
      </w:tr>
      <w:tr>
        <w:trPr>
          <w:trHeight w:val="228"/>
        </w:trPr>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16,595,783</w:t>
            </w:r>
          </w:p>
        </w:tc>
        <w:tc>
          <w:tcPr>
            <w:tcW w:w="26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2,679,603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27,926</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48"/>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48,527</w:t>
            </w:r>
          </w:p>
        </w:tc>
        <w:tc>
          <w:tcPr>
            <w:tcW w:w="2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(48,527)</w:t>
            </w:r>
          </w:p>
        </w:tc>
      </w:tr>
      <w:tr>
        <w:trPr>
          <w:trHeight w:val="452"/>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16,672,236</w:t>
            </w:r>
          </w:p>
        </w:tc>
        <w:tc>
          <w:tcPr>
            <w:tcW w:w="260" w:type="dxa"/>
            <w:vAlign w:val="bottom"/>
          </w:tcPr>
          <w:p>
            <w:pPr>
              <w:spacing w:after="0"/>
              <w:rPr>
                <w:sz w:val="24"/>
                <w:szCs w:val="24"/>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2,631,076</w:t>
            </w:r>
          </w:p>
        </w:tc>
        <w:tc>
          <w:tcPr>
            <w:tcW w:w="40" w:type="dxa"/>
            <w:vAlign w:val="bottom"/>
          </w:tcPr>
          <w:p>
            <w:pPr>
              <w:spacing w:after="0"/>
              <w:rPr>
                <w:sz w:val="24"/>
                <w:szCs w:val="24"/>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17,642,722</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2,866,565</w:t>
            </w:r>
          </w:p>
        </w:tc>
        <w:tc>
          <w:tcPr>
            <w:tcW w:w="40" w:type="dxa"/>
            <w:vAlign w:val="bottom"/>
          </w:tcPr>
          <w:p>
            <w:pPr>
              <w:spacing w:after="0"/>
              <w:rPr>
                <w:sz w:val="24"/>
                <w:szCs w:val="24"/>
                <w:color w:val="auto"/>
              </w:rPr>
            </w:pPr>
          </w:p>
        </w:tc>
      </w:tr>
      <w:tr>
        <w:trPr>
          <w:trHeight w:val="414"/>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50,223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48"/>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453"/>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17,693,152</w:t>
            </w:r>
          </w:p>
        </w:tc>
        <w:tc>
          <w:tcPr>
            <w:tcW w:w="260" w:type="dxa"/>
            <w:vAlign w:val="bottom"/>
          </w:tcPr>
          <w:p>
            <w:pPr>
              <w:spacing w:after="0"/>
              <w:rPr>
                <w:sz w:val="24"/>
                <w:szCs w:val="24"/>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2,866,358</w:t>
            </w:r>
          </w:p>
        </w:tc>
        <w:tc>
          <w:tcPr>
            <w:tcW w:w="40" w:type="dxa"/>
            <w:vAlign w:val="bottom"/>
          </w:tcPr>
          <w:p>
            <w:pPr>
              <w:spacing w:after="0"/>
              <w:rPr>
                <w:sz w:val="24"/>
                <w:szCs w:val="24"/>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040" w:space="500"/>
            <w:col w:w="5700"/>
          </w:cols>
          <w:pgMar w:left="320" w:top="661" w:right="339" w:bottom="1440" w:gutter="0" w:footer="0" w:header="0"/>
          <w:type w:val="continuous"/>
        </w:sectPr>
      </w:pPr>
    </w:p>
    <w:bookmarkStart w:id="32" w:name="page33"/>
    <w:bookmarkEnd w:id="3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Significant Accounting Principles of the Form 10-K for the year ended December 31, 2021. Intersegment revenues are recorded at cost plus an agreed upon intercompany profit, and are eliminated upon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r>
        <w:rPr>
          <w:rFonts w:ascii="Times New Roman" w:cs="Times New Roman" w:eastAsia="Times New Roman" w:hAnsi="Times New Roman"/>
          <w:sz w:val="18"/>
          <w:szCs w:val="18"/>
          <w:color w:val="auto"/>
        </w:rPr>
        <w:t xml:space="preserve"> (Continued)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Cemetery/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Life Insurance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Mortuary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3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3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2022</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41,501,809</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7,463,194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53,460,904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102,425,907</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1,695,779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182,589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(1,953,077)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816,485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2,020,317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1,606,714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4,443,516</w:t>
            </w:r>
          </w:p>
        </w:tc>
      </w:tr>
      <w:tr>
        <w:trPr>
          <w:trHeight w:val="216"/>
        </w:trPr>
        <w:tc>
          <w:tcPr>
            <w:tcW w:w="1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1,241,160,139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77,002,286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295,671,662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(99,284,078)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1,514,550,009</w:t>
            </w:r>
          </w:p>
        </w:tc>
      </w:tr>
      <w:tr>
        <w:trPr>
          <w:trHeight w:val="229"/>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2,488,213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23"/>
        </w:trPr>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1,243,925,709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79,490,499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295,671,662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(99,284,078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1,519,803,792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2021</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38,943,834</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6,999,265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76,715,507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122,658,606</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1,902,052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(2,140,575)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before income taxes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2,695,028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2,700,945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10,959,082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16,355,055</w:t>
            </w:r>
          </w:p>
        </w:tc>
      </w:tr>
      <w:tr>
        <w:trPr>
          <w:trHeight w:val="216"/>
        </w:trPr>
        <w:tc>
          <w:tcPr>
            <w:tcW w:w="1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1,174,305,180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57,269,639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337,524,300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(84,391,181)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1,484,707,938</w:t>
            </w:r>
          </w:p>
        </w:tc>
      </w:tr>
      <w:tr>
        <w:trPr>
          <w:trHeight w:val="229"/>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754,018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3,519,588</w:t>
            </w:r>
          </w:p>
        </w:tc>
      </w:tr>
      <w:tr>
        <w:trPr>
          <w:trHeight w:val="223"/>
        </w:trPr>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1,177,070,750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58,023,657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337,524,300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(84,391,181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1,488,227,526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1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mutual funds and equity securities and fixed maturity securities that have quoted market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Call and Put Option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call and put options are based on quoted market prices.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right="7340" w:firstLine="8"/>
        <w:spacing w:after="0" w:line="499" w:lineRule="auto"/>
        <w:tabs>
          <w:tab w:leader="none" w:pos="1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 The items shown under Level 3 are valued as follows: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into loan commitments with potential borrowers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The Company believes that in an orderly market, fair value will approximate the replacement cost of a home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at March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Significant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Active Markets for</w:t>
            </w:r>
          </w:p>
        </w:tc>
        <w:tc>
          <w:tcPr>
            <w:tcW w:w="16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Identical Assets</w:t>
            </w:r>
          </w:p>
        </w:tc>
        <w:tc>
          <w:tcPr>
            <w:tcW w:w="16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272,213,552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270,201,780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2,011,772</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11,511,141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11,511,141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234,012,872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234,012,872</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1,525,252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1,525,252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3,727,966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3,727,966</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745,798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745,798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2,665,306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2,665,306</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11,282,703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11,282,703</w:t>
            </w:r>
          </w:p>
        </w:tc>
      </w:tr>
      <w:tr>
        <w:trPr>
          <w:trHeight w:val="263"/>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537,684,590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17,904,413</w:t>
            </w:r>
          </w:p>
        </w:tc>
        <w:tc>
          <w:tcPr>
            <w:tcW w:w="3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272,472,830</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247,307,347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4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(4)</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(29,351)</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(1,591,817)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(1,591,817)</w:t>
            </w:r>
          </w:p>
        </w:tc>
      </w:tr>
      <w:tr>
        <w:trPr>
          <w:trHeight w:val="178"/>
        </w:trPr>
        <w:tc>
          <w:tcPr>
            <w:tcW w:w="47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w:t>
            </w: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on a 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(1,645,297)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(53,480)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(1,591,817)</w:t>
            </w:r>
          </w:p>
        </w:tc>
      </w:tr>
      <w:tr>
        <w:trPr>
          <w:trHeight w:val="20"/>
        </w:trPr>
        <w:tc>
          <w:tcPr>
            <w:tcW w:w="4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Active Markets for</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Identical Assets</w:t>
            </w:r>
          </w:p>
        </w:tc>
        <w:tc>
          <w:tcPr>
            <w:tcW w:w="1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Inputs</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259,287,603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257,264,255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11,596,414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11,596,414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302,776,827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302,776,827</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1,601,688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1,601,688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3,603,822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3,603,822</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784,765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784,765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3,302,480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3,302,480</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8,563,410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8,563,410</w:t>
            </w:r>
          </w:p>
        </w:tc>
        <w:tc>
          <w:tcPr>
            <w:tcW w:w="100" w:type="dxa"/>
            <w:vAlign w:val="bottom"/>
            <w:shd w:val="clear" w:color="auto" w:fill="CCEEFF"/>
          </w:tcPr>
          <w:p>
            <w:pPr>
              <w:spacing w:after="0"/>
              <w:rPr>
                <w:sz w:val="19"/>
                <w:szCs w:val="19"/>
                <w:color w:val="auto"/>
              </w:rPr>
            </w:pPr>
          </w:p>
        </w:tc>
      </w:tr>
      <w:tr>
        <w:trPr>
          <w:trHeight w:val="178"/>
        </w:trPr>
        <w:tc>
          <w:tcPr>
            <w:tcW w:w="47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591,517,009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18,502,716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259,650,708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313,363,585</w:t>
            </w:r>
          </w:p>
        </w:tc>
        <w:tc>
          <w:tcPr>
            <w:tcW w:w="100" w:type="dxa"/>
            <w:vAlign w:val="bottom"/>
          </w:tcPr>
          <w:p>
            <w:pPr>
              <w:spacing w:after="0"/>
              <w:rPr>
                <w:sz w:val="24"/>
                <w:szCs w:val="24"/>
                <w:color w:val="auto"/>
              </w:rPr>
            </w:pPr>
          </w:p>
        </w:tc>
      </w:tr>
      <w:tr>
        <w:trPr>
          <w:trHeight w:val="197"/>
        </w:trPr>
        <w:tc>
          <w:tcPr>
            <w:tcW w:w="4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recurring basis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call options (4)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(50,936)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put options (4)</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(4,493)</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(1,547,895)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(1,547,895)</w:t>
            </w:r>
          </w:p>
        </w:tc>
      </w:tr>
      <w:tr>
        <w:trPr>
          <w:trHeight w:val="178"/>
        </w:trPr>
        <w:tc>
          <w:tcPr>
            <w:tcW w:w="47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w:t>
            </w: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on a 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(1,603,324)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(55,429)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(1,547,895)</w:t>
            </w:r>
          </w:p>
        </w:tc>
      </w:tr>
      <w:tr>
        <w:trPr>
          <w:trHeight w:val="20"/>
        </w:trPr>
        <w:tc>
          <w:tcPr>
            <w:tcW w:w="4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March 31, 2022,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21"/>
                <w:szCs w:val="21"/>
                <w:color w:val="auto"/>
              </w:rPr>
            </w:pPr>
          </w:p>
        </w:tc>
        <w:tc>
          <w:tcPr>
            <w:tcW w:w="23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Range of Inputs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5"/>
        </w:trPr>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160"/>
              <w:spacing w:after="0" w:line="205" w:lineRule="exact"/>
              <w:rPr>
                <w:sz w:val="20"/>
                <w:szCs w:val="20"/>
                <w:color w:val="auto"/>
              </w:rPr>
            </w:pPr>
            <w:r>
              <w:rPr>
                <w:rFonts w:ascii="Times New Roman" w:cs="Times New Roman" w:eastAsia="Times New Roman" w:hAnsi="Times New Roman"/>
                <w:sz w:val="18"/>
                <w:szCs w:val="18"/>
                <w:color w:val="auto"/>
                <w:w w:val="97"/>
              </w:rPr>
              <w:t>Fair Value at</w:t>
            </w:r>
          </w:p>
        </w:tc>
        <w:tc>
          <w:tcPr>
            <w:tcW w:w="160" w:type="dxa"/>
            <w:vAlign w:val="bottom"/>
          </w:tcPr>
          <w:p>
            <w:pPr>
              <w:spacing w:after="0"/>
              <w:rPr>
                <w:sz w:val="17"/>
                <w:szCs w:val="17"/>
                <w:color w:val="auto"/>
              </w:rPr>
            </w:pPr>
          </w:p>
        </w:tc>
        <w:tc>
          <w:tcPr>
            <w:tcW w:w="16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Valuation</w:t>
            </w:r>
          </w:p>
        </w:tc>
        <w:tc>
          <w:tcPr>
            <w:tcW w:w="220" w:type="dxa"/>
            <w:vAlign w:val="bottom"/>
          </w:tcPr>
          <w:p>
            <w:pPr>
              <w:spacing w:after="0"/>
              <w:rPr>
                <w:sz w:val="17"/>
                <w:szCs w:val="17"/>
                <w:color w:val="auto"/>
              </w:rPr>
            </w:pPr>
          </w:p>
        </w:tc>
        <w:tc>
          <w:tcPr>
            <w:tcW w:w="2440" w:type="dxa"/>
            <w:vAlign w:val="bottom"/>
            <w:gridSpan w:val="2"/>
          </w:tcPr>
          <w:p>
            <w:pPr>
              <w:jc w:val="center"/>
              <w:ind w:right="200"/>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1260" w:type="dxa"/>
            <w:vAlign w:val="bottom"/>
            <w:tcBorders>
              <w:top w:val="single" w:sz="8" w:color="auto"/>
            </w:tcBorders>
            <w:gridSpan w:val="3"/>
          </w:tcPr>
          <w:p>
            <w:pPr>
              <w:jc w:val="right"/>
              <w:ind w:right="460"/>
              <w:spacing w:after="0" w:line="205" w:lineRule="exact"/>
              <w:rPr>
                <w:sz w:val="20"/>
                <w:szCs w:val="20"/>
                <w:color w:val="auto"/>
              </w:rPr>
            </w:pPr>
            <w:r>
              <w:rPr>
                <w:rFonts w:ascii="Times New Roman" w:cs="Times New Roman" w:eastAsia="Times New Roman" w:hAnsi="Times New Roman"/>
                <w:sz w:val="18"/>
                <w:szCs w:val="18"/>
                <w:color w:val="auto"/>
              </w:rPr>
              <w:t>Minimum</w:t>
            </w:r>
          </w:p>
        </w:tc>
        <w:tc>
          <w:tcPr>
            <w:tcW w:w="90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166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3/31/2022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16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 pricing as a</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 unpaid principal</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$ 234,012,872</w:t>
            </w: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9,690,886</w:t>
            </w: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 bps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244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 bps</w:t>
            </w: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2,011,772</w:t>
            </w: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quotes</w:t>
            </w: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106.79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2021,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21"/>
                <w:szCs w:val="21"/>
                <w:color w:val="auto"/>
              </w:rPr>
            </w:pPr>
          </w:p>
        </w:tc>
        <w:tc>
          <w:tcPr>
            <w:tcW w:w="23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Range of Inputs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5"/>
        </w:trPr>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160"/>
              <w:spacing w:after="0" w:line="205" w:lineRule="exact"/>
              <w:rPr>
                <w:sz w:val="20"/>
                <w:szCs w:val="20"/>
                <w:color w:val="auto"/>
              </w:rPr>
            </w:pPr>
            <w:r>
              <w:rPr>
                <w:rFonts w:ascii="Times New Roman" w:cs="Times New Roman" w:eastAsia="Times New Roman" w:hAnsi="Times New Roman"/>
                <w:sz w:val="18"/>
                <w:szCs w:val="18"/>
                <w:color w:val="auto"/>
                <w:w w:val="97"/>
              </w:rPr>
              <w:t>Fair Value at</w:t>
            </w:r>
          </w:p>
        </w:tc>
        <w:tc>
          <w:tcPr>
            <w:tcW w:w="160" w:type="dxa"/>
            <w:vAlign w:val="bottom"/>
          </w:tcPr>
          <w:p>
            <w:pPr>
              <w:spacing w:after="0"/>
              <w:rPr>
                <w:sz w:val="17"/>
                <w:szCs w:val="17"/>
                <w:color w:val="auto"/>
              </w:rPr>
            </w:pPr>
          </w:p>
        </w:tc>
        <w:tc>
          <w:tcPr>
            <w:tcW w:w="16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Valuation</w:t>
            </w:r>
          </w:p>
        </w:tc>
        <w:tc>
          <w:tcPr>
            <w:tcW w:w="220" w:type="dxa"/>
            <w:vAlign w:val="bottom"/>
          </w:tcPr>
          <w:p>
            <w:pPr>
              <w:spacing w:after="0"/>
              <w:rPr>
                <w:sz w:val="17"/>
                <w:szCs w:val="17"/>
                <w:color w:val="auto"/>
              </w:rPr>
            </w:pPr>
          </w:p>
        </w:tc>
        <w:tc>
          <w:tcPr>
            <w:tcW w:w="2440" w:type="dxa"/>
            <w:vAlign w:val="bottom"/>
            <w:gridSpan w:val="2"/>
          </w:tcPr>
          <w:p>
            <w:pPr>
              <w:jc w:val="center"/>
              <w:ind w:right="200"/>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1260" w:type="dxa"/>
            <w:vAlign w:val="bottom"/>
            <w:tcBorders>
              <w:top w:val="single" w:sz="8" w:color="auto"/>
            </w:tcBorders>
            <w:gridSpan w:val="3"/>
          </w:tcPr>
          <w:p>
            <w:pPr>
              <w:jc w:val="right"/>
              <w:ind w:right="460"/>
              <w:spacing w:after="0" w:line="205" w:lineRule="exact"/>
              <w:rPr>
                <w:sz w:val="20"/>
                <w:szCs w:val="20"/>
                <w:color w:val="auto"/>
              </w:rPr>
            </w:pPr>
            <w:r>
              <w:rPr>
                <w:rFonts w:ascii="Times New Roman" w:cs="Times New Roman" w:eastAsia="Times New Roman" w:hAnsi="Times New Roman"/>
                <w:sz w:val="18"/>
                <w:szCs w:val="18"/>
                <w:color w:val="auto"/>
              </w:rPr>
              <w:t>Minimum</w:t>
            </w:r>
          </w:p>
        </w:tc>
        <w:tc>
          <w:tcPr>
            <w:tcW w:w="90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166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12/31/2021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16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 pricing as a</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 unpaid principal</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$ 302,776,827</w:t>
            </w: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7,015,515</w:t>
            </w: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approach</w:t>
            </w: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 bps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148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 bps</w:t>
            </w: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2,023,348</w:t>
            </w:r>
          </w:p>
        </w:tc>
        <w:tc>
          <w:tcPr>
            <w:tcW w:w="1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quotes</w:t>
            </w: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106.73</w:t>
            </w:r>
          </w:p>
        </w:tc>
      </w:tr>
      <w:tr>
        <w:trPr>
          <w:trHeight w:val="439"/>
        </w:trPr>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months ending March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Loans Held for Sale</w:t>
            </w:r>
          </w:p>
        </w:tc>
        <w:tc>
          <w:tcPr>
            <w:tcW w:w="100" w:type="dxa"/>
            <w:vAlign w:val="bottom"/>
          </w:tcPr>
          <w:p>
            <w:pPr>
              <w:spacing w:after="0"/>
              <w:rPr>
                <w:sz w:val="20"/>
                <w:szCs w:val="20"/>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7,015,515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302,776,827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2,023,348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1,039,216,582</w:t>
            </w: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(1,132,085,830)</w:t>
            </w: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(11,950)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2,675,371(1)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24,105,293(1)</w:t>
            </w: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9,690,886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234,012,872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2,011,772</w:t>
            </w:r>
          </w:p>
        </w:tc>
        <w:tc>
          <w:tcPr>
            <w:tcW w:w="2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months ending March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Loans Held for Sale</w:t>
            </w:r>
          </w:p>
        </w:tc>
        <w:tc>
          <w:tcPr>
            <w:tcW w:w="10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10,128,610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422,772,418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2,201,175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1,449,841,009</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(1,614,880,058)</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(201,951)</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314,466(1)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46,498,954(1)</w:t>
            </w:r>
          </w:p>
        </w:tc>
        <w:tc>
          <w:tcPr>
            <w:tcW w:w="1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893(2)</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r>
      <w:tr>
        <w:trPr>
          <w:trHeight w:val="210"/>
        </w:trPr>
        <w:tc>
          <w:tcPr>
            <w:tcW w:w="5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10,443,076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304,030,372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2,191,093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 Level 1, 2 and 3 financial assets and financial liabilities measured at fair value on a nonrecurring basis by their classification in the condensed consolidated balance sheet at March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0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Significant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for Identical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Observable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Inputs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nonrecurring basis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26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718,284</w:t>
            </w:r>
          </w:p>
        </w:tc>
        <w:tc>
          <w:tcPr>
            <w:tcW w:w="112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718,284</w:t>
            </w:r>
          </w:p>
        </w:tc>
        <w:tc>
          <w:tcPr>
            <w:tcW w:w="8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real estate held for sale</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191,781</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191,781</w:t>
            </w:r>
          </w:p>
        </w:tc>
        <w:tc>
          <w:tcPr>
            <w:tcW w:w="80" w:type="dxa"/>
            <w:vAlign w:val="bottom"/>
            <w:shd w:val="clear" w:color="auto" w:fill="CCEEFF"/>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nonrecurring basis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5"/>
              </w:rPr>
              <w:t>910,065</w:t>
            </w:r>
          </w:p>
        </w:tc>
        <w:tc>
          <w:tcPr>
            <w:tcW w:w="3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5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11"/>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910,065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 Level 1, 2 and 3 financial assets and financial liabilities measured at fair value on a nonrecurring basis by their classification in the condensed consolidated balance sheet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0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Significant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Identical</w:t>
            </w:r>
          </w:p>
        </w:tc>
        <w:tc>
          <w:tcPr>
            <w:tcW w:w="10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Observable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Inputs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1)</w:t>
            </w:r>
          </w:p>
        </w:tc>
        <w:tc>
          <w:tcPr>
            <w:tcW w:w="10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nonrecurring basis</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Impaired mortgage loans held for investment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851,903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851,903</w:t>
            </w: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real estate held for sale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2,000,000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nonrecurring basis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2,851,903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2,851,903</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March 31, 2022 and December 31,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March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44,590,436</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46,153,365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46,153,365</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192,585,898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192,585,898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192,585,898</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42,735,505</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42,783,489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42,783,489</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279,911,839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281,522,752</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281,522,752</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13,261,353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13,261,353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13,261,353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52,950,602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52,950,602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52,950,602</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1,971,838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1,971,838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1,971,838</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1,724,903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1,724,903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1,724,903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55,583,962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87,221,362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87,221,362</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(233,626,919)</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(233,626,919)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(233,626,919)</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(42,541,630)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(35,587,466)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(35,587,466)</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(107,231,307)</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(116,276,319)</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(116,276,319)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condensed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51,396,172</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55,159,167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55,159,167</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174,691,408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174,691,408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174,691,408</w:t>
            </w: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51,218,466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51,008,709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51,008,709</w:t>
            </w: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277,306,046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280,859,284</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280,859,284</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13,478,214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13,478,214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13,478,214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46,946,590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46,946,590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46,946,590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2,732,320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2,732,320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2,732,320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1,823,533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1,823,533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1,823,533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53,060,455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68,811,809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68,811,809</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(251,286,927)</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(251,286,927)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(251,286,927)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(42,939,055)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(35,855,934)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(35,855,934)</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(107,992,830)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(116,215,717)</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(116,215,717)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consolidated balance sheets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are primarily short in maturity.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condensed consolidated balance sheet for these financial instruments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because they are fully collateralized by the cash surrender value of the underlying insurance policies.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are primarily short in maturity, accordingly, the carrying amounts reported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 for these financial instruments approximate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00" w:hanging="192"/>
        <w:spacing w:after="0"/>
        <w:tabs>
          <w:tab w:leader="none" w:pos="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these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Allowance for Doubtful Accounts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an allowance and recognizes an expense for potential losses from other investments and receivables in accordance with generally accepted accounting principles.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80" w:lineRule="exact"/>
        <w:rPr>
          <w:sz w:val="20"/>
          <w:szCs w:val="20"/>
          <w:color w:val="auto"/>
        </w:rPr>
      </w:pPr>
    </w:p>
    <w:p>
      <w:pPr>
        <w:ind w:left="300" w:hanging="292"/>
        <w:spacing w:after="0"/>
        <w:tabs>
          <w:tab w:leader="none" w:pos="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Sale Commitments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 and Put Options Derivatives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Balance Sheet</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March 31, 2022</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Pr>
          <w:p>
            <w:pPr>
              <w:spacing w:after="0"/>
              <w:rPr>
                <w:sz w:val="16"/>
                <w:szCs w:val="16"/>
                <w:color w:val="auto"/>
              </w:rPr>
            </w:pPr>
          </w:p>
        </w:tc>
        <w:tc>
          <w:tcPr>
            <w:tcW w:w="120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280" w:type="dxa"/>
            <w:vAlign w:val="bottom"/>
          </w:tcPr>
          <w:p>
            <w:pPr>
              <w:spacing w:after="0"/>
              <w:rPr>
                <w:sz w:val="16"/>
                <w:szCs w:val="16"/>
                <w:color w:val="auto"/>
              </w:rPr>
            </w:pPr>
          </w:p>
        </w:tc>
        <w:tc>
          <w:tcPr>
            <w:tcW w:w="114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7"/>
              </w:rPr>
              <w:t>Asset Fair</w:t>
            </w:r>
          </w:p>
        </w:tc>
        <w:tc>
          <w:tcPr>
            <w:tcW w:w="20" w:type="dxa"/>
            <w:vAlign w:val="bottom"/>
          </w:tcPr>
          <w:p>
            <w:pPr>
              <w:spacing w:after="0"/>
              <w:rPr>
                <w:sz w:val="16"/>
                <w:szCs w:val="16"/>
                <w:color w:val="auto"/>
              </w:rPr>
            </w:pPr>
          </w:p>
        </w:tc>
        <w:tc>
          <w:tcPr>
            <w:tcW w:w="8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1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Value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178"/>
        </w:trPr>
        <w:tc>
          <w:tcPr>
            <w:tcW w:w="2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 designated</w:t>
            </w:r>
          </w:p>
        </w:tc>
        <w:tc>
          <w:tcPr>
            <w:tcW w:w="1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1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1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Other assets and Other</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$ 902,295,000</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$ 11,282,703</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$ 1,591,817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$ 862,568,967</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$ 8,563,410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$ 1,547,895</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options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831,250</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24,129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982,500</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50,936</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Put options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823,000</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29,351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362,900</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903,949,250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$ 11,282,703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$ 1,645,297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863,914,367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$ 8,563,410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$ 1,603,324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5" w:name="page46"/>
    <w:bookmarkEnd w:id="4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300" w:hanging="292"/>
        <w:spacing w:after="0"/>
        <w:tabs>
          <w:tab w:leader="none" w:pos="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Net Amount Gain (Loss)</w:t>
            </w:r>
          </w:p>
        </w:tc>
      </w:tr>
      <w:tr>
        <w:trPr>
          <w:trHeight w:val="234"/>
        </w:trPr>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23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Derivative</w:t>
            </w:r>
          </w:p>
        </w:tc>
        <w:tc>
          <w:tcPr>
            <w:tcW w:w="200" w:type="dxa"/>
            <w:vAlign w:val="bottom"/>
            <w:tcBorders>
              <w:bottom w:val="single" w:sz="8" w:color="CCEEFF"/>
            </w:tcBorders>
          </w:tcPr>
          <w:p>
            <w:pPr>
              <w:spacing w:after="0"/>
              <w:rPr>
                <w:sz w:val="19"/>
                <w:szCs w:val="19"/>
                <w:color w:val="auto"/>
              </w:rPr>
            </w:pPr>
          </w:p>
        </w:tc>
        <w:tc>
          <w:tcPr>
            <w:tcW w:w="28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Classification</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19"/>
                <w:szCs w:val="19"/>
                <w:color w:val="auto"/>
              </w:rPr>
            </w:pPr>
          </w:p>
        </w:tc>
      </w:tr>
      <w:tr>
        <w:trPr>
          <w:trHeight w:val="237"/>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2,675,371</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314,466</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and put options</w:t>
            </w:r>
          </w:p>
        </w:tc>
        <w:tc>
          <w:tcPr>
            <w:tcW w:w="32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61,195</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26,762</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$100,000,000 line of credit with Wells Fargo Bank N.A. The agreement charges interest at the 1-Month LIBOR rate plus 2.1% and matures on June 9, 2022.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Texas Capital Bank N.A. This agreement with the bank allows SecurityNational Mortgage to borrow up to $100,000,000 for the sole purpose of funding mortgage loans. The agreement charges interest at the 1-Month LIBOR rate plus 2% and matures on August 9, 2022.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Comerica Bank. This agreement with the bank allows SecurityNational Mortgage to borrow up to $75,000,000 for the sole purpose of funding mortgage loans. The agreement charges interest at the 1-Month LIBOR rate plus 2.15% and matures on May 27, 2022.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280" w:hanging="272"/>
        <w:spacing w:after="0"/>
        <w:tabs>
          <w:tab w:leader="none" w:pos="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U.S Bank. This agreement with the bank allows SecurityNational Mortgage to borrow up to $100,000,000 for the sole purpose of funding mortgage loans. The agreement charges interest at the 1-Month LIBOR rate plus 2.0% and matures on June 4,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for warehouse lines include cross default provisions in that a covenant violation under one agreement constitutes a covenant violation under the other agreement. As of March 31, 2022, the Company was in compliance with all debt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commitments to fund construction and land development loans and has also provided financing for land acquisition and development. As of March 31, 2022, the Company’s commitments were approximately $335,619,000 for these loans, of which $196,848,609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5.25% to 8.00% per annum. Maturities range between six and eighteen months.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defendant in various other legal actions arising from the normal conduct of business. Management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300" w:hanging="292"/>
        <w:spacing w:after="0"/>
        <w:tabs>
          <w:tab w:leader="none" w:pos="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records these MSRs at fair value as discussed in Note 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4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As of 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4"/>
        </w:trPr>
        <w:tc>
          <w:tcPr>
            <w:tcW w:w="46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53,060,455</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35,210,516</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5,675,473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32,701,819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(3,151,966)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(14,851,880)</w:t>
            </w: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with other than temporary impairment</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0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5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55,583,962</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53,060,455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with other than temporary impairment</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55,583,962</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53,060,455</w:t>
            </w:r>
          </w:p>
        </w:tc>
        <w:tc>
          <w:tcPr>
            <w:tcW w:w="60" w:type="dxa"/>
            <w:vAlign w:val="bottom"/>
          </w:tcPr>
          <w:p>
            <w:pPr>
              <w:spacing w:after="0"/>
              <w:rPr>
                <w:sz w:val="24"/>
                <w:szCs w:val="24"/>
                <w:color w:val="auto"/>
              </w:rPr>
            </w:pPr>
          </w:p>
        </w:tc>
      </w:tr>
      <w:tr>
        <w:trPr>
          <w:trHeight w:val="197"/>
        </w:trPr>
        <w:tc>
          <w:tcPr>
            <w:tcW w:w="4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87,221,362</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68,811,809</w:t>
            </w:r>
          </w:p>
        </w:tc>
        <w:tc>
          <w:tcPr>
            <w:tcW w:w="60" w:type="dxa"/>
            <w:vAlign w:val="bottom"/>
          </w:tcPr>
          <w:p>
            <w:pPr>
              <w:spacing w:after="0"/>
              <w:rPr>
                <w:sz w:val="21"/>
                <w:szCs w:val="21"/>
                <w:color w:val="auto"/>
              </w:rPr>
            </w:pPr>
          </w:p>
        </w:tc>
      </w:tr>
      <w:tr>
        <w:trPr>
          <w:trHeight w:val="20"/>
        </w:trPr>
        <w:tc>
          <w:tcPr>
            <w:tcW w:w="4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540" w:right="5080" w:hanging="5532"/>
        <w:spacing w:after="0" w:line="409" w:lineRule="auto"/>
        <w:tabs>
          <w:tab w:leader="none" w:pos="33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300" w:hanging="292"/>
        <w:spacing w:after="0"/>
        <w:tabs>
          <w:tab w:leader="none" w:pos="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Company’s estimate of future amortization of its existing MSRs carried at amortized cost. This projection was developed using the assumptions made by management in its March 31, 2022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Estimated MSR</w:t>
            </w:r>
          </w:p>
        </w:tc>
      </w:t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6,543,930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5,684,434</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5,126,410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4,565,886</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4,073,817</w:t>
            </w: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29,589,485</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55,583,962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condensed consolidated statement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3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CCEEFF"/>
            </w:tcBorders>
          </w:tcPr>
          <w:p>
            <w:pPr>
              <w:spacing w:after="0"/>
              <w:rPr>
                <w:sz w:val="19"/>
                <w:szCs w:val="19"/>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4,506,260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3,387,472</w:t>
            </w:r>
          </w:p>
        </w:tc>
        <w:tc>
          <w:tcPr>
            <w:tcW w:w="40" w:type="dxa"/>
            <w:vAlign w:val="bottom"/>
            <w:shd w:val="clear" w:color="auto" w:fill="CCEEFF"/>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100,038</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81,050</w:t>
            </w: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4,606,298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3,468,522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 of March 31</w:t>
            </w:r>
          </w:p>
        </w:tc>
        <w:tc>
          <w:tcPr>
            <w:tcW w:w="14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As of December 31</w:t>
            </w:r>
          </w:p>
        </w:tc>
      </w:tr>
      <w:tr>
        <w:trPr>
          <w:trHeight w:val="234"/>
        </w:trPr>
        <w:tc>
          <w:tcPr>
            <w:tcW w:w="2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CCEEFF"/>
            </w:tcBorders>
          </w:tcPr>
          <w:p>
            <w:pPr>
              <w:spacing w:after="0"/>
              <w:rPr>
                <w:sz w:val="20"/>
                <w:szCs w:val="20"/>
                <w:color w:val="auto"/>
              </w:rPr>
            </w:pP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7,398,684,888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7,060,536,350</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Prepayment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Average</w:t>
            </w:r>
          </w:p>
        </w:tc>
        <w:tc>
          <w:tcPr>
            <w:tcW w:w="1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Discount</w:t>
            </w:r>
          </w:p>
        </w:tc>
        <w:tc>
          <w:tcPr>
            <w:tcW w:w="45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Speeds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Life (Years)</w:t>
            </w:r>
          </w:p>
        </w:tc>
        <w:tc>
          <w:tcPr>
            <w:tcW w:w="10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Rate</w:t>
            </w:r>
          </w:p>
        </w:tc>
        <w:tc>
          <w:tcPr>
            <w:tcW w:w="4500" w:type="dxa"/>
            <w:vAlign w:val="bottom"/>
          </w:tcPr>
          <w:p>
            <w:pPr>
              <w:spacing w:after="0"/>
              <w:rPr>
                <w:sz w:val="20"/>
                <w:szCs w:val="20"/>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5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500" w:type="dxa"/>
            <w:vAlign w:val="bottom"/>
          </w:tcPr>
          <w:p>
            <w:pPr>
              <w:spacing w:after="0"/>
              <w:rPr>
                <w:sz w:val="20"/>
                <w:szCs w:val="20"/>
                <w:color w:val="auto"/>
              </w:rPr>
            </w:pPr>
          </w:p>
        </w:tc>
      </w:tr>
      <w:tr>
        <w:trPr>
          <w:trHeight w:val="637"/>
        </w:trPr>
        <w:tc>
          <w:tcPr>
            <w:tcW w:w="2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47</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9" w:name="page50"/>
    <w:bookmarkEnd w:id="4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300" w:hanging="292"/>
        <w:spacing w:after="0"/>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overall effective tax rate for the three months ended March 31, 2022 and 2021 was 27.3% and 25.8%, respectively, which resulted in a provision for income taxes of $1,214,798 and $4,226,340, respectively. The Company’s effective tax rates differ from the U.S. federal statutory rate of 21% partially due to its provision for state income taxes. The increase in the effective tax rate when compared to the prior year is partially due to a larger increase to the valuation allowance in the current period when compared to the prior period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ind w:left="300" w:hanging="292"/>
        <w:spacing w:after="0"/>
        <w:tabs>
          <w:tab w:leader="none" w:pos="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Deferred pre-need land revenue is not placed in trust.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2022 (Unaudited)</w:t>
      </w:r>
    </w:p>
    <w:p>
      <w:pPr>
        <w:spacing w:after="0" w:line="176" w:lineRule="exact"/>
        <w:rPr>
          <w:sz w:val="20"/>
          <w:szCs w:val="20"/>
          <w:color w:val="auto"/>
        </w:rPr>
      </w:pPr>
    </w:p>
    <w:p>
      <w:pPr>
        <w:ind w:left="300" w:hanging="292"/>
        <w:spacing w:after="0"/>
        <w:tabs>
          <w:tab w:leader="none" w:pos="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8"/>
              </w:rPr>
              <w:t>Contract Balances</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200" w:type="dxa"/>
            <w:vAlign w:val="bottom"/>
          </w:tcPr>
          <w:p>
            <w:pPr>
              <w:spacing w:after="0"/>
              <w:rPr>
                <w:sz w:val="19"/>
                <w:szCs w:val="19"/>
                <w:color w:val="auto"/>
              </w:rPr>
            </w:pPr>
          </w:p>
        </w:tc>
        <w:tc>
          <w:tcPr>
            <w:tcW w:w="1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(1/1/2022)</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5,298,636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Closing (3/31/2022)</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5,541,120</w:t>
            </w: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15,270,642</w:t>
            </w:r>
          </w:p>
        </w:tc>
      </w:tr>
      <w:tr>
        <w:trPr>
          <w:trHeight w:val="223"/>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2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8"/>
              </w:rPr>
              <w:t>Contract Balances</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200" w:type="dxa"/>
            <w:vAlign w:val="bottom"/>
          </w:tcPr>
          <w:p>
            <w:pPr>
              <w:spacing w:after="0"/>
              <w:rPr>
                <w:sz w:val="19"/>
                <w:szCs w:val="19"/>
                <w:color w:val="auto"/>
              </w:rPr>
            </w:pPr>
          </w:p>
        </w:tc>
        <w:tc>
          <w:tcPr>
            <w:tcW w:w="1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10"/>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(1/1/2021)</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4,119,988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13,080,179</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Closing (12/31/2021)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5,298,636</w:t>
            </w: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14,508,022</w:t>
            </w:r>
          </w:p>
        </w:tc>
      </w:tr>
      <w:tr>
        <w:trPr>
          <w:trHeight w:val="223"/>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Receivables, net on the condensed consolidated balance sheets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 months ended March 31, 2022 and 2021 was $1,064,104 and $1,135,001,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March 31</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bottom w:val="single" w:sz="8" w:color="CCEEFF"/>
            </w:tcBorders>
          </w:tcPr>
          <w:p>
            <w:pPr>
              <w:spacing w:after="0"/>
              <w:rPr>
                <w:sz w:val="19"/>
                <w:szCs w:val="19"/>
                <w:color w:val="auto"/>
              </w:rPr>
            </w:pPr>
          </w:p>
        </w:tc>
      </w:tr>
      <w:tr>
        <w:trPr>
          <w:trHeight w:val="190"/>
        </w:trPr>
        <w:tc>
          <w:tcPr>
            <w:tcW w:w="19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Major goods/service lines</w:t>
            </w:r>
          </w:p>
        </w:tc>
        <w:tc>
          <w:tcPr>
            <w:tcW w:w="1840" w:type="dxa"/>
            <w:vAlign w:val="bottom"/>
            <w:tcBorders>
              <w:bottom w:val="single" w:sz="8" w:color="CCEEFF"/>
            </w:tcBorders>
            <w:gridSpan w:val="2"/>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216"/>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At-need</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5,866,878</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4,042,020</w:t>
            </w:r>
          </w:p>
        </w:tc>
      </w:tr>
      <w:tr>
        <w:trPr>
          <w:trHeight w:val="230"/>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1,900,106</w:t>
            </w:r>
          </w:p>
        </w:tc>
      </w:tr>
      <w:tr>
        <w:trPr>
          <w:trHeight w:val="263"/>
        </w:trPr>
        <w:tc>
          <w:tcPr>
            <w:tcW w:w="19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7,205,721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5,942,126</w:t>
            </w:r>
          </w:p>
        </w:tc>
        <w:tc>
          <w:tcPr>
            <w:tcW w:w="60" w:type="dxa"/>
            <w:vAlign w:val="bottom"/>
            <w:tcBorders>
              <w:bottom w:val="single" w:sz="8" w:color="CCEEFF"/>
            </w:tcBorders>
          </w:tcPr>
          <w:p>
            <w:pPr>
              <w:spacing w:after="0"/>
              <w:rPr>
                <w:sz w:val="22"/>
                <w:szCs w:val="22"/>
                <w:color w:val="auto"/>
              </w:rPr>
            </w:pPr>
          </w:p>
        </w:tc>
      </w:tr>
      <w:tr>
        <w:trPr>
          <w:trHeight w:val="197"/>
        </w:trPr>
        <w:tc>
          <w:tcPr>
            <w:tcW w:w="1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5"/>
        </w:trPr>
        <w:tc>
          <w:tcPr>
            <w:tcW w:w="38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4,180,545</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4,198,673</w:t>
            </w:r>
          </w:p>
        </w:tc>
      </w:tr>
      <w:tr>
        <w:trPr>
          <w:trHeight w:val="230"/>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3,025,176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1,743,453</w:t>
            </w:r>
          </w:p>
        </w:tc>
      </w:tr>
      <w:tr>
        <w:trPr>
          <w:trHeight w:val="223"/>
        </w:trPr>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7,205,721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5,942,126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revenues from cemetery and mortuary contracts to Note 7 – Business Segment Information for the Cemetery/Mortuary Segment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380" w:type="dxa"/>
            <w:vAlign w:val="bottom"/>
          </w:tcPr>
          <w:p>
            <w:pPr>
              <w:spacing w:after="0"/>
              <w:rPr>
                <w:sz w:val="18"/>
                <w:szCs w:val="18"/>
                <w:color w:val="auto"/>
              </w:rPr>
            </w:pPr>
          </w:p>
        </w:tc>
      </w:tr>
      <w:tr>
        <w:trPr>
          <w:trHeight w:val="234"/>
        </w:trPr>
        <w:tc>
          <w:tcPr>
            <w:tcW w:w="4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590"/>
              <w:spacing w:after="0"/>
              <w:rPr>
                <w:sz w:val="20"/>
                <w:szCs w:val="20"/>
                <w:color w:val="auto"/>
              </w:rPr>
            </w:pPr>
            <w:r>
              <w:rPr>
                <w:rFonts w:ascii="Times New Roman" w:cs="Times New Roman" w:eastAsia="Times New Roman" w:hAnsi="Times New Roman"/>
                <w:sz w:val="18"/>
                <w:szCs w:val="18"/>
                <w:color w:val="auto"/>
                <w:w w:val="97"/>
              </w:rPr>
              <w:t>March 31</w:t>
            </w:r>
          </w:p>
        </w:tc>
        <w:tc>
          <w:tcPr>
            <w:tcW w:w="104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3380" w:type="dxa"/>
            <w:vAlign w:val="bottom"/>
          </w:tcPr>
          <w:p>
            <w:pPr>
              <w:spacing w:after="0"/>
              <w:rPr>
                <w:sz w:val="19"/>
                <w:szCs w:val="19"/>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7,205,721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5,942,126</w:t>
            </w:r>
          </w:p>
        </w:tc>
        <w:tc>
          <w:tcPr>
            <w:tcW w:w="33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(254,525)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798,340</w:t>
            </w:r>
          </w:p>
        </w:tc>
        <w:tc>
          <w:tcPr>
            <w:tcW w:w="33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496,459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230,304</w:t>
            </w:r>
          </w:p>
        </w:tc>
        <w:tc>
          <w:tcPr>
            <w:tcW w:w="338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3380" w:type="dxa"/>
            <w:vAlign w:val="bottom"/>
          </w:tcPr>
          <w:p>
            <w:pPr>
              <w:spacing w:after="0"/>
              <w:rPr>
                <w:sz w:val="19"/>
                <w:szCs w:val="19"/>
                <w:color w:val="auto"/>
              </w:rPr>
            </w:pP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7,463,194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6,999,265</w:t>
            </w:r>
          </w:p>
        </w:tc>
        <w:tc>
          <w:tcPr>
            <w:tcW w:w="338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4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cemetery and mortuary business; and (iii) capitalizing on an improving housing market by originating mortgage loans. The Company has adjusted its strategies to respond to the changing economic circumstances resulting from the COVID-19 pandemic.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the Company’s life insurance sales force began using virtual and tele sales processes to market products. During the third quarter 2021, the life insurance sales force returned to in person sales, however, it continues to use virtual and tele sales where needed. As of March 31, 2022, approximately 75% of insurance operations office staff were working in the office with the flexibility for hybrid-remote or completely remote working arrangements as needed.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three months ended March 31, 2022 and 2021.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(in thousands of dollars)</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9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26,342</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23,350</w:t>
            </w:r>
          </w:p>
        </w:tc>
        <w:tc>
          <w:tcPr>
            <w:tcW w:w="2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13,939</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41,502</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Intersegment revenue</w:t>
            </w:r>
          </w:p>
        </w:tc>
        <w:tc>
          <w:tcPr>
            <w:tcW w:w="6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1,696</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1,902</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6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816</w:t>
            </w:r>
          </w:p>
        </w:tc>
        <w:tc>
          <w:tcPr>
            <w:tcW w:w="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2,695</w:t>
            </w:r>
          </w:p>
        </w:tc>
        <w:tc>
          <w:tcPr>
            <w:tcW w:w="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Intersegment revenues are primarily interest income from the warehouse line for loans held for sale provided to SecurityNational Mortgage Company (“SecurityNational Mortgage”). Profitability for the three months ended March 31, 2022 has decreased due to a $2,516,000 increase in future policy benefits, a $1,733,000 increase in selling, general and administrative expenses, a $1,054,000 decrease in gains on investments and other assets primarily due to a decrease in the fair value of equity securities, a $783,000 increase in amortization of deferred policy acquisition costs primarily due to an increase in the average outstanding balance of deferred policy and pre-need acquisition costs, a $466,000 increase in interest expense, a $206,000 decrease in intersegment revenue, and a $21,000 decrease in other revenues. This increase was partially offset by a $2,992,000 increase in insurance premiums and other considerations, a $1,182,000 decrease in death, surrenders and other policy benefits, a $642,000 increase in net investment income, and an $86,000 decrease in intersegment interest expense and other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mortuary services and products through its nine mortuaries in Utah and three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the cemetery and mortuary’s pre-need sales force began using virtual selling processes to market its products and services including some in home sales as local regulations permitted. During the third quarter 2021, the sales force returned mostly to in home sales, however, it continues to use virtual selling where needed. Currently, the cemetery and mortuary operations office staff works in the office with the flexibility for hybrid-remote or completely remote working arrangements as needed.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condensed financial results of the cemetery and mortuary operations for the three months ended March 31, 2022 and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to the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2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3,766</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3,922</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9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9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900" w:type="dxa"/>
            <w:vAlign w:val="bottom"/>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2,020</w:t>
            </w: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2,701</w:t>
            </w:r>
          </w:p>
        </w:tc>
        <w:tc>
          <w:tcPr>
            <w:tcW w:w="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in the three months ended March 31, 2022 has decreased due to a $1,092,000 increase in selling, general and administrative expenses, a $1,053,000 decrease in gains on investments and other assets primarily attributable to a $579,000 decrease in gains on real estate sales and a $495,000 decrease in the fair value of equity securities classified as restricted assets and cemetery perpetual care trust investments, a $561,000 decrease in cemetery pre-need sales, an $85,000 increase in costs of goods sold, a $54,000 increase in intersegment interest expense and other expenses, a $37,000 increase in amortization of deferred policy acquisition costs, and a $13,000 decrease in other revenues. This increase was partially offset by a $1,746,000 increase in mortuary at-need sales, a $266,000 increase in net investment income, a $105,000 increase in intersegment revenues, a $79,000 increase in cemetery at-need sales, and an $18,000 decrease in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Kilpatrick Life and unaffiliated financial institutions.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59% of its loan origination volume. These mortgage loans are serviced by either SecurityNational Mortgage or an approved third-party sub-servicer. In December 2021, the Company ceased operations in EverLEND Mortgage and merged its operations into SecurityNational Mortgage.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SecurityNational Mortgage originated 3,356 loans ($1,039,217,000 total volume) and 5,361 loans ($1,415,821,000 total volume), respectively. For the three months ended March 31, 2021, EverLEND Mortgage originated 110 loans ($34,020,000 total volume).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the mortgage operations has integrated employee work from home accommodations into its standard operating procedures. A large percentage of fulfillment employees are in office however the flexibility remains to accommodate in office or work from home functionality.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 months ended March 31, 2022 and 2021.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(in thousands of dollars)</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39,603</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68,439</w:t>
            </w: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11,192</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(2,747)</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(6,946)</w:t>
            </w: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3,592</w:t>
            </w:r>
          </w:p>
        </w:tc>
        <w:tc>
          <w:tcPr>
            <w:tcW w:w="22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5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37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1,607</w:t>
            </w:r>
          </w:p>
        </w:tc>
        <w:tc>
          <w:tcPr>
            <w:tcW w:w="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10,959</w:t>
            </w:r>
          </w:p>
        </w:tc>
        <w:tc>
          <w:tcPr>
            <w:tcW w:w="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Included in other revenues is service fee income. Profitability for the three months ended March 31, 2022 has decreased due to a $28,836,000 decrease in secondary gains from investors, a $2,733,000 decrease in income from loan originations, a $1,224,000 increase in personnel expenses, an $86,000 decrease in intersegment revenues, and a $7,000 decrease in net investment income. This increase was partially offset by a $12,811,000 decrease in commissions, a $4,199,000 increase in the fair value of loans held for sale, a $2,361,000 increase in the fair value of loan commitments, a $1,088,000 increase in other revenues, a $943,000 decrease in other expenses, a $546,000 decrease in interest expense, a $505,000 decrease in advertising expenses, a $355,000 decrease in the provision for loan loss reserve, a $319,000 increase in gains on investments and other assets, a $155,000 decrease in intersegment interest expense and other expenses, a $132,000 decrease in rent and rent related expenses, a $98,000 decrease in costs related to funding mortgage loans, and a $22,000 decrease in depreciation on property and equipment.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 Loss Settlements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March 31, 2022 and December 31, 2021, the balances were $2,143,390 and $2,447,139,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decreased by $20,233,000, or 16.5%, to $102,426,000 for the three months ended March 31, 2022, from $122,659,000 for the comparable period in 2021. Contributing to this decrease in total revenues was a $24,654,000 decrease in mortgage fee income and a $1,788,000 decrease in gains on investments and other assets. This decrease was partially offset by a $2,992,000 increase in insurance premiums and other considerations, a $1,264,000 increase in net mortuary and cemetery sales, a $1,054,000 increase in other revenues, and a $900,000 increase in net investment income.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fee income decreased by $24,654,000, or 33.8%, to $48,345,000, for the three months ended March 31, 2022, from $72,999,000 for the comparable period in 2021. This decrease was primarily due to a $28,836,000 decrease in secondary gains from mortgage loans sold to third-party investors into the secondary market and a $2,378,000 decrease in loan fees and interest income net of a decrease in the provision for loan loss reserve. This decrease in mortgage fee income was partially offset by a $4,199,000 increase in the fair value of loans held for sale and a $2,361,000 increase in the fair value of loan commitments.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Insurance premiums and other considerations increased by $2,992,000, or 12.8%, to $26,342,000 for the three months ended March 31, 2022, from $23,350,000 for the comparable period in 2021. This increase was due to an increase of $1,691,000 in first year premiums as a result of increased insurance sales and an increase of $1,300,366 in renewal premiums due to the growth of the Company in recent years, particularly in whole life products, which resulted in more premium paying business in force.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investment income increased by $900,000, or 6.3%, to $15,194,000 for the three months ended March 31, 2022, from $14,294,000 for the comparable period in 2021. This increase was primarily attributable to a $1,876,000 increase in mortgage loan interest, a $74,000 increase in policy loan income, a $57,000 increase in income on other investments, a $51,000 increase in insurance assignment income, and a $36,000 increase in interest on cash and cash equivalents. This increase was partially offset by a $997,000 increase in investment expenses, and a $188,000 decrease in fixed maturity securities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$1,264,000, or 21.3%, to $7,206,000 for the three months ended March 31, 2022, from $5,942,000 for the comparable period in 2021. This increase was primarily due to a $1,746,000 increase in cemetery at-need sales and a $79,000 increase in mortuary at-need sales. This increase was partially offset by a $561,000 decrease in cemetery pre-need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on investments and other assets decreased by $1,788,000, or 91.2%, to $172,000 for the three months ended March 31, 2022, from $1,960,000 for the comparable period in 2021. This decrease in gains on investments and other assets was primarily due to a $1,676,000 decrease in gains on equity securities mostly attributable to decreases in the fair value of these equity securities, an $85,000 decrease in gains on other assets, and a $27,000 decrease in gains on fixed maturity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increased by $1,054,000, or 25.6%, to $5,168,000 for the three months ended March 31, 2022, from $4,114,000 for the comparable period in 2021. This increase was primarily attributable to an increase in servicing fee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benefits and expenses were $97,982,000, or 95.7% of total revenues, for the three months ended March 31, 2022, as compared to $106,304,000, or 86.7% of total revenues, for the comparable period in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increased by an aggregate of $1,335,000 or 5.6%, to $24,979,000 for the three months ended March 31, 2022, from $23,644,000 for the comparable period in 2021. This increase was primarily the result of a $2,516,000 increase in future policy benefits and a $246,000 increase in surrender and other policy benefits. This increase was partially offset by a $1,427,000 decrease in death benefits ($1,646,698 for COVID-19 related deaths).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$819,000, or 22.9%, to $4,396,000 for the three months ended March 31, 2022, from $3,577,000 for the comparable period in 2021. This increase was primarily due to an increase in the average outstanding balance of deferred policy and pre-need acquisition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by $10,462,000, or 13.7%, to $65,695,000 for the three months ended March 31, 2022, from $76,157,000 for the comparable period in 2021. This increase was primarily the result of a $12,827,000 decrease in commissions, a $207,000 decrease in rent and rent related expenses, a $98,000 decrease in costs related to funding mortgage loans, and an $89,000 decrease in advertising expenses. This decrease was partially offset by a $2,503,000 increase in personnel expenses, a $142,000 increase in other expenses, and a $114,000 increase in depreciation on property and equipment.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by $98,000, or 5.4%, to $1,727,000 for the three months ended March 31, 2022, from $1,825,000 for the comparable period in 2021. This decrease was primarily due to a decrease of $546,000 in interest expense on mortgage warehouse lines for loans held for sale. This decrease was partially offset by a $448,000 increase in interest expense on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increased by $85,000, or 7.7%, to $1,185,000 for the three months ended March 31, 2022, from $1,100,000 for the comparable period in 2021. This increase was primarily due to a $300,000 increase in mortuary at-need sales. This increase was partially offset by a $35,000 decrease in cemetery at-need sales and a $180,000 decrease in cemetery pre-need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caused by the COVID-19 pandemic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Company’s operations provided cash of $72,509,000 and provided cash of $100,976,000, respectively. This decrease in cash provided by operations was due primarily to decreased proceeds from the sale of mortgage loans held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liability for future policy benefits is expected to be paid out over the long-term due to the Company’s market niche of selling funeral plans. Funeral plans are small face value life insurance policies that payout upon a person’s death to cover funeral burial costs. Policyholders generally keep these policies in force and do not surrender them prior to death. Because of the long-term nature of these liabilities, the Company is able to hold to maturity its bonds, real estate, and mortgage loans thus reducing the risk of liquidating these long-term investments as a result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$271,931,000 (at estimated fair value) and $259,005,000 (at estimated fair value) as of March 31, 2022 and December 31, 2021, respectively. This represented 32.1% and 31.5% of the total investments as of March 31, 2022, and December 31, 2021, respectively. Generally, all bonds owned by the life insurance subsidiaries are rated by the National Association of Insurance Commissioners. Under this rating system, there are six categories used for rating bonds. At March 31, 2022, 3.5% (or $9,597,000) and at December 31, 2021, 3.9% (or $9,991,000) of the Company’s total bond investments were invested in bonds in rating categories three through six, which are considered non-investment grade.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subject to risk-based capital guidelines established by statutory regulators requiring minimum capital levels based on the perceived risk of assets, liabilities, disintermediation, and business risk. At March 31, 2022 and December 31, 2021, the life insurance subsidiaries were in compliance with the regulatory criteria.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$525,928,000 as of March 31, 2022, as compared to $551,054,000 as of December 31, 2021. Stockholders’ equity as a percent of total capitalization was 55.6% and 54.4% as of March 31, 2022 and December 31, 2021,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2021 was 4.8% as compared to a rate of 5.9% for 2020. The 2022 lapse rate to date has been approximately the same as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$81,822,000 and $82,823,000 as of March 31, 2022 and December 31, 2021, respectively. The life insurance subsidiaries cannot pay a dividend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2020, the outbreak of COVID-19 had spread worldwide and was declared a global pandemic by the World Health Organization on March 11, 2020. COVID-19, and its variants, pose a threat to the health and economic well-being of the Company’s employees, customers, and vendors. The Company continues to closely monitor developments relating to the ongoing COVID-19 pandemic and assessing its impact on the Company’s business. The continued uncertainty surrounding the COVID-19 pandemic has had and continues to have a significant impact on the global economy and financial markets. Governments and businesses have taken numerous measures to try to contain the virus and its variants, which include the implementation of travel bans, self-imposed quarantine periods, social distancing, and various mask and vaccine mandates. These measures have disrupted and will continue to disrupt businesses globally. Governments and central banks have reacted with significant monetary and fiscal interventions designed to stabilize the economic conditions.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most businesses, COVID-19 has impacted the Company, including the temporary adoption of work from home arrangements and a restructuring of selling techniques for its products and services. The Company also experienced increased expenses for cleaning services of its offices. Throughout 2021 and the first quarter of 2022, the Company continues to adapt to the impact of COVID-19 and its related economic effects.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Company risks. These uncertainties have the potential to negatively affect the risk of credit default for the issuers of the Company’s fixed maturity debt securities and individual borrowers with mortgage loans held by the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implemented risk management, business continuity plans and has taken preventive measures and other precautions, including some remote work arrangements. Such measures and precautions have enabled the Company to continue to conduct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2022,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March 31, 2022,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Stock Repurchase Plan was amended in December 2020. The amendment authorized the repurchase of a total of 1,000,000 shares of the Company’s Class A Common Stock in the open market. The repurchased shares of Class A common stock will be held as treasury shares to be used as the Company’s employer matching contribution to the Employee 401(k) Retirement Savings Plan and for shares held in the Deferred Compensation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 months ended March 31, 2022 under the Stock Repurchase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 (or</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Approximate</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Dollar Value) of</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Purchased as Part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A Shares that</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 Total Number of</w:t>
            </w:r>
          </w:p>
        </w:tc>
        <w:tc>
          <w:tcPr>
            <w:tcW w:w="1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(b) Average Price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of Publicly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Yet Be</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Paid per Class A</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Announced Plan or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Purchased Under</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Period</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Share</w:t>
            </w: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Program</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the Plan or Program</w:t>
            </w:r>
          </w:p>
        </w:tc>
      </w:tr>
      <w:tr>
        <w:trPr>
          <w:trHeight w:val="209"/>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1/1/2022-1/31/2022</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2/1/2022-2/28/2022</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48,427</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9.70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483,533</w:t>
            </w:r>
          </w:p>
        </w:tc>
      </w:tr>
      <w:tr>
        <w:trPr>
          <w:trHeight w:val="229"/>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3/1/2022-3/31/2022</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9.79</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479,929</w:t>
            </w:r>
          </w:p>
        </w:tc>
      </w:tr>
      <w:tr>
        <w:trPr>
          <w:trHeight w:val="209"/>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76,456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9.52</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479,929</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spacing w:after="0"/>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Exhibits are filed herewith pursuant to Rule 601 of Regulation S-K or are incorporated by reference to previous filings.</w:t>
      </w:r>
    </w:p>
    <w:p>
      <w:pPr>
        <w:spacing w:after="0" w:line="237"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17">
        <w:r>
          <w:rPr>
            <w:rFonts w:ascii="Times New Roman" w:cs="Times New Roman" w:eastAsia="Times New Roman" w:hAnsi="Times New Roman"/>
            <w:sz w:val="18"/>
            <w:szCs w:val="18"/>
            <w:u w:val="single" w:color="auto"/>
            <w:color w:val="0000EE"/>
          </w:rPr>
          <w:t>Amended and Restated Articles of Incorporation (4)</w:t>
        </w:r>
      </w:hyperlink>
    </w:p>
    <w:p>
      <w:pPr>
        <w:spacing w:after="0" w:line="27"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18">
        <w:r>
          <w:rPr>
            <w:rFonts w:ascii="Times New Roman" w:cs="Times New Roman" w:eastAsia="Times New Roman" w:hAnsi="Times New Roman"/>
            <w:sz w:val="18"/>
            <w:szCs w:val="18"/>
            <w:u w:val="single" w:color="auto"/>
            <w:color w:val="0000EE"/>
          </w:rPr>
          <w:t>Amended and Restated Bylaws (6)</w:t>
        </w:r>
      </w:hyperlink>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Specimen Class A Stock Certificate (1)</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Specimen Class C Stock Certificate (1)</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Specimen Preferred Stock Certificate and Certificate of Designation of Preferred Stock (1)</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Employee Stock Ownership Plan, as amended and restated (ESOP) and Trust Agreement (1)</w:t>
      </w:r>
    </w:p>
    <w:p>
      <w:pPr>
        <w:spacing w:after="0" w:line="9" w:lineRule="exact"/>
        <w:rPr>
          <w:sz w:val="20"/>
          <w:szCs w:val="20"/>
          <w:color w:val="auto"/>
        </w:rPr>
      </w:pPr>
    </w:p>
    <w:p>
      <w:pPr>
        <w:ind w:left="660"/>
        <w:spacing w:after="0"/>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19">
        <w:r>
          <w:rPr>
            <w:rFonts w:ascii="Times New Roman" w:cs="Times New Roman" w:eastAsia="Times New Roman" w:hAnsi="Times New Roman"/>
            <w:sz w:val="17"/>
            <w:szCs w:val="17"/>
            <w:u w:val="single" w:color="auto"/>
            <w:color w:val="0000EE"/>
          </w:rPr>
          <w:t>Amended and Restated 2013 Stock Option and Other Equity Incentive Awards Plan (3)</w:t>
        </w:r>
      </w:hyperlink>
    </w:p>
    <w:p>
      <w:pPr>
        <w:spacing w:after="0" w:line="9"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20">
        <w:r>
          <w:rPr>
            <w:rFonts w:ascii="Times New Roman" w:cs="Times New Roman" w:eastAsia="Times New Roman" w:hAnsi="Times New Roman"/>
            <w:sz w:val="18"/>
            <w:szCs w:val="18"/>
            <w:u w:val="single" w:color="auto"/>
            <w:color w:val="0000EE"/>
          </w:rPr>
          <w:t>Amended and Restated 2014 Director Stock Option Plan (7)</w:t>
        </w:r>
      </w:hyperlink>
    </w:p>
    <w:p>
      <w:pPr>
        <w:spacing w:after="0" w:line="9"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21">
        <w:r>
          <w:rPr>
            <w:rFonts w:ascii="Times New Roman" w:cs="Times New Roman" w:eastAsia="Times New Roman" w:hAnsi="Times New Roman"/>
            <w:sz w:val="18"/>
            <w:szCs w:val="18"/>
            <w:u w:val="single" w:color="auto"/>
            <w:color w:val="0000EE"/>
          </w:rPr>
          <w:t>Employment Agreement with Scott M. Quist (2)</w:t>
        </w:r>
      </w:hyperlink>
    </w:p>
    <w:p>
      <w:pPr>
        <w:spacing w:after="0" w:line="9"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22">
        <w:r>
          <w:rPr>
            <w:rFonts w:ascii="Times New Roman" w:cs="Times New Roman" w:eastAsia="Times New Roman" w:hAnsi="Times New Roman"/>
            <w:sz w:val="18"/>
            <w:szCs w:val="18"/>
            <w:u w:val="single" w:color="auto"/>
            <w:color w:val="0000EE"/>
          </w:rPr>
          <w:t>Stock Repurchase Plan (5)</w:t>
        </w:r>
      </w:hyperlink>
    </w:p>
    <w:p>
      <w:pPr>
        <w:spacing w:after="0" w:line="9"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Code of Business Conduct and Ethics (6)</w:t>
        </w:r>
      </w:hyperlink>
    </w:p>
    <w:p>
      <w:pPr>
        <w:spacing w:after="0" w:line="9" w:lineRule="exact"/>
        <w:rPr>
          <w:rFonts w:ascii="Times New Roman" w:cs="Times New Roman" w:eastAsia="Times New Roman" w:hAnsi="Times New Roman"/>
          <w:sz w:val="18"/>
          <w:szCs w:val="18"/>
          <w:u w:val="single" w:color="auto"/>
          <w:color w:val="0000EE"/>
        </w:rPr>
      </w:pPr>
    </w:p>
    <w:p>
      <w:pPr>
        <w:ind w:left="1300" w:hanging="644"/>
        <w:spacing w:after="0"/>
        <w:tabs>
          <w:tab w:leader="none" w:pos="1300" w:val="left"/>
        </w:tabs>
        <w:numPr>
          <w:ilvl w:val="0"/>
          <w:numId w:val="65"/>
        </w:numPr>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Subsidiaries of the Registrant (8)</w:t>
        </w:r>
      </w:hyperlink>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7"/>
          <w:szCs w:val="17"/>
          <w:u w:val="single" w:color="auto"/>
          <w:color w:val="0000EE"/>
        </w:rPr>
        <w:t>Certification pursuant to 18 U.S.C. Section 1350, as enacted by Section 302 of the Sarbanes-Oxley Act of 2002</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7"/>
          <w:szCs w:val="17"/>
          <w:u w:val="single" w:color="auto"/>
          <w:color w:val="0000EE"/>
        </w:rPr>
        <w:t>Certification pursuant to 18 U.S.C. Section 1350, as enacted by Section 302 of the Sarbanes-Oxley Act of 2002</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p>
    <w:p>
      <w:pPr>
        <w:spacing w:after="0" w:line="9" w:lineRule="exact"/>
        <w:rPr>
          <w:rFonts w:ascii="Times New Roman" w:cs="Times New Roman" w:eastAsia="Times New Roman" w:hAnsi="Times New Roman"/>
          <w:sz w:val="18"/>
          <w:szCs w:val="18"/>
          <w:u w:val="single" w:color="auto"/>
          <w:color w:val="0000EE"/>
        </w:rPr>
      </w:pPr>
    </w:p>
    <w:p>
      <w:pPr>
        <w:ind w:left="660" w:right="340"/>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EE"/>
        </w:rPr>
        <w:t>Certification pursuant to 18 U.S.C. Section 1350, as adopted pursuant to Section 906 of the Sarbanes-Oxley Act of 2002</w:t>
      </w:r>
      <w:r>
        <w:rPr>
          <w:rFonts w:ascii="Times New Roman" w:cs="Times New Roman" w:eastAsia="Times New Roman" w:hAnsi="Times New Roman"/>
          <w:sz w:val="18"/>
          <w:szCs w:val="18"/>
          <w:color w:val="auto"/>
        </w:rPr>
        <w:t xml:space="preserve"> 101.xml Instance Document</w:t>
      </w: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101.xsd Taxonomy Extension Schema Document</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101.cal  Taxonomy Extension Calculation Linkbase Document</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101.def Taxonomy Extension Definition Linkbase Document</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101.lab Taxonomy Extension Label Linkbase Document</w:t>
      </w:r>
    </w:p>
    <w:p>
      <w:pPr>
        <w:spacing w:after="0" w:line="9"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101.pre Taxonomy Extension Presentation Linkbase Document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Registration Statement on Form S-1, as filed on June 29, 1987</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2015</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15, 2016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14, 2020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2022</w:t>
      </w:r>
    </w:p>
    <w:p>
      <w:pPr>
        <w:spacing w:after="0" w:line="207" w:lineRule="exact"/>
        <w:rPr>
          <w:rFonts w:ascii="Times New Roman" w:cs="Times New Roman" w:eastAsia="Times New Roman" w:hAnsi="Times New Roman"/>
          <w:sz w:val="18"/>
          <w:szCs w:val="18"/>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661" w:right="127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i w:val="1"/>
                <w:iCs w:val="1"/>
                <w:color w:val="auto"/>
                <w:w w:val="99"/>
              </w:rPr>
              <w:t>REGISTRANT</w:t>
            </w:r>
          </w:p>
        </w:tc>
      </w:tr>
      <w:tr>
        <w:trPr>
          <w:trHeight w:val="392"/>
        </w:trPr>
        <w:tc>
          <w:tcPr>
            <w:tcW w:w="354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SECURITY NATIONAL FINANCIAL CORPORATION</w:t>
            </w:r>
          </w:p>
        </w:tc>
        <w:tc>
          <w:tcPr>
            <w:tcW w:w="3540" w:type="dxa"/>
            <w:vAlign w:val="bottom"/>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770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4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16, 2022</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16, 2022</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3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3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16, 2022</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5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3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16, 2022</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March 31, 2022,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16, 2022</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March 31, 2022,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16, 2022</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decimal"/>
      <w:start w:val="2"/>
    </w:lvl>
  </w:abstractNum>
  <w:abstractNum w:abstractNumId="5">
    <w:nsid w:val="5C482A97"/>
    <w:multiLevelType w:val="hybridMultilevel"/>
    <w:lvl w:ilvl="0">
      <w:lvlJc w:val="left"/>
      <w:lvlText w:val="%1)"/>
      <w:numFmt w:val="decimal"/>
      <w:start w:val="3"/>
    </w:lvl>
  </w:abstractNum>
  <w:abstractNum w:abstractNumId="6">
    <w:nsid w:val="2463B9EA"/>
    <w:multiLevelType w:val="hybridMultilevel"/>
    <w:lvl w:ilvl="0">
      <w:lvlJc w:val="left"/>
      <w:lvlText w:val="%1)"/>
      <w:numFmt w:val="decimal"/>
      <w:start w:val="3"/>
    </w:lvl>
  </w:abstractNum>
  <w:abstractNum w:abstractNumId="7">
    <w:nsid w:val="5E884ADC"/>
    <w:multiLevelType w:val="hybridMultilevel"/>
    <w:lvl w:ilvl="0">
      <w:lvlJc w:val="left"/>
      <w:lvlText w:val="%1)"/>
      <w:numFmt w:val="decimal"/>
      <w:start w:val="3"/>
    </w:lvl>
  </w:abstractNum>
  <w:abstractNum w:abstractNumId="8">
    <w:nsid w:val="51EAD36B"/>
    <w:multiLevelType w:val="hybridMultilevel"/>
    <w:lvl w:ilvl="0">
      <w:lvlJc w:val="left"/>
      <w:lvlText w:val="%1)"/>
      <w:numFmt w:val="decimal"/>
      <w:start w:val="3"/>
    </w:lvl>
  </w:abstractNum>
  <w:abstractNum w:abstractNumId="9">
    <w:nsid w:val="2D517796"/>
    <w:multiLevelType w:val="hybridMultilevel"/>
    <w:lvl w:ilvl="0">
      <w:lvlJc w:val="left"/>
      <w:lvlText w:val="%1)"/>
      <w:numFmt w:val="decimal"/>
      <w:start w:val="3"/>
    </w:lvl>
  </w:abstractNum>
  <w:abstractNum w:abstractNumId="10">
    <w:nsid w:val="580BD78F"/>
    <w:multiLevelType w:val="hybridMultilevel"/>
    <w:lvl w:ilvl="0">
      <w:lvlJc w:val="left"/>
      <w:lvlText w:val="%1)"/>
      <w:numFmt w:val="decimal"/>
      <w:start w:val="3"/>
    </w:lvl>
  </w:abstractNum>
  <w:abstractNum w:abstractNumId="11">
    <w:nsid w:val="153EA438"/>
    <w:multiLevelType w:val="hybridMultilevel"/>
    <w:lvl w:ilvl="0">
      <w:lvlJc w:val="left"/>
      <w:lvlText w:val="%1)"/>
      <w:numFmt w:val="decimal"/>
      <w:start w:val="3"/>
    </w:lvl>
  </w:abstractNum>
  <w:abstractNum w:abstractNumId="12">
    <w:nsid w:val="3855585C"/>
    <w:multiLevelType w:val="hybridMultilevel"/>
    <w:lvl w:ilvl="0">
      <w:lvlJc w:val="left"/>
      <w:lvlText w:val="%1)"/>
      <w:numFmt w:val="decimal"/>
      <w:start w:val="3"/>
    </w:lvl>
  </w:abstractNum>
  <w:abstractNum w:abstractNumId="13">
    <w:nsid w:val="70A64E2A"/>
    <w:multiLevelType w:val="hybridMultilevel"/>
    <w:lvl w:ilvl="0">
      <w:lvlJc w:val="left"/>
      <w:lvlText w:val="%1)"/>
      <w:numFmt w:val="decimal"/>
      <w:start w:val="3"/>
    </w:lvl>
  </w:abstractNum>
  <w:abstractNum w:abstractNumId="14">
    <w:nsid w:val="6A2342EC"/>
    <w:multiLevelType w:val="hybridMultilevel"/>
    <w:lvl w:ilvl="0">
      <w:lvlJc w:val="left"/>
      <w:lvlText w:val="%1)"/>
      <w:numFmt w:val="decimal"/>
      <w:start w:val="3"/>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3"/>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3"/>
    </w:lvl>
  </w:abstractNum>
  <w:abstractNum w:abstractNumId="19">
    <w:nsid w:val="57E4CCAF"/>
    <w:multiLevelType w:val="hybridMultilevel"/>
    <w:lvl w:ilvl="0">
      <w:lvlJc w:val="left"/>
      <w:lvlText w:val="%1)"/>
      <w:numFmt w:val="decimal"/>
      <w:start w:val="3"/>
    </w:lvl>
  </w:abstractNum>
  <w:abstractNum w:abstractNumId="20">
    <w:nsid w:val="7A6D8D3C"/>
    <w:multiLevelType w:val="hybridMultilevel"/>
    <w:lvl w:ilvl="0">
      <w:lvlJc w:val="left"/>
      <w:lvlText w:val="%1)"/>
      <w:numFmt w:val="decimal"/>
      <w:start w:val="4"/>
    </w:lvl>
  </w:abstractNum>
  <w:abstractNum w:abstractNumId="21">
    <w:nsid w:val="4B588F54"/>
    <w:multiLevelType w:val="hybridMultilevel"/>
    <w:lvl w:ilvl="0">
      <w:lvlJc w:val="left"/>
      <w:lvlText w:val="%1)"/>
      <w:numFmt w:val="decimal"/>
      <w:start w:val="4"/>
    </w:lvl>
  </w:abstractNum>
  <w:abstractNum w:abstractNumId="22">
    <w:nsid w:val="542289EC"/>
    <w:multiLevelType w:val="hybridMultilevel"/>
    <w:lvl w:ilvl="0">
      <w:lvlJc w:val="left"/>
      <w:lvlText w:val="%1)"/>
      <w:numFmt w:val="decimal"/>
      <w:start w:val="5"/>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1)"/>
      <w:numFmt w:val="decimal"/>
      <w:start w:val="5"/>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decimal"/>
      <w:start w:val="6"/>
    </w:lvl>
  </w:abstractNum>
  <w:abstractNum w:abstractNumId="32">
    <w:nsid w:val="79A1DEAA"/>
    <w:multiLevelType w:val="hybridMultilevel"/>
    <w:lvl w:ilvl="0">
      <w:lvlJc w:val="left"/>
      <w:lvlText w:val="%1)"/>
      <w:numFmt w:val="decimal"/>
      <w:start w:val="7"/>
    </w:lvl>
  </w:abstractNum>
  <w:abstractNum w:abstractNumId="33">
    <w:nsid w:val="75C6C33A"/>
    <w:multiLevelType w:val="hybridMultilevel"/>
    <w:lvl w:ilvl="0">
      <w:lvlJc w:val="left"/>
      <w:lvlText w:val="%1)"/>
      <w:numFmt w:val="decimal"/>
      <w:start w:val="7"/>
    </w:lvl>
  </w:abstractNum>
  <w:abstractNum w:abstractNumId="34">
    <w:nsid w:val="12E685FB"/>
    <w:multiLevelType w:val="hybridMultilevel"/>
    <w:lvl w:ilvl="0">
      <w:lvlJc w:val="left"/>
      <w:lvlText w:val="%1)"/>
      <w:numFmt w:val="decimal"/>
      <w:start w:val="8"/>
    </w:lvl>
  </w:abstractNum>
  <w:abstractNum w:abstractNumId="35">
    <w:nsid w:val="70C6A529"/>
    <w:multiLevelType w:val="hybridMultilevel"/>
    <w:lvl w:ilvl="0">
      <w:lvlJc w:val="left"/>
      <w:lvlText w:val="%1)"/>
      <w:numFmt w:val="lowerLetter"/>
      <w:start w:val="1"/>
    </w:lvl>
  </w:abstractNum>
  <w:abstractNum w:abstractNumId="36">
    <w:nsid w:val="520EEDD1"/>
    <w:multiLevelType w:val="hybridMultilevel"/>
    <w:lvl w:ilvl="0">
      <w:lvlJc w:val="left"/>
      <w:lvlText w:val="%1)"/>
      <w:numFmt w:val="decimal"/>
      <w:start w:val="8"/>
    </w:lvl>
  </w:abstractNum>
  <w:abstractNum w:abstractNumId="37">
    <w:nsid w:val="374A3FE6"/>
    <w:multiLevelType w:val="hybridMultilevel"/>
    <w:lvl w:ilvl="0">
      <w:lvlJc w:val="left"/>
      <w:lvlText w:val="%1)"/>
      <w:numFmt w:val="decimal"/>
      <w:start w:val="8"/>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8"/>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8"/>
    </w:lvl>
  </w:abstractNum>
  <w:abstractNum w:abstractNumId="42">
    <w:nsid w:val="39386575"/>
    <w:multiLevelType w:val="hybridMultilevel"/>
    <w:lvl w:ilvl="0">
      <w:lvlJc w:val="left"/>
      <w:lvlText w:val="%1)"/>
      <w:numFmt w:val="decimal"/>
      <w:start w:val="8"/>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8"/>
    </w:lvl>
  </w:abstractNum>
  <w:abstractNum w:abstractNumId="46">
    <w:nsid w:val="47398C89"/>
    <w:multiLevelType w:val="hybridMultilevel"/>
    <w:lvl w:ilvl="0">
      <w:lvlJc w:val="left"/>
      <w:lvlText w:val="%1)"/>
      <w:numFmt w:val="decimal"/>
      <w:start w:val="8"/>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8"/>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8"/>
    </w:lvl>
  </w:abstractNum>
  <w:abstractNum w:abstractNumId="51">
    <w:nsid w:val="10233C99"/>
    <w:multiLevelType w:val="hybridMultilevel"/>
    <w:lvl w:ilvl="0">
      <w:lvlJc w:val="left"/>
      <w:lvlText w:val="%1)"/>
      <w:numFmt w:val="decimal"/>
      <w:start w:val="9"/>
    </w:lvl>
  </w:abstractNum>
  <w:abstractNum w:abstractNumId="52">
    <w:nsid w:val="3F6AB60F"/>
    <w:multiLevelType w:val="hybridMultilevel"/>
    <w:lvl w:ilvl="0">
      <w:lvlJc w:val="left"/>
      <w:lvlText w:val="%1)"/>
      <w:numFmt w:val="decimal"/>
      <w:start w:val="10"/>
    </w:lvl>
  </w:abstractNum>
  <w:abstractNum w:abstractNumId="53">
    <w:nsid w:val="61574095"/>
    <w:multiLevelType w:val="hybridMultilevel"/>
    <w:lvl w:ilvl="0">
      <w:lvlJc w:val="left"/>
      <w:lvlText w:val="%1)"/>
      <w:numFmt w:val="decimal"/>
      <w:start w:val="10"/>
    </w:lvl>
  </w:abstractNum>
  <w:abstractNum w:abstractNumId="54">
    <w:nsid w:val="7E0C57B1"/>
    <w:multiLevelType w:val="hybridMultilevel"/>
    <w:lvl w:ilvl="0">
      <w:lvlJc w:val="left"/>
      <w:lvlText w:val="%1)"/>
      <w:numFmt w:val="decimal"/>
      <w:start w:val="10"/>
    </w:lvl>
  </w:abstractNum>
  <w:abstractNum w:abstractNumId="55">
    <w:nsid w:val="77AE35EB"/>
    <w:multiLevelType w:val="hybridMultilevel"/>
    <w:lvl w:ilvl="0">
      <w:lvlJc w:val="left"/>
      <w:lvlText w:val="%1)"/>
      <w:numFmt w:val="decimal"/>
      <w:start w:val="11"/>
    </w:lvl>
  </w:abstractNum>
  <w:abstractNum w:abstractNumId="56">
    <w:nsid w:val="579BE4F1"/>
    <w:multiLevelType w:val="hybridMultilevel"/>
    <w:lvl w:ilvl="0">
      <w:lvlJc w:val="left"/>
      <w:lvlText w:val="%1)"/>
      <w:numFmt w:val="decimal"/>
      <w:start w:val="11"/>
    </w:lvl>
  </w:abstractNum>
  <w:abstractNum w:abstractNumId="57">
    <w:nsid w:val="310C50B3"/>
    <w:multiLevelType w:val="hybridMultilevel"/>
    <w:lvl w:ilvl="0">
      <w:lvlJc w:val="left"/>
      <w:lvlText w:val="%1)"/>
      <w:numFmt w:val="decimal"/>
      <w:start w:val="12"/>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12"/>
    </w:lvl>
  </w:abstractNum>
  <w:abstractNum w:abstractNumId="60">
    <w:nsid w:val="25A70BF7"/>
    <w:multiLevelType w:val="hybridMultilevel"/>
    <w:lvl w:ilvl="0">
      <w:lvlJc w:val="left"/>
      <w:lvlText w:val="%1)"/>
      <w:numFmt w:val="decimal"/>
      <w:start w:val="13"/>
    </w:lvl>
  </w:abstractNum>
  <w:abstractNum w:abstractNumId="61">
    <w:nsid w:val="1DBABF00"/>
    <w:multiLevelType w:val="hybridMultilevel"/>
    <w:lvl w:ilvl="0">
      <w:lvlJc w:val="left"/>
      <w:lvlText w:val="%1)"/>
      <w:numFmt w:val="decimal"/>
      <w:start w:val="14"/>
    </w:lvl>
  </w:abstractNum>
  <w:abstractNum w:abstractNumId="62">
    <w:nsid w:val="4AD084E9"/>
    <w:multiLevelType w:val="hybridMultilevel"/>
    <w:lvl w:ilvl="0">
      <w:lvlJc w:val="left"/>
      <w:lvlText w:val="%1)"/>
      <w:numFmt w:val="decimal"/>
      <w:start w:val="14"/>
    </w:lvl>
  </w:abstractNum>
  <w:abstractNum w:abstractNumId="63">
    <w:nsid w:val="1F48EAA1"/>
    <w:multiLevelType w:val="hybridMultilevel"/>
    <w:lvl w:ilvl="0">
      <w:lvlJc w:val="left"/>
      <w:lvlText w:val="%1"/>
      <w:numFmt w:val="decimal"/>
      <w:start w:val="14"/>
    </w:lvl>
  </w:abstractNum>
  <w:abstractNum w:abstractNumId="64">
    <w:nsid w:val="1381823A"/>
    <w:multiLevelType w:val="hybridMultilevel"/>
    <w:lvl w:ilvl="0">
      <w:lvlJc w:val="left"/>
      <w:lvlText w:val="%1"/>
      <w:numFmt w:val="decimal"/>
      <w:start w:val="2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17" Type="http://schemas.openxmlformats.org/officeDocument/2006/relationships/hyperlink" Target="https://www.sec.gov/Archives/edgar/data/318673/000109690617000214/exh3_1.pdf" TargetMode="External"/><Relationship Id="rId118" Type="http://schemas.openxmlformats.org/officeDocument/2006/relationships/hyperlink" Target="https://www.sec.gov/Archives/edgar/data/318673/000109690619000199/exh3_2.pdf" TargetMode="External"/><Relationship Id="rId119" Type="http://schemas.openxmlformats.org/officeDocument/2006/relationships/hyperlink" Target="https://www.sec.gov/Archives/edgar/data/318673/000109690616001835/exh10_4.htm" TargetMode="External"/><Relationship Id="rId120" Type="http://schemas.openxmlformats.org/officeDocument/2006/relationships/hyperlink" Target="https://www.sec.gov/Archives/edgar/data/318673/000144586620001192/snfca_ex10z3.htm" TargetMode="External"/><Relationship Id="rId121" Type="http://schemas.openxmlformats.org/officeDocument/2006/relationships/hyperlink" Target="https://www.sec.gov/Archives/edgar/data/318673/000109690615001153/exh108.htm" TargetMode="External"/><Relationship Id="rId122" Type="http://schemas.openxmlformats.org/officeDocument/2006/relationships/hyperlink" Target="https://www.sec.gov/Archives/edgar/data/318673/000109690618000639/exh10_9.htm" TargetMode="External"/><Relationship Id="rId123" Type="http://schemas.openxmlformats.org/officeDocument/2006/relationships/hyperlink" Target="https://www.sec.gov/Archives/edgar/data/318673/000109690619000199/exh14.htm" TargetMode="External"/><Relationship Id="rId124" Type="http://schemas.openxmlformats.org/officeDocument/2006/relationships/hyperlink" Target="https://www.sec.gov/Archives/edgar/data/318673/000149315222008236/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2022-05-16T12:15:35Z</dcterms:created>
  <dcterms:modified xsi:type="dcterms:W3CDTF">2022-05-16T12:15:35Z</dcterms:modified>
</cp:coreProperties>
</file>