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84" w:lineRule="exact"/>
        <w:rPr>
          <w:sz w:val="24"/>
          <w:szCs w:val="24"/>
          <w:color w:val="auto"/>
        </w:rPr>
      </w:pPr>
    </w:p>
    <w:p>
      <w:pPr>
        <w:ind w:left="3860" w:right="2860" w:hanging="983"/>
        <w:spacing w:after="0" w:line="282" w:lineRule="auto"/>
        <w:tabs>
          <w:tab w:leader="none" w:pos="3181"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2019, or</w:t>
      </w:r>
    </w:p>
    <w:p>
      <w:pPr>
        <w:spacing w:after="0" w:line="279" w:lineRule="exact"/>
        <w:rPr>
          <w:sz w:val="24"/>
          <w:szCs w:val="24"/>
          <w:color w:val="auto"/>
        </w:rPr>
      </w:pPr>
    </w:p>
    <w:p>
      <w:pPr>
        <w:ind w:left="3160" w:hanging="99"/>
        <w:spacing w:after="0"/>
        <w:tabs>
          <w:tab w:leader="none" w:pos="31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TRANSITION REPORT PURSUANT TO SECTION 13 OR 15(d)</w:t>
      </w:r>
    </w:p>
    <w:p>
      <w:pPr>
        <w:spacing w:after="0" w:line="27" w:lineRule="exact"/>
        <w:rPr>
          <w:rFonts w:ascii="Arial" w:cs="Arial" w:eastAsia="Arial" w:hAnsi="Arial"/>
          <w:sz w:val="18"/>
          <w:szCs w:val="18"/>
          <w:b w:val="1"/>
          <w:bCs w:val="1"/>
          <w:color w:val="auto"/>
        </w:rPr>
      </w:pPr>
    </w:p>
    <w:p>
      <w:pPr>
        <w:jc w:val="center"/>
        <w:ind w:left="3820" w:right="3700" w:hanging="120"/>
        <w:spacing w:after="0" w:line="323" w:lineRule="auto"/>
        <w:rPr>
          <w:rFonts w:ascii="Arial" w:cs="Arial" w:eastAsia="Arial" w:hAnsi="Arial"/>
          <w:sz w:val="18"/>
          <w:szCs w:val="18"/>
          <w:b w:val="1"/>
          <w:bCs w:val="1"/>
          <w:color w:val="auto"/>
        </w:rPr>
      </w:pPr>
      <w:r>
        <w:rPr>
          <w:rFonts w:ascii="Arial" w:cs="Arial" w:eastAsia="Arial" w:hAnsi="Arial"/>
          <w:sz w:val="16"/>
          <w:szCs w:val="16"/>
          <w:b w:val="1"/>
          <w:bCs w:val="1"/>
          <w:color w:val="auto"/>
        </w:rPr>
        <w:t>OF THE SECURITIES EXCHANGE ACT OF 1934 For the transition period from _____ to ________</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000-09341</w:t>
      </w:r>
    </w:p>
    <w:p>
      <w:pPr>
        <w:spacing w:after="0" w:line="28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u w:val="single" w:color="auto"/>
          <w:color w:val="auto"/>
        </w:rPr>
        <w:t>SECURITY NATIONAL FINANCIAL CORPORATION</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46"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8"/>
                <w:szCs w:val="18"/>
                <w:b w:val="1"/>
                <w:bCs w:val="1"/>
                <w:color w:val="auto"/>
                <w:w w:val="99"/>
              </w:rPr>
              <w:t>UTAH</w:t>
            </w:r>
          </w:p>
        </w:tc>
        <w:tc>
          <w:tcPr>
            <w:tcW w:w="2000" w:type="dxa"/>
            <w:vAlign w:val="bottom"/>
            <w:gridSpan w:val="2"/>
          </w:tcPr>
          <w:p>
            <w:pPr>
              <w:spacing w:after="0"/>
              <w:rPr>
                <w:sz w:val="17"/>
                <w:szCs w:val="17"/>
                <w:color w:val="auto"/>
              </w:rPr>
            </w:pPr>
          </w:p>
        </w:tc>
        <w:tc>
          <w:tcPr>
            <w:tcW w:w="4740" w:type="dxa"/>
            <w:vAlign w:val="bottom"/>
            <w:gridSpan w:val="6"/>
          </w:tcPr>
          <w:p>
            <w:pPr>
              <w:jc w:val="right"/>
              <w:ind w:right="860"/>
              <w:spacing w:after="0"/>
              <w:rPr>
                <w:sz w:val="20"/>
                <w:szCs w:val="20"/>
                <w:color w:val="auto"/>
              </w:rPr>
            </w:pPr>
            <w:r>
              <w:rPr>
                <w:rFonts w:ascii="Arial" w:cs="Arial" w:eastAsia="Arial" w:hAnsi="Arial"/>
                <w:sz w:val="18"/>
                <w:szCs w:val="18"/>
                <w:b w:val="1"/>
                <w:bCs w:val="1"/>
                <w:color w:val="auto"/>
              </w:rPr>
              <w:t>87-0345941</w:t>
            </w:r>
          </w:p>
        </w:tc>
      </w:tr>
      <w:tr>
        <w:trPr>
          <w:trHeight w:val="20"/>
        </w:trPr>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4440" w:type="dxa"/>
            <w:vAlign w:val="bottom"/>
            <w:gridSpan w:val="5"/>
          </w:tcPr>
          <w:p>
            <w:pPr>
              <w:jc w:val="center"/>
              <w:ind w:right="60"/>
              <w:spacing w:after="0"/>
              <w:rPr>
                <w:sz w:val="20"/>
                <w:szCs w:val="20"/>
                <w:color w:val="auto"/>
              </w:rPr>
            </w:pPr>
            <w:r>
              <w:rPr>
                <w:rFonts w:ascii="Arial" w:cs="Arial" w:eastAsia="Arial" w:hAnsi="Arial"/>
                <w:sz w:val="18"/>
                <w:szCs w:val="18"/>
                <w:i w:val="1"/>
                <w:iCs w:val="1"/>
                <w:color w:val="auto"/>
                <w:w w:val="94"/>
              </w:rPr>
              <w:t>(State or other jurisdiction of incorporation or organization)</w:t>
            </w:r>
          </w:p>
        </w:tc>
        <w:tc>
          <w:tcPr>
            <w:tcW w:w="1180" w:type="dxa"/>
            <w:vAlign w:val="bottom"/>
          </w:tcPr>
          <w:p>
            <w:pPr>
              <w:spacing w:after="0"/>
              <w:rPr>
                <w:sz w:val="20"/>
                <w:szCs w:val="20"/>
                <w:color w:val="auto"/>
              </w:rPr>
            </w:pPr>
          </w:p>
        </w:tc>
        <w:tc>
          <w:tcPr>
            <w:tcW w:w="3560" w:type="dxa"/>
            <w:vAlign w:val="bottom"/>
            <w:gridSpan w:val="5"/>
          </w:tcPr>
          <w:p>
            <w:pPr>
              <w:jc w:val="center"/>
              <w:ind w:left="890"/>
              <w:spacing w:after="0"/>
              <w:rPr>
                <w:sz w:val="20"/>
                <w:szCs w:val="20"/>
                <w:color w:val="auto"/>
              </w:rPr>
            </w:pPr>
            <w:r>
              <w:rPr>
                <w:rFonts w:ascii="Arial" w:cs="Arial" w:eastAsia="Arial" w:hAnsi="Arial"/>
                <w:sz w:val="18"/>
                <w:szCs w:val="18"/>
                <w:i w:val="1"/>
                <w:iCs w:val="1"/>
                <w:color w:val="auto"/>
                <w:w w:val="93"/>
              </w:rPr>
              <w:t>(I.R.S. Employer Identification No.)</w:t>
            </w:r>
          </w:p>
        </w:tc>
      </w:tr>
      <w:tr>
        <w:trPr>
          <w:trHeight w:val="392"/>
        </w:trPr>
        <w:tc>
          <w:tcPr>
            <w:tcW w:w="444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0"/>
              </w:rPr>
              <w:t>5300 South 360 West, Suite 250, Salt Lake City, Utah</w:t>
            </w:r>
          </w:p>
        </w:tc>
        <w:tc>
          <w:tcPr>
            <w:tcW w:w="3880" w:type="dxa"/>
            <w:vAlign w:val="bottom"/>
            <w:gridSpan w:val="5"/>
          </w:tcPr>
          <w:p>
            <w:pPr>
              <w:jc w:val="right"/>
              <w:ind w:right="200"/>
              <w:spacing w:after="0"/>
              <w:rPr>
                <w:sz w:val="20"/>
                <w:szCs w:val="20"/>
                <w:color w:val="auto"/>
              </w:rPr>
            </w:pPr>
            <w:r>
              <w:rPr>
                <w:rFonts w:ascii="Arial" w:cs="Arial" w:eastAsia="Arial" w:hAnsi="Arial"/>
                <w:sz w:val="18"/>
                <w:szCs w:val="18"/>
                <w:b w:val="1"/>
                <w:bCs w:val="1"/>
                <w:color w:val="auto"/>
              </w:rPr>
              <w:t>84123</w:t>
            </w:r>
          </w:p>
        </w:tc>
        <w:tc>
          <w:tcPr>
            <w:tcW w:w="86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4040" w:type="dxa"/>
            <w:vAlign w:val="bottom"/>
            <w:gridSpan w:val="3"/>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237"/>
        </w:trPr>
        <w:tc>
          <w:tcPr>
            <w:tcW w:w="160" w:type="dxa"/>
            <w:vAlign w:val="bottom"/>
          </w:tcPr>
          <w:p>
            <w:pPr>
              <w:spacing w:after="0"/>
              <w:rPr>
                <w:sz w:val="20"/>
                <w:szCs w:val="20"/>
                <w:color w:val="auto"/>
              </w:rPr>
            </w:pPr>
          </w:p>
        </w:tc>
        <w:tc>
          <w:tcPr>
            <w:tcW w:w="40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720" w:type="dxa"/>
            <w:vAlign w:val="bottom"/>
            <w:gridSpan w:val="4"/>
          </w:tcPr>
          <w:p>
            <w:pPr>
              <w:jc w:val="center"/>
              <w:ind w:right="860"/>
              <w:spacing w:after="0"/>
              <w:rPr>
                <w:sz w:val="20"/>
                <w:szCs w:val="20"/>
                <w:color w:val="auto"/>
              </w:rPr>
            </w:pPr>
            <w:r>
              <w:rPr>
                <w:rFonts w:ascii="Arial" w:cs="Arial" w:eastAsia="Arial" w:hAnsi="Arial"/>
                <w:sz w:val="18"/>
                <w:szCs w:val="18"/>
                <w:i w:val="1"/>
                <w:iCs w:val="1"/>
                <w:color w:val="auto"/>
                <w:w w:val="91"/>
              </w:rPr>
              <w:t>(Zip Code)</w:t>
            </w:r>
          </w:p>
        </w:tc>
      </w:tr>
      <w:tr>
        <w:trPr>
          <w:trHeight w:val="392"/>
        </w:trPr>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(801) 264-1060</w:t>
            </w: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79" w:lineRule="exact"/>
        <w:rPr>
          <w:sz w:val="24"/>
          <w:szCs w:val="24"/>
          <w:color w:val="auto"/>
        </w:rPr>
      </w:pPr>
    </w:p>
    <w:p>
      <w:pPr>
        <w:jc w:val="both"/>
        <w:ind w:firstLine="486"/>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35" w:lineRule="exact"/>
        <w:rPr>
          <w:sz w:val="24"/>
          <w:szCs w:val="24"/>
          <w:color w:val="auto"/>
        </w:rPr>
      </w:pPr>
    </w:p>
    <w:p>
      <w:pPr>
        <w:jc w:val="both"/>
        <w:ind w:firstLine="486"/>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spacing w:after="0" w:line="235" w:lineRule="exact"/>
        <w:rPr>
          <w:sz w:val="24"/>
          <w:szCs w:val="24"/>
          <w:color w:val="auto"/>
        </w:rPr>
      </w:pPr>
    </w:p>
    <w:p>
      <w:pPr>
        <w:jc w:val="both"/>
        <w:ind w:firstLine="48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549" w:right="239" w:bottom="1440" w:gutter="0" w:footer="0" w:header="0"/>
        </w:sectPr>
      </w:pPr>
    </w:p>
    <w:p>
      <w:pPr>
        <w:spacing w:after="0" w:line="235" w:lineRule="exact"/>
        <w:rPr>
          <w:sz w:val="24"/>
          <w:szCs w:val="24"/>
          <w:color w:val="auto"/>
        </w:rPr>
      </w:pPr>
    </w:p>
    <w:p>
      <w:pPr>
        <w:ind w:left="600"/>
        <w:spacing w:after="0"/>
        <w:rPr>
          <w:sz w:val="20"/>
          <w:szCs w:val="20"/>
          <w:color w:val="auto"/>
        </w:rPr>
      </w:pPr>
      <w:r>
        <w:rPr>
          <w:rFonts w:ascii="Arial" w:cs="Arial" w:eastAsia="Arial" w:hAnsi="Arial"/>
          <w:sz w:val="18"/>
          <w:szCs w:val="18"/>
          <w:color w:val="auto"/>
        </w:rPr>
        <w:t>Large accelerated filer [ ]</w:t>
      </w:r>
    </w:p>
    <w:p>
      <w:pPr>
        <w:spacing w:after="0" w:line="23" w:lineRule="exact"/>
        <w:rPr>
          <w:sz w:val="24"/>
          <w:szCs w:val="24"/>
          <w:color w:val="auto"/>
        </w:rPr>
      </w:pPr>
    </w:p>
    <w:p>
      <w:pPr>
        <w:ind w:left="600"/>
        <w:spacing w:after="0"/>
        <w:rPr>
          <w:sz w:val="20"/>
          <w:szCs w:val="20"/>
          <w:color w:val="auto"/>
        </w:rPr>
      </w:pPr>
      <w:r>
        <w:rPr>
          <w:rFonts w:ascii="Arial" w:cs="Arial" w:eastAsia="Arial" w:hAnsi="Arial"/>
          <w:sz w:val="16"/>
          <w:szCs w:val="16"/>
          <w:color w:val="auto"/>
        </w:rPr>
        <w:t>Non-accelerated filer [ ] (Do not check if a smaller reporting company)</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 [ ]</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 [ ]</w:t>
      </w:r>
    </w:p>
    <w:p>
      <w:pPr>
        <w:spacing w:after="0" w:line="200" w:lineRule="exact"/>
        <w:rPr>
          <w:sz w:val="24"/>
          <w:szCs w:val="24"/>
          <w:color w:val="auto"/>
        </w:rPr>
      </w:pPr>
    </w:p>
    <w:p>
      <w:pPr>
        <w:sectPr>
          <w:pgSz w:w="11900" w:h="16838" w:orient="portrait"/>
          <w:cols w:equalWidth="0" w:num="2">
            <w:col w:w="5760" w:space="240"/>
            <w:col w:w="5420"/>
          </w:cols>
          <w:pgMar w:left="240" w:top="549" w:right="239" w:bottom="1440" w:gutter="0" w:footer="0" w:header="0"/>
          <w:type w:val="continuous"/>
        </w:sectPr>
      </w:pPr>
    </w:p>
    <w:p>
      <w:pPr>
        <w:spacing w:after="0" w:line="76" w:lineRule="exact"/>
        <w:rPr>
          <w:sz w:val="24"/>
          <w:szCs w:val="24"/>
          <w:color w:val="auto"/>
        </w:rPr>
      </w:pPr>
    </w:p>
    <w:p>
      <w:pPr>
        <w:ind w:right="20" w:firstLine="486"/>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24"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No[X]</w:t>
      </w:r>
    </w:p>
    <w:p>
      <w:pPr>
        <w:spacing w:after="0" w:line="279"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79" w:lineRule="exact"/>
        <w:rPr>
          <w:sz w:val="24"/>
          <w:szCs w:val="24"/>
          <w:color w:val="auto"/>
        </w:rPr>
      </w:pPr>
    </w:p>
    <w:p>
      <w:pPr>
        <w:ind w:right="20" w:firstLine="486"/>
        <w:spacing w:after="0" w:line="277" w:lineRule="auto"/>
        <w:rPr>
          <w:sz w:val="20"/>
          <w:szCs w:val="20"/>
          <w:color w:val="auto"/>
        </w:rPr>
      </w:pPr>
      <w:r>
        <w:rPr>
          <w:rFonts w:ascii="Arial" w:cs="Arial" w:eastAsia="Arial" w:hAnsi="Arial"/>
          <w:sz w:val="18"/>
          <w:szCs w:val="18"/>
          <w:color w:val="auto"/>
        </w:rPr>
        <w:t>As of May 14, 2019, the registrant had 15,320,346 shares of Class A Common Stock, $2.00 par value, outstanding and 2,190,361 shares of Class C Common Stock, $2.00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SECURITY NATIONAL FINANCIAL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 ENDED MARCH 31, 2019</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460" w:type="dxa"/>
            <w:vAlign w:val="bottom"/>
          </w:tcPr>
          <w:p>
            <w:pPr>
              <w:jc w:val="center"/>
              <w:ind w:left="171"/>
              <w:spacing w:after="0"/>
              <w:rPr>
                <w:sz w:val="20"/>
                <w:szCs w:val="20"/>
                <w:color w:val="auto"/>
              </w:rPr>
            </w:pPr>
            <w:r>
              <w:rPr>
                <w:rFonts w:ascii="Arial" w:cs="Arial" w:eastAsia="Arial" w:hAnsi="Arial"/>
                <w:sz w:val="18"/>
                <w:szCs w:val="18"/>
                <w:b w:val="1"/>
                <w:bCs w:val="1"/>
                <w:color w:val="auto"/>
                <w:w w:val="89"/>
              </w:rPr>
              <w:t>Table of Contents</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3"/>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1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Page 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jc w:val="center"/>
              <w:ind w:left="131"/>
              <w:spacing w:after="0"/>
              <w:rPr>
                <w:sz w:val="20"/>
                <w:szCs w:val="20"/>
                <w:color w:val="auto"/>
              </w:rPr>
            </w:pPr>
            <w:r>
              <w:rPr>
                <w:rFonts w:ascii="Arial" w:cs="Arial" w:eastAsia="Arial" w:hAnsi="Arial"/>
                <w:sz w:val="18"/>
                <w:szCs w:val="18"/>
                <w:b w:val="1"/>
                <w:bCs w:val="1"/>
                <w:color w:val="auto"/>
                <w:w w:val="97"/>
              </w:rPr>
              <w:t>Part I - Financial Information</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Financial Statements</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Condensed Consolidated Balance Sheets as of March 31, 2019 and December 31, 2018 (unaudited)</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Condensed Consolidated Statements of Earnings for the three months Ended March 31, 2019 and 2018 (unaudited)</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Condensed Consolidated Statements of Comprehensive Income for the three months Ended March 31, 2019 and 2018</w:t>
            </w:r>
          </w:p>
        </w:tc>
        <w:tc>
          <w:tcPr>
            <w:tcW w:w="1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(unaudited)</w:t>
            </w: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Condensed Consolidated Statements of Stockholders' Equity as of March 31, 2019 and March 31, 2018 (unaudited)</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Condensed Consolidated Statements of Cash Flows for the three months Ended March 31, 2019 and 2018 (unaudited)</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to Condensed Consolidated Financial Statements (unaudited)</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Quantitative and Qualitative Disclosures about Market Risk</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Controls and Procedures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60" w:type="dxa"/>
            <w:vAlign w:val="bottom"/>
            <w:shd w:val="clear" w:color="auto" w:fill="CCEEFF"/>
          </w:tcPr>
          <w:p>
            <w:pPr>
              <w:jc w:val="center"/>
              <w:ind w:left="131"/>
              <w:spacing w:after="0"/>
              <w:rPr>
                <w:sz w:val="20"/>
                <w:szCs w:val="20"/>
                <w:color w:val="auto"/>
              </w:rPr>
            </w:pPr>
            <w:r>
              <w:rPr>
                <w:rFonts w:ascii="Arial" w:cs="Arial" w:eastAsia="Arial" w:hAnsi="Arial"/>
                <w:sz w:val="18"/>
                <w:szCs w:val="18"/>
                <w:b w:val="1"/>
                <w:bCs w:val="1"/>
                <w:color w:val="auto"/>
                <w:w w:val="97"/>
              </w:rPr>
              <w:t>Part II - Other Information</w:t>
            </w: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1.</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Legal Proceedings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1A.</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Risk Factors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2.</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Unregistered Sales of Equity Securities and Use of Proceeds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3.</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Defaults Upon Senior Securities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4.</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Mine Safety Disclosures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5.</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Information</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Item 6.</w:t>
            </w: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Exhibits</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Signature Page</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60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60" w:type="dxa"/>
            <w:vAlign w:val="bottom"/>
          </w:tcPr>
          <w:p>
            <w:pPr>
              <w:jc w:val="center"/>
              <w:ind w:left="151"/>
              <w:spacing w:after="0"/>
              <w:rPr>
                <w:sz w:val="20"/>
                <w:szCs w:val="20"/>
                <w:color w:val="auto"/>
              </w:rPr>
            </w:pPr>
            <w:r>
              <w:rPr>
                <w:rFonts w:ascii="Arial" w:cs="Arial" w:eastAsia="Arial" w:hAnsi="Arial"/>
                <w:sz w:val="14"/>
                <w:szCs w:val="14"/>
                <w:color w:val="auto"/>
                <w:w w:val="76"/>
              </w:rPr>
              <w:t>2</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94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5"/>
        </w:trPr>
        <w:tc>
          <w:tcPr>
            <w:tcW w:w="2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March 31</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7"/>
        </w:trPr>
        <w:tc>
          <w:tcPr>
            <w:tcW w:w="88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maturity securities, held to maturity, at amortized cost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231,378,413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232,078,723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Equity securities at estimated fair value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6,927,352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5,558,611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Mortgage loans held for investment (net of allowances for loan losses of $1,378,215 and $1,347,972 for 2019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196,344,356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186,465,069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w w:val="91"/>
              </w:rPr>
              <w:t>Real estate held for investment (net of accumulated depreciation of $17,213,134 and $16,739,578 for 2019 and 2018)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121,282,747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121,558,222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Other investments and policy loans (net of allowances for doubtful accounts of $1,263,475 and $1,092,528 for 2019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and 2018)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50,649,956</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46,617,655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ind w:left="180"/>
              <w:spacing w:after="0"/>
              <w:rPr>
                <w:sz w:val="20"/>
                <w:szCs w:val="20"/>
                <w:color w:val="auto"/>
              </w:rPr>
            </w:pPr>
            <w:r>
              <w:rPr>
                <w:rFonts w:ascii="Arial" w:cs="Arial" w:eastAsia="Arial" w:hAnsi="Arial"/>
                <w:sz w:val="18"/>
                <w:szCs w:val="18"/>
                <w:color w:val="auto"/>
              </w:rPr>
              <w:t>Accrued investment income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3,712,606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3,566,146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610,295,430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595,844,426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130,133,196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142,199,942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 at estimated fair value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123,374,303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136,210,853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Receivables (net of allowances for doubtful accounts of $1,538,608 and $1,519,842 for 2019 and 2018)</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8,990,449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8,935,343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(including $799,835 and $744,673 for 2019 and 2018 at estimated fair value)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12,087,375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w w:val="91"/>
              </w:rPr>
              <w:t>Cemetery perpetual care trust investments (including $543,284 and $483,353 for 2019 and 2018 at estimated fair value)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4,080,363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4,335,869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reinsurers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10,852,082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10,820,102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Cemetery land and improvements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9,873,851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9,878,427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Deferred policy and pre-need contract acquisition costs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90,734,682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89,362,096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Mortgage servicing rights, net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19,049,013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20,016,822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9,347,138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7,010,778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Value of business acquired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5,626,782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5,765,190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3,516,315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2,765,570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17,810,980</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6,684,143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w w:val="88"/>
              </w:rPr>
              <w:t>1,055,771,959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1,050,811,123</w:t>
            </w:r>
          </w:p>
        </w:tc>
        <w:tc>
          <w:tcPr>
            <w:tcW w:w="0" w:type="dxa"/>
            <w:vAlign w:val="bottom"/>
          </w:tcPr>
          <w:p>
            <w:pPr>
              <w:spacing w:after="0"/>
              <w:rPr>
                <w:sz w:val="1"/>
                <w:szCs w:val="1"/>
                <w:color w:val="auto"/>
              </w:rPr>
            </w:pPr>
          </w:p>
        </w:tc>
      </w:tr>
      <w:tr>
        <w:trPr>
          <w:trHeight w:val="21"/>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condensed consolidated financial statements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8800" w:type="dxa"/>
            <w:vAlign w:val="bottom"/>
            <w:gridSpan w:val="2"/>
          </w:tcPr>
          <w:p>
            <w:pPr>
              <w:ind w:left="5680"/>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 (Continued)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March 31</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80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Future policy benefits and unpaid claims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623,507,974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620,399,714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Unearned premium reserve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3,859,495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3,920,473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Bank and other loans payable</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175,090,614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187,521,188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Deferred pre-need cemetery and mortuary contract revenues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12,650,552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12,508,625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obligation</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3,851,164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3,821,979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3,407,759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2,883,349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and accrued expenses</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42,713,828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31,821,624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16,641,088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16,122,998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881,722,474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878,999,950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Preferred Stock - non-voting - $1.00 par value; 5,000,000 shares authorized; none issued or outstanding</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Class A: common stock - $2.00 par value; 20,000,000 shares authorized; issued 15,312,687 shares in 2019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15,304,798 shares in 2018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30,625,374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30,609,596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w w:val="99"/>
              </w:rPr>
              <w:t>Class B: non-voting common stock - $1.00 par value; 5,000,000 shares authorized; none issued or outstanding</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Class C: convertible common stock - $2.00 par value; 3,000,000 shares authorized; issued 2,190,361 shares in 2019 and</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2,193,643 shares in 2018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4,380,722</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4,387,286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42,190,568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41,821,778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net of taxes</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97,131,281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95,201,732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- 261,384 Class A shares in 2019 and 302,541 Class A shares in 2018</w:t>
            </w: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(276,457)</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(206,396)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174,049,485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171,811,173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1,055,771,959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1,050,811,123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80"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gridSpan w:val="6"/>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8"/>
                <w:szCs w:val="18"/>
                <w:color w:val="auto"/>
              </w:rPr>
              <w:t>March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spacing w:after="0"/>
              <w:rPr>
                <w:sz w:val="20"/>
                <w:szCs w:val="20"/>
                <w:color w:val="auto"/>
              </w:rPr>
            </w:pPr>
            <w:r>
              <w:rPr>
                <w:rFonts w:ascii="Arial" w:cs="Arial" w:eastAsia="Arial" w:hAnsi="Arial"/>
                <w:sz w:val="18"/>
                <w:szCs w:val="18"/>
                <w:b w:val="1"/>
                <w:bCs w:val="1"/>
                <w:color w:val="auto"/>
              </w:rPr>
              <w:t>Revenues: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Insurance premiums and other considerations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19,027,002</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18,810,358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Net investment income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10,041,668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10,074,431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Net mortuary and cemetery sales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3,678,628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3,232,729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Gains on investments and other assets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1,806,661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22,020,939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Mortgage fee income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24,478,871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25,460,160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2,461,005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2,477,492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61,493,835</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82,076,109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Benefits and expenses: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Death benefits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10,077,903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9,608,098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Surrenders and other policy benefits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865,931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Increase in future policy benefits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5,751,130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5,584,936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policy and pre-need acquisition costs and value of business acquired</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3,128,274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Commissions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9,675,092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11,282,401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Arial" w:cs="Arial" w:eastAsia="Arial" w:hAnsi="Arial"/>
                <w:sz w:val="18"/>
                <w:szCs w:val="18"/>
                <w:color w:val="auto"/>
              </w:rPr>
              <w:t>Personnel</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15,031,336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16,566,688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Advertising</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1,033,175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Arial" w:cs="Arial" w:eastAsia="Arial" w:hAnsi="Arial"/>
                <w:sz w:val="18"/>
                <w:szCs w:val="18"/>
                <w:color w:val="auto"/>
              </w:rPr>
              <w:t>Rent and rent related</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1,904,288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1,963,350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on property and equipment</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ind w:left="180"/>
              <w:spacing w:after="0"/>
              <w:rPr>
                <w:sz w:val="20"/>
                <w:szCs w:val="20"/>
                <w:color w:val="auto"/>
              </w:rPr>
            </w:pPr>
            <w:r>
              <w:rPr>
                <w:rFonts w:ascii="Arial" w:cs="Arial" w:eastAsia="Arial" w:hAnsi="Arial"/>
                <w:sz w:val="18"/>
                <w:szCs w:val="18"/>
                <w:color w:val="auto"/>
              </w:rPr>
              <w:t>Costs related to funding mortgage loans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1,354,925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1,369,281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7,645,127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6,810,324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1,491,887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1,761,677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goods and services sold-mortuaries and cemeteries</w:t>
            </w:r>
          </w:p>
        </w:tc>
        <w:tc>
          <w:tcPr>
            <w:tcW w:w="5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652,928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515,490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Total benefits and expenses</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59,061,676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60,888,928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b w:val="1"/>
                <w:bCs w:val="1"/>
                <w:color w:val="auto"/>
              </w:rPr>
              <w:t>Earnings before income taxes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2,432,159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21,187,181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(501,841)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(4,261,258)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1,930,318</w:t>
            </w:r>
          </w:p>
        </w:tc>
        <w:tc>
          <w:tcPr>
            <w:tcW w:w="1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16,925,923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 per Class A Equivalent common share (1)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earnings per Class A Equivalent common share-assuming dilution (1)</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Class A equivalent common share outstanding (1)</w:t>
            </w:r>
          </w:p>
        </w:tc>
        <w:tc>
          <w:tcPr>
            <w:tcW w:w="5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17,239,564</w:t>
            </w:r>
          </w:p>
        </w:tc>
        <w:tc>
          <w:tcPr>
            <w:tcW w:w="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16,993,229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Class A equivalent common shares outstanding-assuming dilution (1)</w:t>
            </w:r>
          </w:p>
        </w:tc>
        <w:tc>
          <w:tcPr>
            <w:tcW w:w="5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17,450,120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17,178,412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320" w:type="dxa"/>
            <w:vAlign w:val="bottom"/>
            <w:gridSpan w:val="2"/>
          </w:tcPr>
          <w:p>
            <w:pPr>
              <w:spacing w:after="0"/>
              <w:rPr>
                <w:sz w:val="20"/>
                <w:szCs w:val="20"/>
                <w:color w:val="auto"/>
              </w:rPr>
            </w:pPr>
            <w:r>
              <w:rPr>
                <w:rFonts w:ascii="Arial" w:cs="Arial" w:eastAsia="Arial" w:hAnsi="Arial"/>
                <w:sz w:val="18"/>
                <w:szCs w:val="18"/>
                <w:color w:val="auto"/>
                <w:w w:val="95"/>
              </w:rPr>
              <w:t>(1) Net earnings per share amounts have been adjusted retroactively for the effect of annual stock dividends.</w:t>
            </w: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80"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5"/>
          </w:tcPr>
          <w:p>
            <w:pPr>
              <w:ind w:left="240"/>
              <w:spacing w:after="0"/>
              <w:rPr>
                <w:sz w:val="20"/>
                <w:szCs w:val="20"/>
                <w:color w:val="auto"/>
              </w:rPr>
            </w:pPr>
            <w:r>
              <w:rPr>
                <w:rFonts w:ascii="Arial" w:cs="Arial" w:eastAsia="Arial" w:hAnsi="Arial"/>
                <w:sz w:val="18"/>
                <w:szCs w:val="18"/>
                <w:color w:val="auto"/>
              </w:rPr>
              <w:t>Three Months Ended</w:t>
            </w:r>
          </w:p>
        </w:tc>
      </w:tr>
      <w:tr>
        <w:trPr>
          <w:trHeight w:val="237"/>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March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earnings</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1,930,318</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16,925,923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180"/>
              <w:spacing w:after="0"/>
              <w:rPr>
                <w:sz w:val="20"/>
                <w:szCs w:val="20"/>
                <w:color w:val="auto"/>
              </w:rPr>
            </w:pPr>
            <w:r>
              <w:rPr>
                <w:rFonts w:ascii="Arial" w:cs="Arial" w:eastAsia="Arial" w:hAnsi="Arial"/>
                <w:sz w:val="18"/>
                <w:szCs w:val="18"/>
                <w:color w:val="auto"/>
              </w:rPr>
              <w:t>Other comprehensive income, before income tax</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1,092</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comprehensive income, net of income tax</w:t>
            </w: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820</w:t>
            </w:r>
          </w:p>
        </w:tc>
        <w:tc>
          <w:tcPr>
            <w:tcW w:w="2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1,931,138</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16,925,923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80"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10"/>
          </w:tcPr>
          <w:p>
            <w:pPr>
              <w:jc w:val="center"/>
              <w:ind w:right="420"/>
              <w:spacing w:after="0"/>
              <w:rPr>
                <w:sz w:val="20"/>
                <w:szCs w:val="20"/>
                <w:color w:val="auto"/>
              </w:rPr>
            </w:pPr>
            <w:r>
              <w:rPr>
                <w:rFonts w:ascii="Arial" w:cs="Arial" w:eastAsia="Arial" w:hAnsi="Arial"/>
                <w:sz w:val="18"/>
                <w:szCs w:val="18"/>
                <w:color w:val="auto"/>
                <w:w w:val="91"/>
              </w:rPr>
              <w:t>Three Months Ended March 31, 2019</w:t>
            </w: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line="201" w:lineRule="exact"/>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Class A</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Class C</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Paid-in</w:t>
            </w:r>
          </w:p>
        </w:tc>
        <w:tc>
          <w:tcPr>
            <w:tcW w:w="8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color w:val="auto"/>
                <w:w w:val="99"/>
              </w:rPr>
              <w:t>Comprehensive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Retained</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Treasury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Common Stock</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2"/>
              </w:rPr>
              <w:t>Capital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Earnings</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2019</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30,609,596</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4,387,286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41,821,778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(2,823)</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95,201,732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(206,396)</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171,811,173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1,930,318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1,930,318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tcPr>
          <w:p>
            <w:pPr>
              <w:spacing w:after="0" w:line="201" w:lineRule="exact"/>
              <w:rPr>
                <w:sz w:val="20"/>
                <w:szCs w:val="20"/>
                <w:color w:val="auto"/>
              </w:rPr>
            </w:pPr>
            <w:r>
              <w:rPr>
                <w:rFonts w:ascii="Arial" w:cs="Arial" w:eastAsia="Arial" w:hAnsi="Arial"/>
                <w:sz w:val="18"/>
                <w:szCs w:val="18"/>
                <w:color w:val="auto"/>
              </w:rPr>
              <w:t>Other comprehensive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spacing w:after="0"/>
              <w:rPr>
                <w:sz w:val="20"/>
                <w:szCs w:val="20"/>
                <w:color w:val="auto"/>
              </w:rPr>
            </w:pPr>
            <w:r>
              <w:rPr>
                <w:rFonts w:ascii="Arial" w:cs="Arial" w:eastAsia="Arial" w:hAnsi="Arial"/>
                <w:sz w:val="18"/>
                <w:szCs w:val="18"/>
                <w:color w:val="auto"/>
              </w:rPr>
              <w:t>gain</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64,704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w w:val="93"/>
              </w:rPr>
              <w:t>Exercise of stock options</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Sale of treasury stock</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337,496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tcPr>
          <w:p>
            <w:pPr>
              <w:spacing w:after="0" w:line="201" w:lineRule="exact"/>
              <w:rPr>
                <w:sz w:val="20"/>
                <w:szCs w:val="20"/>
                <w:color w:val="auto"/>
              </w:rPr>
            </w:pPr>
            <w:r>
              <w:rPr>
                <w:rFonts w:ascii="Arial" w:cs="Arial" w:eastAsia="Arial" w:hAnsi="Arial"/>
                <w:sz w:val="18"/>
                <w:szCs w:val="18"/>
                <w:color w:val="auto"/>
              </w:rPr>
              <w:t>Purchase of treasury</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spacing w:after="0"/>
              <w:rPr>
                <w:sz w:val="20"/>
                <w:szCs w:val="20"/>
                <w:color w:val="auto"/>
              </w:rPr>
            </w:pPr>
            <w:r>
              <w:rPr>
                <w:rFonts w:ascii="Arial" w:cs="Arial" w:eastAsia="Arial" w:hAnsi="Arial"/>
                <w:sz w:val="18"/>
                <w:szCs w:val="18"/>
                <w:color w:val="auto"/>
              </w:rPr>
              <w:t>stock</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(112,404)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(112,404)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Stock dividends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tcPr>
          <w:p>
            <w:pPr>
              <w:spacing w:after="0" w:line="201" w:lineRule="exact"/>
              <w:rPr>
                <w:sz w:val="20"/>
                <w:szCs w:val="20"/>
                <w:color w:val="auto"/>
              </w:rPr>
            </w:pPr>
            <w:r>
              <w:rPr>
                <w:rFonts w:ascii="Arial" w:cs="Arial" w:eastAsia="Arial" w:hAnsi="Arial"/>
                <w:sz w:val="18"/>
                <w:szCs w:val="18"/>
                <w:color w:val="auto"/>
              </w:rPr>
              <w:t>Conversion Class C to</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900" w:type="dxa"/>
            <w:vAlign w:val="bottom"/>
            <w:gridSpan w:val="2"/>
          </w:tcPr>
          <w:p>
            <w:pPr>
              <w:spacing w:after="0"/>
              <w:rPr>
                <w:sz w:val="20"/>
                <w:szCs w:val="20"/>
                <w:color w:val="auto"/>
              </w:rPr>
            </w:pPr>
            <w:r>
              <w:rPr>
                <w:rFonts w:ascii="Arial" w:cs="Arial" w:eastAsia="Arial" w:hAnsi="Arial"/>
                <w:sz w:val="18"/>
                <w:szCs w:val="18"/>
                <w:color w:val="auto"/>
              </w:rPr>
              <w:t>Class A</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6,560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(6,560)</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March 31, 2019</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30,625,374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4,380,722</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42,190,568</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97,131,281</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(276,457)</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174,049,485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10"/>
          </w:tcPr>
          <w:p>
            <w:pPr>
              <w:jc w:val="center"/>
              <w:ind w:right="420"/>
              <w:spacing w:after="0"/>
              <w:rPr>
                <w:sz w:val="20"/>
                <w:szCs w:val="20"/>
                <w:color w:val="auto"/>
              </w:rPr>
            </w:pPr>
            <w:r>
              <w:rPr>
                <w:rFonts w:ascii="Arial" w:cs="Arial" w:eastAsia="Arial" w:hAnsi="Arial"/>
                <w:sz w:val="18"/>
                <w:szCs w:val="18"/>
                <w:color w:val="auto"/>
                <w:w w:val="91"/>
              </w:rPr>
              <w:t>Three Months Ended March 31, 2018</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center"/>
              <w:ind w:right="180"/>
              <w:spacing w:after="0" w:line="201" w:lineRule="exact"/>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6"/>
              </w:rPr>
              <w:t>Additional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color w:val="auto"/>
              </w:rPr>
              <w:t>Class A</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Class C</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Paid-in</w:t>
            </w:r>
          </w:p>
        </w:tc>
        <w:tc>
          <w:tcPr>
            <w:tcW w:w="8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w w:val="91"/>
              </w:rPr>
              <w:t>Comprehensive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Retained</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Treasury</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Common Stock</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Capital</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Income</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8"/>
              </w:rPr>
              <w:t>Earnings</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3"/>
              </w:rPr>
              <w:t>Stock</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January 1, 2018</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29,071,154</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4,178,748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38,125,042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603,170</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77,520,951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(931,075)</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148,567,990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16,925,923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16,925,923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tcPr>
          <w:p>
            <w:pPr>
              <w:spacing w:after="0" w:line="201" w:lineRule="exact"/>
              <w:rPr>
                <w:sz w:val="20"/>
                <w:szCs w:val="20"/>
                <w:color w:val="auto"/>
              </w:rPr>
            </w:pPr>
            <w:r>
              <w:rPr>
                <w:rFonts w:ascii="Arial" w:cs="Arial" w:eastAsia="Arial" w:hAnsi="Arial"/>
                <w:sz w:val="18"/>
                <w:szCs w:val="18"/>
                <w:color w:val="auto"/>
              </w:rPr>
              <w:t>Cumulative effect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adjustment upon</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adoption of new</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8"/>
                <w:szCs w:val="18"/>
                <w:color w:val="auto"/>
              </w:rPr>
              <w:t>accounting standard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00" w:type="dxa"/>
            <w:vAlign w:val="bottom"/>
            <w:gridSpan w:val="2"/>
          </w:tcPr>
          <w:p>
            <w:pPr>
              <w:spacing w:after="0"/>
              <w:rPr>
                <w:sz w:val="20"/>
                <w:szCs w:val="20"/>
                <w:color w:val="auto"/>
              </w:rPr>
            </w:pPr>
            <w:r>
              <w:rPr>
                <w:rFonts w:ascii="Arial" w:cs="Arial" w:eastAsia="Arial" w:hAnsi="Arial"/>
                <w:sz w:val="18"/>
                <w:szCs w:val="18"/>
                <w:color w:val="auto"/>
              </w:rPr>
              <w:t>(ASU 2016-01)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(603,170)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603,170</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58,087</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Sale of treasury stock</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88,964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222,410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color w:val="auto"/>
                <w:w w:val="93"/>
              </w:rPr>
              <w:t>Exercise of stock options</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63,968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(22,115)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Stock dividends</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5,362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(8,878)</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March 31, 2018</w:t>
            </w:r>
          </w:p>
        </w:tc>
        <w:tc>
          <w:tcPr>
            <w:tcW w:w="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29,138,642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4,178,744</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38,255,340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95,041,166</w:t>
            </w: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(708,665)</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165,905,227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condensed consolidated financial statements (unaudited).</w:t>
      </w:r>
    </w:p>
    <w:p>
      <w:pPr>
        <w:spacing w:after="0" w:line="180"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6"/>
          </w:tcPr>
          <w:p>
            <w:pPr>
              <w:jc w:val="right"/>
              <w:ind w:right="60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6"/>
          </w:tcPr>
          <w:p>
            <w:pPr>
              <w:jc w:val="right"/>
              <w:ind w:right="1000"/>
              <w:spacing w:after="0"/>
              <w:rPr>
                <w:sz w:val="20"/>
                <w:szCs w:val="20"/>
                <w:color w:val="auto"/>
              </w:rPr>
            </w:pPr>
            <w:r>
              <w:rPr>
                <w:rFonts w:ascii="Arial" w:cs="Arial" w:eastAsia="Arial" w:hAnsi="Arial"/>
                <w:sz w:val="18"/>
                <w:szCs w:val="18"/>
                <w:color w:val="auto"/>
              </w:rPr>
              <w:t>March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provided by operating activities</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19,519,486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8,712,560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Purchases of fixed maturity securities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(928,996)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(7,155,114)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Calls and maturities of fixed maturity securities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1,541,770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3,604,516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Purchases of equity securities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(1,061,710)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(1,084,398)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Sales of equity securities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355,562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changes in restricted assets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(482,975)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(48,832)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perpetual care trusts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484,581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2,376,461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Mortgage loans, other investments and policy loans made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(137,912,509)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(132,321,562)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Payments received for mortgage loans, other investments and policy loans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123,293,624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131,816,474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(76,403)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(169,564)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Sale of property and equipment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Purchase of real estate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(1,309,373)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(768,942)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Sale of real estate</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2,349,864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58,476,379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paid for purchase of subsidiaries, net of cash acquired</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(3,261,788)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cash provided by (used in) investing activities</w:t>
            </w:r>
          </w:p>
        </w:tc>
        <w:tc>
          <w:tcPr>
            <w:tcW w:w="10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(17,007,554)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55,696,134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Investment contract receipts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2,760,871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2,867,412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Investment contract withdrawals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(3,959,861)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(4,410,074)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Proceeds from stock options exercised</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17,380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(112,404)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Repayment of bank and other loans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(46,299,191)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(27,369,431)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borrowing on bank loans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47,273,807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20,421,042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Net change in warehouse line borrowings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(13,643,525)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(309,286)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line of credit borrowings</w:t>
            </w:r>
          </w:p>
        </w:tc>
        <w:tc>
          <w:tcPr>
            <w:tcW w:w="10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260"/>
              <w:spacing w:after="0"/>
              <w:rPr>
                <w:sz w:val="20"/>
                <w:szCs w:val="20"/>
                <w:color w:val="auto"/>
              </w:rPr>
            </w:pPr>
            <w:r>
              <w:rPr>
                <w:rFonts w:ascii="Arial" w:cs="Arial" w:eastAsia="Arial" w:hAnsi="Arial"/>
                <w:sz w:val="18"/>
                <w:szCs w:val="18"/>
                <w:color w:val="auto"/>
              </w:rPr>
              <w:t>Net cash used in financing activities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(13,962,923)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(7,508,484)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Net change in cash, cash equivalents, restricted cash and restricted cash equivalents</w:t>
            </w: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(11,450,991)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56,900,210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Cash, cash equivalents, restricted cash and restricted cash equivalents at beginning of period</w:t>
            </w:r>
          </w:p>
        </w:tc>
        <w:tc>
          <w:tcPr>
            <w:tcW w:w="1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150,936,673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54,501,923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Cash, cash equivalents, restricted cash and restricted cash equivalents at end of period</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7"/>
              </w:rPr>
              <w:t>139,485,682</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111,402,133</w:t>
            </w:r>
          </w:p>
        </w:tc>
        <w:tc>
          <w:tcPr>
            <w:tcW w:w="0" w:type="dxa"/>
            <w:vAlign w:val="bottom"/>
          </w:tcPr>
          <w:p>
            <w:pPr>
              <w:spacing w:after="0"/>
              <w:rPr>
                <w:sz w:val="1"/>
                <w:szCs w:val="1"/>
                <w:color w:val="auto"/>
              </w:rPr>
            </w:pPr>
          </w:p>
        </w:tc>
      </w:tr>
      <w:tr>
        <w:trPr>
          <w:trHeight w:val="21"/>
        </w:trPr>
        <w:tc>
          <w:tcPr>
            <w:tcW w:w="77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paid during the year for:</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Interest</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1,508,895</w:t>
            </w:r>
          </w:p>
        </w:tc>
        <w:tc>
          <w:tcPr>
            <w:tcW w:w="14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1,674,074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Income taxes (net of refunds)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(15,975)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Cash Operating, Investing and Financing Activities: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11,931,889</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finance lease liabilities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Accrued real estate construction costs and retainage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786,859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26,769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 for investment foreclosed into real estate held for investment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Benefit plans funded with treasury stock</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337,496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 for investment foreclosed into receivables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Transfer of loans held for sale to mortgage loans held for investment</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139,464</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See Note 15 regarding non cash transactions included in the acquisition of Probst Family Funeral and Cremations and Heber Valley Funeral Home.</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Reconciliation of cash, cash equivalents, restricted cash and restricted cash equivalents as shown in the condensed consolidated statements of cash flows is presented in the table below:</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40" w:type="dxa"/>
            <w:vAlign w:val="bottom"/>
            <w:gridSpan w:val="6"/>
          </w:tcPr>
          <w:p>
            <w:pPr>
              <w:ind w:left="32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March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130,133,196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101,728,202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Restricted assets</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7,751,804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7,468,609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Cemetery perpetual care trust investments</w:t>
            </w:r>
          </w:p>
        </w:tc>
        <w:tc>
          <w:tcPr>
            <w:tcW w:w="1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1,600,682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2,205,322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Total cash, cash equivalents, restricted cash and restricted cash equivalents</w:t>
            </w:r>
          </w:p>
        </w:tc>
        <w:tc>
          <w:tcPr>
            <w:tcW w:w="15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139,485,682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111,402,133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7480" w:type="dxa"/>
            <w:vAlign w:val="bottom"/>
            <w:gridSpan w:val="2"/>
          </w:tcPr>
          <w:p>
            <w:pPr>
              <w:spacing w:after="0"/>
              <w:rPr>
                <w:sz w:val="20"/>
                <w:szCs w:val="20"/>
                <w:color w:val="auto"/>
              </w:rPr>
            </w:pPr>
            <w:r>
              <w:rPr>
                <w:rFonts w:ascii="Arial" w:cs="Arial" w:eastAsia="Arial" w:hAnsi="Arial"/>
                <w:sz w:val="18"/>
                <w:szCs w:val="18"/>
                <w:color w:val="auto"/>
              </w:rPr>
              <w:t>See accompanying notes to condensed consolidated financial statements (unaudited).</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7480" w:type="dxa"/>
            <w:vAlign w:val="bottom"/>
            <w:gridSpan w:val="2"/>
          </w:tcPr>
          <w:p>
            <w:pPr>
              <w:jc w:val="right"/>
              <w:ind w:right="1650"/>
              <w:spacing w:after="0"/>
              <w:rPr>
                <w:sz w:val="20"/>
                <w:szCs w:val="20"/>
                <w:color w:val="auto"/>
              </w:rPr>
            </w:pPr>
            <w:r>
              <w:rPr>
                <w:rFonts w:ascii="Arial" w:cs="Arial" w:eastAsia="Arial" w:hAnsi="Arial"/>
                <w:sz w:val="14"/>
                <w:szCs w:val="14"/>
                <w:color w:val="auto"/>
              </w:rPr>
              <w:t>9</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46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9" w:name="page10"/>
    <w:bookmarkEnd w:id="9"/>
    <w:p>
      <w:pPr>
        <w:ind w:left="2780"/>
        <w:spacing w:after="0"/>
        <w:rPr>
          <w:sz w:val="20"/>
          <w:szCs w:val="20"/>
          <w:color w:val="auto"/>
        </w:rPr>
      </w:pPr>
      <w:r>
        <w:rPr>
          <w:rFonts w:ascii="Arial" w:cs="Arial" w:eastAsia="Arial" w:hAnsi="Arial"/>
          <w:sz w:val="18"/>
          <w:szCs w:val="18"/>
          <w:color w:val="auto"/>
        </w:rPr>
        <w:t>SECURITY NATIONAL FINANCIAL CORPORATION AND SUBSIDIARIES</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March 31, 2019 (Unaudited)</w:t>
      </w:r>
    </w:p>
    <w:p>
      <w:pPr>
        <w:spacing w:after="0" w:line="265"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Basis of Presentation</w:t>
      </w:r>
    </w:p>
    <w:p>
      <w:pPr>
        <w:spacing w:after="0" w:line="279"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of America for interim financial information and with the instructions to Form 10</w:t>
      </w:r>
      <w:r>
        <w:rPr>
          <w:rFonts w:ascii="MS PGothic" w:cs="MS PGothic" w:eastAsia="MS PGothic" w:hAnsi="MS PGothic"/>
          <w:sz w:val="16"/>
          <w:szCs w:val="16"/>
          <w:color w:val="auto"/>
        </w:rPr>
        <w:t>‑</w:t>
      </w:r>
      <w:r>
        <w:rPr>
          <w:rFonts w:ascii="Arial" w:cs="Arial" w:eastAsia="Arial" w:hAnsi="Arial"/>
          <w:sz w:val="16"/>
          <w:szCs w:val="16"/>
          <w:color w:val="auto"/>
        </w:rPr>
        <w:t>Q and Articles 8 and 10 of Regulation S</w:t>
      </w:r>
      <w:r>
        <w:rPr>
          <w:rFonts w:ascii="MS PGothic" w:cs="MS PGothic" w:eastAsia="MS PGothic" w:hAnsi="MS PGothic"/>
          <w:sz w:val="16"/>
          <w:szCs w:val="16"/>
          <w:color w:val="auto"/>
        </w:rPr>
        <w:t>‑</w:t>
      </w:r>
      <w:r>
        <w:rPr>
          <w:rFonts w:ascii="Arial" w:cs="Arial" w:eastAsia="Arial" w:hAnsi="Arial"/>
          <w:sz w:val="16"/>
          <w:szCs w:val="16"/>
          <w:color w:val="auto"/>
        </w:rPr>
        <w:t>X. Accordingly, they do not include all of the information and disclosures required by accounting principles generally accepted in the United States of America for complete financial statements. These financial statements should be read in conjunction with the consolidated financial statements of the Company and notes thereto for the year ended December 31, 2018, included in the Company’s Annual Report on Form 10-K (File Number 000-09341). In the opinion of management, all adjustments (consisting of normal recurring accruals) considered necessary for a fair presentation have been included. Operating results for the three months ended March 31, 2019 are not necessarily indicative of the results that may be expected for the year ending December 31, 2019.</w:t>
      </w:r>
    </w:p>
    <w:p>
      <w:pPr>
        <w:spacing w:after="0" w:line="25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amounts reported in the financial statements and accompanying notes. Actual results could differ from those estimates.</w:t>
      </w:r>
    </w:p>
    <w:p>
      <w:pPr>
        <w:spacing w:after="0" w:line="23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Material estimates that are particularly susceptible to significant changes in the near term are those used in determining the value of derivative assets and liabilities; those used in determining deferred acquisition costs and the value of business acquired; those used in determining the value of mortgage loans foreclosed to real estate held for investment; those used in determining the liability for future policy benefits; those used in determining the value of mortgage servicing rights; those used in determining allowances for loan losses for mortgage loans held for investment; those used in determining loan loss reserve; and those used in determining deferred tax assets and liabilities. Although some variability is inherent in these estimates, management believes the amounts provided are fairly stated in all material respects.</w:t>
      </w:r>
    </w:p>
    <w:p>
      <w:pPr>
        <w:spacing w:after="0" w:line="247"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Recent Accounting Pronouncements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Adopted in 2019</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ASU No. 2016-02: “Leases (Topic 842)”</w:t>
      </w:r>
      <w:r>
        <w:rPr>
          <w:rFonts w:ascii="Arial" w:cs="Arial" w:eastAsia="Arial" w:hAnsi="Arial"/>
          <w:sz w:val="18"/>
          <w:szCs w:val="18"/>
          <w:color w:val="auto"/>
        </w:rPr>
        <w:t xml:space="preserve"> - Issued in February 2016, ASU 2016-02 supersedes the requirements in Accounting Standards Codification (“ASC”) Topic 840, “Leases”, and was issued to increase transparency and comparability among organizations. The new standard sets forth the principles for the recognition, measurement, presentation, and disclosure of leases for both lessees and lessors. ASU 2016-02 requires lessees to classify leases as either finance or operating leases and to record on the balance sheet right-of-use assets and lease liabilities, equal to the present value of the remaining lease payments. The lease classification will determine whether the lease expense is recognized based on an effective interest rate method or a straight-line basis over the term of the leases. The FASB further clarified ASU 2016-02 and provided targeted improvements by issuing ASU 2018-01, ASU 2018-10, ASU 2018-11 and ASU 2018-20.</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adopted this standard on January 1, 2019 using the modified retrospective transition method with no cumulative-effect adjustment to the opening balance of retained earnings. Under this transition method, the application date was the beginning of the reporting period, January 1, 2019, in which the Company first applied the standard. Under this transition option, the Company will apply the legacy guidance in ASC 840, “Leases”, including its disclosure requirements, in the comparative periods presented in the year of adoption. The Company has made an accounting policy election not to apply the recognition requirements to short-term leases, which are leases that, at the commencement date, have a lease term of 12 months or less and do not include an option to purchase the underlying assets that the lessee is reasonably certain to exercise. The new authoritative guidance allows for certain practical expedients to be utilized to assist with the implementation of the new standard. The Company has elected the transition package of practical expedients which allows the Company to not reassess whether any expired or existing contracts are or contain leases, to not reassess the lease classification for any expired or existing leases and to not reassess initial direct costs for any existing leases.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 w:name="page11"/>
    <w:bookmarkEnd w:id="10"/>
    <w:p>
      <w:pPr>
        <w:ind w:left="2780"/>
        <w:spacing w:after="0"/>
        <w:rPr>
          <w:sz w:val="20"/>
          <w:szCs w:val="20"/>
          <w:color w:val="auto"/>
        </w:rPr>
      </w:pPr>
      <w:r>
        <w:rPr>
          <w:rFonts w:ascii="Arial" w:cs="Arial" w:eastAsia="Arial" w:hAnsi="Arial"/>
          <w:sz w:val="18"/>
          <w:szCs w:val="18"/>
          <w:color w:val="auto"/>
        </w:rPr>
        <w:t>SECURITY NATIONAL FINANCIAL CORPORATION AND SUBSIDIARIES</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March 31, 2019 (Unaudited)</w:t>
      </w:r>
    </w:p>
    <w:p>
      <w:pPr>
        <w:spacing w:after="0" w:line="265"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Recent Accounting Pronouncements</w:t>
      </w:r>
      <w:r>
        <w:rPr>
          <w:rFonts w:ascii="Arial" w:cs="Arial" w:eastAsia="Arial" w:hAnsi="Arial"/>
          <w:sz w:val="18"/>
          <w:szCs w:val="18"/>
          <w:color w:val="auto"/>
        </w:rPr>
        <w:t xml:space="preserve"> (Continued)</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implemented a third-party lease accounting system to assist with the measurement of the lease liabilities and the related right-of-use assets. The Company compiled an inventory of its leases, determined the appropriate discount rates and has determined the impact of this standard which is not material to the Company’s results of operations, but has an effect on the balance sheet presentation for leased assets and obligations. The Company recognized a right-of-use asset and related lease liability for approximately $12,076,000 on January 1, 2019. This standard did not impact the Company’s accounting for leases where the Company is the lessor. Additional disclosures required by this standard are included in Note 16.</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28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ASU No. 2016-13: “Financial Instruments – Credit Losses (Topic 326)”</w:t>
      </w:r>
      <w:r>
        <w:rPr>
          <w:rFonts w:ascii="Arial" w:cs="Arial" w:eastAsia="Arial" w:hAnsi="Arial"/>
          <w:sz w:val="17"/>
          <w:szCs w:val="17"/>
          <w:color w:val="auto"/>
        </w:rPr>
        <w:t xml:space="preserve"> – Issued in September 2016, ASU 2016-13 amends guidance on reporting credit losses for assets held at amortized cost basis (such as mortgage loans and held to maturity debt securities) and available for sale debt securities. For assets held at amortized cost basis, Topic 326 eliminates the probable initial recognition threshold in current general accepted accounting principles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The new authoritative guidance will be effective for the Company on January 1, 2020. The Company is in the process of evaluating the potential impact of this standard, especially as it relates to held to maturity portfolios.</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ASU No. 2018-13: “Fair Value Measurement (Topic 820): Disclosure Framework-Changes to the Disclosure Requirements for Fair Value Measurement”</w:t>
      </w:r>
      <w:r>
        <w:rPr>
          <w:rFonts w:ascii="Arial" w:cs="Arial" w:eastAsia="Arial" w:hAnsi="Arial"/>
          <w:sz w:val="18"/>
          <w:szCs w:val="18"/>
          <w:color w:val="auto"/>
        </w:rPr>
        <w:t xml:space="preserve"> – Issued in August 2018, ASU 2018-13 modifies the disclosure requirements of Topic 820 by removing, modifying or adding certain disclosures. Among the changes, entities will no longer be required to disclose the amount of and reasons for transfers between Level 1 and Level 2 of the fair value hierarchy, but will be required to disclose the range and weighted average used to develop significant unobservable inputs for Level 3 fair value measurements. ASU 2018-13 does not change the fair value measurements already required or permitted by existing standards. This new authoritative guidance will be effective for the Company on January 1, 2020. The Company is in the process of evaluating the potential impact of this standard, which is not expected to materially impact the Company’s financial statements.</w:t>
      </w:r>
    </w:p>
    <w:p>
      <w:pPr>
        <w:spacing w:after="0" w:line="2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u w:val="single" w:color="auto"/>
          <w:color w:val="auto"/>
        </w:rPr>
        <w:t>ASU No. 2018-12: “Financial Services – Insurance (Topic 944): Targeted Improvements to the Accounting for Long-Duration Contracts”</w:t>
      </w:r>
      <w:r>
        <w:rPr>
          <w:rFonts w:ascii="Arial" w:cs="Arial" w:eastAsia="Arial" w:hAnsi="Arial"/>
          <w:sz w:val="17"/>
          <w:szCs w:val="17"/>
          <w:color w:val="auto"/>
        </w:rPr>
        <w:t xml:space="preserve"> – Issued in August 2018, ASU 2018-12 is intended to improve the timeliness of recognizing changes in the liability for future policy benefits on traditional long-duration contracts by requiring that assumptions be updated after contract inception and by modifying the rate used to discount future cash flows. The ASU will simplify and improve the accounting for certain market-based options or guarantees associated with deposit or account balance contracts, simplify amortization of deferred acquisition costs while improving and expanding required disclosures. This new authoritative guidance will be effective for the Company on January 1, 2021. The Company is in the process of evaluating the potential impact of this standard.</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reviewed other recent accounting pronouncements and has determined that they will not significantly impact the Company’s results of operations or financial position.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ind w:left="2780"/>
        <w:spacing w:after="0"/>
        <w:rPr>
          <w:sz w:val="20"/>
          <w:szCs w:val="20"/>
          <w:color w:val="auto"/>
        </w:rPr>
      </w:pPr>
      <w:r>
        <w:rPr>
          <w:rFonts w:ascii="Arial" w:cs="Arial" w:eastAsia="Arial" w:hAnsi="Arial"/>
          <w:sz w:val="18"/>
          <w:szCs w:val="18"/>
          <w:color w:val="auto"/>
        </w:rPr>
        <w:t>SECURITY NATIONAL FINANCIAL CORPORATION AND SUBSIDIARIES</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March 31, 2019 (Unaudited)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00" w:type="dxa"/>
            <w:vAlign w:val="bottom"/>
            <w:gridSpan w:val="5"/>
          </w:tcPr>
          <w:p>
            <w:pPr>
              <w:spacing w:after="0"/>
              <w:rPr>
                <w:sz w:val="20"/>
                <w:szCs w:val="20"/>
                <w:color w:val="auto"/>
              </w:rPr>
            </w:pPr>
            <w:r>
              <w:rPr>
                <w:rFonts w:ascii="Arial" w:cs="Arial" w:eastAsia="Arial" w:hAnsi="Arial"/>
                <w:sz w:val="18"/>
                <w:szCs w:val="18"/>
                <w:color w:val="auto"/>
              </w:rPr>
              <w:t>3)  Investments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140" w:type="dxa"/>
            <w:vAlign w:val="bottom"/>
            <w:tcBorders>
              <w:left w:val="single" w:sz="8" w:color="auto"/>
            </w:tcBorders>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5900" w:type="dxa"/>
            <w:vAlign w:val="bottom"/>
            <w:gridSpan w:val="5"/>
          </w:tcPr>
          <w:p>
            <w:pPr>
              <w:spacing w:after="0"/>
              <w:rPr>
                <w:sz w:val="20"/>
                <w:szCs w:val="20"/>
                <w:color w:val="auto"/>
              </w:rPr>
            </w:pPr>
            <w:r>
              <w:rPr>
                <w:rFonts w:ascii="Arial" w:cs="Arial" w:eastAsia="Arial" w:hAnsi="Arial"/>
                <w:sz w:val="18"/>
                <w:szCs w:val="18"/>
                <w:color w:val="auto"/>
                <w:w w:val="94"/>
              </w:rPr>
              <w:t>The Company’s investments as of March 31, 2019 are summarized as follows: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Gross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Gross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89"/>
              </w:rPr>
              <w:t>Estimated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Unrealized</w:t>
            </w:r>
          </w:p>
        </w:tc>
        <w:tc>
          <w:tcPr>
            <w:tcW w:w="160" w:type="dxa"/>
            <w:vAlign w:val="bottom"/>
          </w:tcPr>
          <w:p>
            <w:pPr>
              <w:spacing w:after="0"/>
              <w:rPr>
                <w:sz w:val="18"/>
                <w:szCs w:val="18"/>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Unrealized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0"/>
              </w:rPr>
              <w:t>Fair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Cost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Gains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Losses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86"/>
              </w:rPr>
              <w:t>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91"/>
              </w:rPr>
              <w:t>March 31, 2019</w:t>
            </w:r>
          </w:p>
        </w:tc>
        <w:tc>
          <w:tcPr>
            <w:tcW w:w="36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20" w:type="dxa"/>
            <w:vAlign w:val="bottom"/>
          </w:tcPr>
          <w:p>
            <w:pPr>
              <w:spacing w:after="0"/>
              <w:rPr>
                <w:sz w:val="19"/>
                <w:szCs w:val="19"/>
                <w:color w:val="auto"/>
              </w:rPr>
            </w:pPr>
          </w:p>
        </w:tc>
        <w:tc>
          <w:tcPr>
            <w:tcW w:w="5580" w:type="dxa"/>
            <w:vAlign w:val="bottom"/>
            <w:gridSpan w:val="4"/>
          </w:tcPr>
          <w:p>
            <w:pPr>
              <w:ind w:left="820"/>
              <w:spacing w:after="0"/>
              <w:rPr>
                <w:sz w:val="20"/>
                <w:szCs w:val="20"/>
                <w:color w:val="auto"/>
              </w:rPr>
            </w:pPr>
            <w:r>
              <w:rPr>
                <w:rFonts w:ascii="Arial" w:cs="Arial" w:eastAsia="Arial" w:hAnsi="Arial"/>
                <w:sz w:val="18"/>
                <w:szCs w:val="18"/>
                <w:color w:val="auto"/>
                <w:w w:val="97"/>
              </w:rPr>
              <w:t>Fixed maturity securities held to maturity carried at amortized</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580" w:type="dxa"/>
            <w:vAlign w:val="bottom"/>
            <w:gridSpan w:val="4"/>
          </w:tcPr>
          <w:p>
            <w:pPr>
              <w:ind w:left="820"/>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Bonds: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40" w:type="dxa"/>
            <w:vAlign w:val="bottom"/>
            <w:tcBorders>
              <w:left w:val="single" w:sz="8" w:color="CCEEFF"/>
            </w:tcBorders>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U.S. Treasury securities and obligations of U.S. Government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52,162,274</w:t>
            </w:r>
          </w:p>
        </w:tc>
        <w:tc>
          <w:tcPr>
            <w:tcW w:w="1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376,785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(456,728)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52,082,331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6,131,310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42,653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(55,394)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6,118,569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Corporate securities including public utilities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157,343,929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9,982,667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(1,445,027)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165,881,569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15,637,703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358,905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(127,773)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15,868,835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tcBorders>
              <w:left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Redeemable preferred stock</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103,197</w:t>
            </w:r>
          </w:p>
        </w:tc>
        <w:tc>
          <w:tcPr>
            <w:tcW w:w="1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107,069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Total fixed maturity securities held to maturity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231,378,413</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10,764,882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(2,084,922)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240,058,373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vMerge w:val="restart"/>
          </w:tcPr>
          <w:p>
            <w:pPr>
              <w:spacing w:after="0"/>
              <w:rPr>
                <w:sz w:val="18"/>
                <w:szCs w:val="18"/>
                <w:color w:val="auto"/>
              </w:rPr>
            </w:pPr>
          </w:p>
        </w:tc>
        <w:tc>
          <w:tcPr>
            <w:tcW w:w="8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40" w:type="dxa"/>
            <w:vAlign w:val="bottom"/>
            <w:tcBorders>
              <w:left w:val="single" w:sz="8" w:color="CCEEFF"/>
            </w:tcBorders>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Equity securities at estimated fair value: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18"/>
                <w:szCs w:val="18"/>
                <w:color w:val="auto"/>
              </w:rPr>
            </w:pPr>
          </w:p>
        </w:tc>
        <w:tc>
          <w:tcPr>
            <w:tcW w:w="8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40" w:type="dxa"/>
            <w:vAlign w:val="bottom"/>
            <w:tcBorders>
              <w:left w:val="single" w:sz="8" w:color="CCEEFF"/>
            </w:tcBorders>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18"/>
                <w:szCs w:val="18"/>
                <w:color w:val="auto"/>
              </w:rPr>
            </w:pPr>
          </w:p>
        </w:tc>
        <w:tc>
          <w:tcPr>
            <w:tcW w:w="8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40" w:type="dxa"/>
            <w:vAlign w:val="bottom"/>
            <w:tcBorders>
              <w:left w:val="single" w:sz="8" w:color="CCEEFF"/>
            </w:tcBorders>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Industrial, miscellaneous and all other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6,974,259</w:t>
            </w:r>
          </w:p>
        </w:tc>
        <w:tc>
          <w:tcPr>
            <w:tcW w:w="1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739,022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(785,929)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6,927,352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18"/>
                <w:szCs w:val="18"/>
                <w:color w:val="auto"/>
              </w:rPr>
            </w:pPr>
          </w:p>
        </w:tc>
        <w:tc>
          <w:tcPr>
            <w:tcW w:w="8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40" w:type="dxa"/>
            <w:vAlign w:val="bottom"/>
            <w:tcBorders>
              <w:left w:val="single" w:sz="8" w:color="CCEEFF"/>
            </w:tcBorders>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Total equity securities at estimated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6,974,259</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739,022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(785,929)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6,927,352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vMerge w:val="restart"/>
          </w:tcPr>
          <w:p>
            <w:pPr>
              <w:spacing w:after="0"/>
              <w:rPr>
                <w:sz w:val="18"/>
                <w:szCs w:val="18"/>
                <w:color w:val="auto"/>
              </w:rPr>
            </w:pPr>
          </w:p>
        </w:tc>
        <w:tc>
          <w:tcPr>
            <w:tcW w:w="8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40" w:type="dxa"/>
            <w:vAlign w:val="bottom"/>
            <w:tcBorders>
              <w:left w:val="single" w:sz="8" w:color="CCEEFF"/>
            </w:tcBorders>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Mortgage loans held for investment at amortized cost: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Borders>
              <w:lef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89,241,344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75,484,460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Borders>
              <w:lef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34,258,354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Less: Unamortized deferred loan fees, net</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(1,261,587)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tcBorders>
              <w:lef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Less: Allowance for loan losses</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(1,378,215)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mortgage loans held for investment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196,344,356</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vMerge w:val="restart"/>
          </w:tcPr>
          <w:p>
            <w:pPr>
              <w:spacing w:after="0"/>
              <w:rPr>
                <w:sz w:val="18"/>
                <w:szCs w:val="18"/>
                <w:color w:val="auto"/>
              </w:rPr>
            </w:pPr>
          </w:p>
        </w:tc>
        <w:tc>
          <w:tcPr>
            <w:tcW w:w="8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40" w:type="dxa"/>
            <w:vAlign w:val="bottom"/>
            <w:tcBorders>
              <w:left w:val="single" w:sz="8" w:color="CCEEFF"/>
            </w:tcBorders>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w w:val="91"/>
              </w:rPr>
              <w:t>Real estate held for investment net of accumulated depreciation:</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Borders>
              <w:lef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27,856,849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Commercial</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93,425,898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40" w:type="dxa"/>
            <w:vAlign w:val="bottom"/>
            <w:tcBorders>
              <w:left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real estate held for investment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121,282,747</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 w:type="dxa"/>
            <w:vAlign w:val="bottom"/>
            <w:vMerge w:val="restart"/>
          </w:tcPr>
          <w:p>
            <w:pPr>
              <w:spacing w:after="0"/>
              <w:rPr>
                <w:sz w:val="18"/>
                <w:szCs w:val="18"/>
                <w:color w:val="auto"/>
              </w:rPr>
            </w:pPr>
          </w:p>
        </w:tc>
        <w:tc>
          <w:tcPr>
            <w:tcW w:w="8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40" w:type="dxa"/>
            <w:vAlign w:val="bottom"/>
            <w:tcBorders>
              <w:lef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Other investments and policy loans at amortized cost: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Policy loans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6,354,430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Borders>
              <w:lef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Insurance assignments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38,823,751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Federal Home Loan Bank stock (1)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2,686,500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Borders>
              <w:left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Other investments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4,048,750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Less: Allowance for doubtful accounts</w:t>
            </w: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(1,263,475)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vMerge w:val="restart"/>
          </w:tcPr>
          <w:p>
            <w:pPr>
              <w:spacing w:after="0"/>
              <w:rPr>
                <w:sz w:val="18"/>
                <w:szCs w:val="18"/>
                <w:color w:val="auto"/>
              </w:rPr>
            </w:pPr>
          </w:p>
        </w:tc>
        <w:tc>
          <w:tcPr>
            <w:tcW w:w="8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40" w:type="dxa"/>
            <w:vAlign w:val="bottom"/>
            <w:tcBorders>
              <w:left w:val="single" w:sz="8" w:color="CCEEFF"/>
            </w:tcBorders>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Total other investments and policy loans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50,649,956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vMerge w:val="restart"/>
          </w:tcPr>
          <w:p>
            <w:pPr>
              <w:spacing w:after="0"/>
              <w:rPr>
                <w:sz w:val="18"/>
                <w:szCs w:val="18"/>
                <w:color w:val="auto"/>
              </w:rPr>
            </w:pPr>
          </w:p>
        </w:tc>
        <w:tc>
          <w:tcPr>
            <w:tcW w:w="8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40" w:type="dxa"/>
            <w:vAlign w:val="bottom"/>
            <w:tcBorders>
              <w:left w:val="single" w:sz="8" w:color="CCEEFF"/>
            </w:tcBorders>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Accrued investment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3,712,606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20" w:type="dxa"/>
            <w:vAlign w:val="bottom"/>
            <w:vMerge w:val="restart"/>
          </w:tcPr>
          <w:p>
            <w:pPr>
              <w:spacing w:after="0"/>
              <w:rPr>
                <w:sz w:val="18"/>
                <w:szCs w:val="18"/>
                <w:color w:val="auto"/>
              </w:rPr>
            </w:pPr>
          </w:p>
        </w:tc>
        <w:tc>
          <w:tcPr>
            <w:tcW w:w="82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40" w:type="dxa"/>
            <w:vAlign w:val="bottom"/>
            <w:tcBorders>
              <w:left w:val="single" w:sz="8" w:color="CCEEFF"/>
            </w:tcBorders>
            <w:shd w:val="clear" w:color="auto" w:fill="CCEEFF"/>
          </w:tcPr>
          <w:p>
            <w:pPr>
              <w:spacing w:after="0"/>
              <w:rPr>
                <w:sz w:val="18"/>
                <w:szCs w:val="18"/>
                <w:color w:val="auto"/>
              </w:rPr>
            </w:pP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610,295,430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Includes $806,500 of Membership stock and $1,880,000 of Activity stock due to short-term borrowings.</w:t>
      </w:r>
    </w:p>
    <w:p>
      <w:pPr>
        <w:sectPr>
          <w:pgSz w:w="11900" w:h="16838" w:orient="portrait"/>
          <w:cols w:equalWidth="0" w:num="1">
            <w:col w:w="10280"/>
          </w:cols>
          <w:pgMar w:left="240" w:top="125" w:right="137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type w:val="continuous"/>
        </w:sectPr>
      </w:pPr>
    </w:p>
    <w:bookmarkStart w:id="12" w:name="page13"/>
    <w:bookmarkEnd w:id="12"/>
    <w:p>
      <w:pPr>
        <w:jc w:val="center"/>
        <w:ind w:left="1380" w:right="1640"/>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35"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as of December 31, 2018 are summarized as follows: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Gross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Gross</w:t>
            </w: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89"/>
              </w:rPr>
              <w:t>Estimated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5"/>
              </w:rPr>
              <w:t>Unrealized</w:t>
            </w:r>
          </w:p>
        </w:tc>
        <w:tc>
          <w:tcPr>
            <w:tcW w:w="160" w:type="dxa"/>
            <w:vAlign w:val="bottom"/>
          </w:tcPr>
          <w:p>
            <w:pPr>
              <w:spacing w:after="0"/>
              <w:rPr>
                <w:sz w:val="18"/>
                <w:szCs w:val="18"/>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w w:val="95"/>
              </w:rPr>
              <w:t>Unrealized</w:t>
            </w: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0"/>
              </w:rPr>
              <w:t>Fair</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Cost</w:t>
            </w:r>
          </w:p>
        </w:tc>
        <w:tc>
          <w:tcPr>
            <w:tcW w:w="120" w:type="dxa"/>
            <w:vAlign w:val="bottom"/>
          </w:tcPr>
          <w:p>
            <w:pPr>
              <w:spacing w:after="0"/>
              <w:rPr>
                <w:sz w:val="20"/>
                <w:szCs w:val="20"/>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Gains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Losses</w:t>
            </w:r>
          </w:p>
        </w:tc>
        <w:tc>
          <w:tcPr>
            <w:tcW w:w="100" w:type="dxa"/>
            <w:vAlign w:val="bottom"/>
          </w:tcPr>
          <w:p>
            <w:pPr>
              <w:spacing w:after="0"/>
              <w:rPr>
                <w:sz w:val="20"/>
                <w:szCs w:val="20"/>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86"/>
              </w:rPr>
              <w:t>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148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color w:val="auto"/>
                <w:w w:val="89"/>
              </w:rPr>
              <w:t>December 31, 2018:</w:t>
            </w:r>
          </w:p>
        </w:tc>
        <w:tc>
          <w:tcPr>
            <w:tcW w:w="32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8"/>
        </w:trPr>
        <w:tc>
          <w:tcPr>
            <w:tcW w:w="4760" w:type="dxa"/>
            <w:vAlign w:val="bottom"/>
            <w:gridSpan w:val="3"/>
          </w:tcPr>
          <w:p>
            <w:pPr>
              <w:spacing w:after="0"/>
              <w:rPr>
                <w:sz w:val="20"/>
                <w:szCs w:val="20"/>
                <w:color w:val="auto"/>
              </w:rPr>
            </w:pPr>
            <w:r>
              <w:rPr>
                <w:rFonts w:ascii="Arial" w:cs="Arial" w:eastAsia="Arial" w:hAnsi="Arial"/>
                <w:sz w:val="18"/>
                <w:szCs w:val="18"/>
                <w:color w:val="auto"/>
                <w:w w:val="97"/>
              </w:rPr>
              <w:t>Fixed maturity securities held to maturity carried at amortized</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60" w:type="dxa"/>
            <w:vAlign w:val="bottom"/>
            <w:gridSpan w:val="3"/>
          </w:tcPr>
          <w:p>
            <w:pPr>
              <w:spacing w:after="0"/>
              <w:rPr>
                <w:sz w:val="20"/>
                <w:szCs w:val="20"/>
                <w:color w:val="auto"/>
              </w:rPr>
            </w:pPr>
            <w:r>
              <w:rPr>
                <w:rFonts w:ascii="Arial" w:cs="Arial" w:eastAsia="Arial" w:hAnsi="Arial"/>
                <w:sz w:val="18"/>
                <w:szCs w:val="18"/>
                <w:color w:val="auto"/>
              </w:rPr>
              <w:t>cost: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Bonds:</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4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U.S. Treasury securities and obligations of U.S. Government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52,017,683</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264,891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(727,798)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51,554,776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6,959,237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32,274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(111,271)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6,880,240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Corporate securities including public utilities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157,639,860</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7,002,864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(3,704,137)</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160,938,587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Mortgage-backed securities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15,358,746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227,398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(308,864)</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15,277,280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Redeemable preferred stock</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103,197</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(5,125)</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99,975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3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Total fixed maturity securities held to maturity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232,078,723</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2"/>
              </w:rPr>
              <w:t>7,529,330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(4,857,195)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234,750,858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8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Equity securities at estimated fair value:</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Industrial, miscellaneous and all other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6,312,158</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422,528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(1,176,075)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5,558,611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Total equity securities at estimated fair value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6,312,158</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422,528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1"/>
              </w:rPr>
              <w:t>(1,176,075)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5,558,611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8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Mortgage loans held for investment at amortized cost: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Residential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89,935,600</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71,366,544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27,785,927</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Less: Unamortized deferred loan fees, net</w:t>
            </w:r>
          </w:p>
        </w:tc>
        <w:tc>
          <w:tcPr>
            <w:tcW w:w="1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(1,275,030)</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Less: Allowance for loan losses</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(1,347,972)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mortgage loans held for investment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186,465,069</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Real estate held for investment net of accumulated</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Residential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29,507,431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Commercial</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92,050,791</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Total real estate held for investment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121,558,222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8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Other investments and policy loans at amortized cost: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Policy loans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6,424,325</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Insurance assignments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35,239,396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Federal Home Loan Bank stock (1)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2,548,700</w:t>
            </w: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Other investments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3,497,762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Less: Allowance for doubtful accounts</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(1,092,528)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tcBorders>
              <w:top w:val="single" w:sz="8" w:color="CCEEFF"/>
            </w:tcBorders>
          </w:tcPr>
          <w:p>
            <w:pPr>
              <w:spacing w:after="0"/>
              <w:rPr>
                <w:sz w:val="18"/>
                <w:szCs w:val="18"/>
                <w:color w:val="auto"/>
              </w:rPr>
            </w:pPr>
          </w:p>
        </w:tc>
        <w:tc>
          <w:tcPr>
            <w:tcW w:w="32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other investments and policy loans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46,617,655</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480" w:type="dxa"/>
            <w:vAlign w:val="bottom"/>
            <w:gridSpan w:val="2"/>
          </w:tcPr>
          <w:p>
            <w:pPr>
              <w:spacing w:after="0"/>
              <w:rPr>
                <w:sz w:val="18"/>
                <w:szCs w:val="18"/>
                <w:color w:val="auto"/>
              </w:rPr>
            </w:pP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Accrued investment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3,566,146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80" w:type="dxa"/>
            <w:vAlign w:val="bottom"/>
            <w:gridSpan w:val="2"/>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595,844,426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right="2600" w:firstLine="9"/>
        <w:spacing w:after="0" w:line="277" w:lineRule="auto"/>
        <w:tabs>
          <w:tab w:leader="none" w:pos="1395"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$708,700 of Membership stock and $1,840,000 of Activity stock due to short-term borrowings.</w:t>
      </w:r>
    </w:p>
    <w:p>
      <w:pPr>
        <w:sectPr>
          <w:pgSz w:w="11900" w:h="16838" w:orient="portrait"/>
          <w:cols w:equalWidth="0" w:num="1">
            <w:col w:w="10280"/>
          </w:cols>
          <w:pgMar w:left="240" w:top="125" w:right="137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5640"/>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80"/>
          </w:cols>
          <w:pgMar w:left="240" w:top="125" w:right="1379" w:bottom="1440" w:gutter="0" w:footer="0" w:header="0"/>
          <w:type w:val="continuous"/>
        </w:sectPr>
      </w:pPr>
    </w:p>
    <w:bookmarkStart w:id="13" w:name="page14"/>
    <w:bookmarkEnd w:id="13"/>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35"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Maturity Securities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summarize unrealized losses on fixed maturity securities held to maturity, which are carried at amortized cost, at March 31, 2019 and December 31, 2018. The unrealized losses were primarily related to interest rate fluctuations. The tables set forth unrealized losses by duration with the fair value of the related fixed maturity securities: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2"/>
              </w:rPr>
              <w:t>Unrealized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0"/>
              </w:rPr>
              <w:t>Unrealized</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89"/>
              </w:rPr>
              <w:t>Losses for</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Losses for</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Less than</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1"/>
              </w:rPr>
              <w:t>More than</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89"/>
              </w:rPr>
              <w:t>Total</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Twelve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center"/>
              <w:ind w:right="50"/>
              <w:spacing w:after="0"/>
              <w:rPr>
                <w:sz w:val="20"/>
                <w:szCs w:val="20"/>
                <w:color w:val="auto"/>
              </w:rPr>
            </w:pPr>
            <w:r>
              <w:rPr>
                <w:rFonts w:ascii="Arial" w:cs="Arial" w:eastAsia="Arial" w:hAnsi="Arial"/>
                <w:sz w:val="18"/>
                <w:szCs w:val="18"/>
                <w:color w:val="auto"/>
                <w:w w:val="94"/>
              </w:rPr>
              <w:t>Twelve</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2"/>
              </w:rPr>
              <w:t>Unrealized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Months</w:t>
            </w:r>
          </w:p>
        </w:tc>
        <w:tc>
          <w:tcPr>
            <w:tcW w:w="200" w:type="dxa"/>
            <w:vAlign w:val="bottom"/>
          </w:tcPr>
          <w:p>
            <w:pPr>
              <w:spacing w:after="0"/>
              <w:rPr>
                <w:sz w:val="20"/>
                <w:szCs w:val="20"/>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Fair Value</w:t>
            </w: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1"/>
              </w:rPr>
              <w:t>Months</w:t>
            </w:r>
          </w:p>
        </w:tc>
        <w:tc>
          <w:tcPr>
            <w:tcW w:w="180" w:type="dxa"/>
            <w:vAlign w:val="bottom"/>
          </w:tcPr>
          <w:p>
            <w:pPr>
              <w:spacing w:after="0"/>
              <w:rPr>
                <w:sz w:val="20"/>
                <w:szCs w:val="20"/>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Fair Value</w:t>
            </w: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9"/>
              </w:rPr>
              <w:t>Loss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2"/>
              </w:rPr>
              <w:t>Fair Value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540" w:type="dxa"/>
            <w:vAlign w:val="bottom"/>
            <w:gridSpan w:val="4"/>
          </w:tcPr>
          <w:p>
            <w:pPr>
              <w:spacing w:after="0" w:line="176" w:lineRule="exact"/>
              <w:rPr>
                <w:sz w:val="20"/>
                <w:szCs w:val="20"/>
                <w:color w:val="auto"/>
              </w:rPr>
            </w:pPr>
            <w:r>
              <w:rPr>
                <w:rFonts w:ascii="Arial" w:cs="Arial" w:eastAsia="Arial" w:hAnsi="Arial"/>
                <w:sz w:val="18"/>
                <w:szCs w:val="18"/>
                <w:color w:val="auto"/>
              </w:rPr>
              <w:t>At March 31, 2019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3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U.S. Treasury securities and</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obligations of U.S. Government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Agencies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495,115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455,961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$40,408,121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456,728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40,903,236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w w:val="94"/>
              </w:rPr>
              <w:t>Obligations of states and political</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gridSpan w:val="4"/>
          </w:tcPr>
          <w:p>
            <w:pPr>
              <w:spacing w:after="0"/>
              <w:rPr>
                <w:sz w:val="20"/>
                <w:szCs w:val="20"/>
                <w:color w:val="auto"/>
              </w:rPr>
            </w:pPr>
            <w:r>
              <w:rPr>
                <w:rFonts w:ascii="Arial" w:cs="Arial" w:eastAsia="Arial" w:hAnsi="Arial"/>
                <w:sz w:val="18"/>
                <w:szCs w:val="18"/>
                <w:color w:val="auto"/>
              </w:rPr>
              <w:t>subdivisions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55,394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3,032,383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55,394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3,032,383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392,239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11,641,590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1,052,788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23,415,999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1,445,027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35,057,589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w w:val="92"/>
              </w:rPr>
              <w:t>Mortgage and other asset-backed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540" w:type="dxa"/>
            <w:vAlign w:val="bottom"/>
            <w:gridSpan w:val="4"/>
          </w:tcPr>
          <w:p>
            <w:pPr>
              <w:spacing w:after="0"/>
              <w:rPr>
                <w:sz w:val="20"/>
                <w:szCs w:val="20"/>
                <w:color w:val="auto"/>
              </w:rPr>
            </w:pPr>
            <w:r>
              <w:rPr>
                <w:rFonts w:ascii="Arial" w:cs="Arial" w:eastAsia="Arial" w:hAnsi="Arial"/>
                <w:sz w:val="18"/>
                <w:szCs w:val="18"/>
                <w:color w:val="auto"/>
              </w:rPr>
              <w:t>securities</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24,997</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389,730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102,776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1,804,667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127,773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2,194,397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unrealized losses</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418,003</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12,526,435</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1,666,919</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68,661,170</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2,084,922</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81,187,605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5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At December 31, 2018</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36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rPr>
              <w:t>U.S. Treasury securities and</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40" w:type="dxa"/>
            <w:vAlign w:val="bottom"/>
            <w:gridSpan w:val="4"/>
          </w:tcPr>
          <w:p>
            <w:pPr>
              <w:spacing w:after="0"/>
              <w:rPr>
                <w:sz w:val="20"/>
                <w:szCs w:val="20"/>
                <w:color w:val="auto"/>
              </w:rPr>
            </w:pPr>
            <w:r>
              <w:rPr>
                <w:rFonts w:ascii="Arial" w:cs="Arial" w:eastAsia="Arial" w:hAnsi="Arial"/>
                <w:sz w:val="18"/>
                <w:szCs w:val="18"/>
                <w:color w:val="auto"/>
              </w:rPr>
              <w:t>obligations of U.S. Government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gridSpan w:val="4"/>
          </w:tcPr>
          <w:p>
            <w:pPr>
              <w:spacing w:after="0"/>
              <w:rPr>
                <w:sz w:val="20"/>
                <w:szCs w:val="20"/>
                <w:color w:val="auto"/>
              </w:rPr>
            </w:pPr>
            <w:r>
              <w:rPr>
                <w:rFonts w:ascii="Arial" w:cs="Arial" w:eastAsia="Arial" w:hAnsi="Arial"/>
                <w:sz w:val="18"/>
                <w:szCs w:val="18"/>
                <w:color w:val="auto"/>
              </w:rPr>
              <w:t>Agencies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10,519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695,863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717,279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$39,930,052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727,798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40,625,915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Obligations of states and political</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subdivisions</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6,643</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1,791,257</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2,889,517</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111,271</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4,680,774</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Corporate securities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2,514,549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61,090,431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1,189,588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11,767,349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3,704,137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72,857,780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Mortgage and other asset-backed</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79,896</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1,705,296</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228,968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2,690,065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308,864</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4,395,361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20" w:type="dxa"/>
            <w:vAlign w:val="bottom"/>
            <w:gridSpan w:val="3"/>
          </w:tcPr>
          <w:p>
            <w:pPr>
              <w:spacing w:after="0"/>
              <w:rPr>
                <w:sz w:val="20"/>
                <w:szCs w:val="20"/>
                <w:color w:val="auto"/>
              </w:rPr>
            </w:pPr>
            <w:r>
              <w:rPr>
                <w:rFonts w:ascii="Arial" w:cs="Arial" w:eastAsia="Arial" w:hAnsi="Arial"/>
                <w:sz w:val="18"/>
                <w:szCs w:val="18"/>
                <w:color w:val="auto"/>
              </w:rPr>
              <w:t>Redeemable preferred stock</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5,125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90,000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unrealized losses</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2,616,732</w:t>
            </w:r>
          </w:p>
        </w:tc>
        <w:tc>
          <w:tcPr>
            <w:tcW w:w="2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65,372,847</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2,240,463</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57,276,983</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4,857,195</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122,649,830</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186 securities with fair value of 97.5% of amortized cost at March 31, 2019. There were 361 securities with fair value of 96.2% of amortized cost at December 31, 2018. No credit losses have been recognized for the three months ended March 31, 2019 and 2018.</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a quarterly basis, the Company evaluates its fixed maturity securities held to maturity. This evaluation includes a review of current ratings by the National Association of Insurance Commissions (“NAIC”). Securities with a rating of 1 or 2 are considered investment grade and are not reviewed for impairment. Securities with ratings of 3 to 5 are evaluated for impairment. Securities with a rating of 6 are automatically determined to be impaired and are written down. The evaluation involves an analysis of the securities in relation to historical values, interest payment history, projected earnings and revenue growth rates as well as a review of the reason for a downgrade in the NAIC rating. Based on the analysis of a security that is rated 3 to 5, a determination is made whether the security will likely make interest and principal payments in accordance with the terms of the financial instrument. If it is unlikely that the security will meet contractual obligations, the loss is considered to be other than temporary, the security is written down to the new anticipated market value and an impairment loss is recognized. Impairment losses are treated as credit losses as the Company holds fixed maturity securities to maturity unless the underlying conditions have changed in the financial instrument to require an impairment.</w:t>
      </w:r>
    </w:p>
    <w:p>
      <w:pPr>
        <w:spacing w:after="0" w:line="23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of fixed maturity securities are based on quoted market prices, when available. For fixed maturity 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35"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amortized cost and estimated fair value of fixed maturity securities held to maturity, at March 31, 2019, by contractual maturity, are shown below. Expected maturities may differ from contractual maturities because certain borrowers may have the right to call or prepay obligations with or without call or prepayment penalties.</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89"/>
              </w:rPr>
              <w:t>Estimated</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3"/>
              </w:rPr>
              <w:t>Amortized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0"/>
              </w:rPr>
              <w:t>Fair</w:t>
            </w:r>
          </w:p>
        </w:tc>
        <w:tc>
          <w:tcPr>
            <w:tcW w:w="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6"/>
              </w:rPr>
              <w:t>Value</w:t>
            </w:r>
          </w:p>
        </w:tc>
        <w:tc>
          <w:tcPr>
            <w:tcW w:w="80" w:type="dxa"/>
            <w:vAlign w:val="bottom"/>
          </w:tcPr>
          <w:p>
            <w:pPr>
              <w:spacing w:after="0"/>
              <w:rPr>
                <w:sz w:val="20"/>
                <w:szCs w:val="20"/>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Held to Maturity:</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Due in 1 year</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16,752,164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16,817,929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Due in 2-5 years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66,507,390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67,272,309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Due in 5-10 years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66,149,179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67,744,587</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Due in more than 10 years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66,228,780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72,247,644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15,637,703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15,868,835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160"/>
              <w:spacing w:after="0"/>
              <w:rPr>
                <w:sz w:val="20"/>
                <w:szCs w:val="20"/>
                <w:color w:val="auto"/>
              </w:rPr>
            </w:pPr>
            <w:r>
              <w:rPr>
                <w:rFonts w:ascii="Arial" w:cs="Arial" w:eastAsia="Arial" w:hAnsi="Arial"/>
                <w:sz w:val="18"/>
                <w:szCs w:val="18"/>
                <w:color w:val="auto"/>
              </w:rPr>
              <w:t>Redeemable preferred stock</w:t>
            </w:r>
          </w:p>
        </w:tc>
        <w:tc>
          <w:tcPr>
            <w:tcW w:w="2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103,197</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107,069</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5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held to maturity</w:t>
            </w:r>
          </w:p>
        </w:tc>
        <w:tc>
          <w:tcPr>
            <w:tcW w:w="23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231,378,413</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240,058,373</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a member of the Federal Home Loan Bank of Des Moines (“FHLB”). The Company currently has deposited a total of $50,000,000, par value, of United States Treasury fixed maturity securities with FHLB. These securities generate interest income for the Company and are available to use as collateral on any cash borrowings from the FHLB. As of March 31, 2019, the Company owed $47,000,000 to the FHLB. This amount owed was paid in April 2019.</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Securities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values for equity securities are based on quoted market prices. The Company recognizes the changes (unrealized gains and losses) in the fair value of these equity securities through earnings as part of gains on investments and other assets on the condensed consolidated statements of earnings instead of other comprehensive income on the condensed consolidated balance sheets.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Related Earnings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net realized gains and losses from sales, calls, and maturities, unrealized gains and losses on equity securities, and other than temporary impairments are summarized as follows: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5"/>
          </w:tcPr>
          <w:p>
            <w:pPr>
              <w:jc w:val="right"/>
              <w:ind w:right="250"/>
              <w:spacing w:after="0"/>
              <w:rPr>
                <w:sz w:val="20"/>
                <w:szCs w:val="20"/>
                <w:color w:val="auto"/>
              </w:rPr>
            </w:pPr>
            <w:r>
              <w:rPr>
                <w:rFonts w:ascii="Arial" w:cs="Arial" w:eastAsia="Arial" w:hAnsi="Arial"/>
                <w:sz w:val="18"/>
                <w:szCs w:val="18"/>
                <w:color w:val="auto"/>
                <w:w w:val="97"/>
              </w:rPr>
              <w:t>Three Months Ended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right"/>
              <w:ind w:right="650"/>
              <w:spacing w:after="0"/>
              <w:rPr>
                <w:sz w:val="20"/>
                <w:szCs w:val="20"/>
                <w:color w:val="auto"/>
              </w:rPr>
            </w:pPr>
            <w:r>
              <w:rPr>
                <w:rFonts w:ascii="Arial" w:cs="Arial" w:eastAsia="Arial" w:hAnsi="Arial"/>
                <w:sz w:val="18"/>
                <w:szCs w:val="18"/>
                <w:color w:val="auto"/>
              </w:rPr>
              <w:t>March 31</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spacing w:after="0"/>
              <w:rPr>
                <w:sz w:val="20"/>
                <w:szCs w:val="20"/>
                <w:color w:val="auto"/>
              </w:rPr>
            </w:pPr>
            <w:r>
              <w:rPr>
                <w:rFonts w:ascii="Arial" w:cs="Arial" w:eastAsia="Arial" w:hAnsi="Arial"/>
                <w:sz w:val="18"/>
                <w:szCs w:val="18"/>
                <w:color w:val="auto"/>
              </w:rPr>
              <w:t>Fixed maturity securities held to maturity:</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realized gains</w:t>
            </w:r>
          </w:p>
        </w:tc>
        <w:tc>
          <w:tcPr>
            <w:tcW w:w="7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28,133</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80"/>
              <w:spacing w:after="0"/>
              <w:rPr>
                <w:sz w:val="20"/>
                <w:szCs w:val="20"/>
                <w:color w:val="auto"/>
              </w:rPr>
            </w:pPr>
            <w:r>
              <w:rPr>
                <w:rFonts w:ascii="Arial" w:cs="Arial" w:eastAsia="Arial" w:hAnsi="Arial"/>
                <w:sz w:val="18"/>
                <w:szCs w:val="18"/>
                <w:color w:val="auto"/>
              </w:rPr>
              <w:t>Gross realized losses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(35,393)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10"/>
              <w:spacing w:after="0"/>
              <w:rPr>
                <w:sz w:val="20"/>
                <w:szCs w:val="20"/>
                <w:color w:val="auto"/>
              </w:rPr>
            </w:pPr>
            <w:r>
              <w:rPr>
                <w:rFonts w:ascii="Arial" w:cs="Arial" w:eastAsia="Arial" w:hAnsi="Arial"/>
                <w:sz w:val="18"/>
                <w:szCs w:val="18"/>
                <w:color w:val="auto"/>
              </w:rPr>
              <w:t>(308,931)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Equity securities: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Gains on securities sold</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14,650</w:t>
            </w: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380"/>
              <w:spacing w:after="0"/>
              <w:rPr>
                <w:sz w:val="20"/>
                <w:szCs w:val="20"/>
                <w:color w:val="auto"/>
              </w:rPr>
            </w:pPr>
            <w:r>
              <w:rPr>
                <w:rFonts w:ascii="Arial" w:cs="Arial" w:eastAsia="Arial" w:hAnsi="Arial"/>
                <w:sz w:val="18"/>
                <w:szCs w:val="18"/>
                <w:color w:val="auto"/>
                <w:w w:val="98"/>
              </w:rPr>
              <w:t>Unrealized gains and (losses) on securities held at the end of the period</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761,208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210"/>
              <w:spacing w:after="0"/>
              <w:rPr>
                <w:sz w:val="20"/>
                <w:szCs w:val="20"/>
                <w:color w:val="auto"/>
              </w:rPr>
            </w:pPr>
            <w:r>
              <w:rPr>
                <w:rFonts w:ascii="Arial" w:cs="Arial" w:eastAsia="Arial" w:hAnsi="Arial"/>
                <w:sz w:val="18"/>
                <w:szCs w:val="18"/>
                <w:color w:val="auto"/>
              </w:rPr>
              <w:t>(372,042)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Other assets:</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Gross realized gains</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1,104,935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22,951,723</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380"/>
              <w:spacing w:after="0"/>
              <w:rPr>
                <w:sz w:val="20"/>
                <w:szCs w:val="20"/>
                <w:color w:val="auto"/>
              </w:rPr>
            </w:pPr>
            <w:r>
              <w:rPr>
                <w:rFonts w:ascii="Arial" w:cs="Arial" w:eastAsia="Arial" w:hAnsi="Arial"/>
                <w:sz w:val="18"/>
                <w:szCs w:val="18"/>
                <w:color w:val="auto"/>
              </w:rPr>
              <w:t>Gross realized losses</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(121,252)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10"/>
              <w:spacing w:after="0"/>
              <w:rPr>
                <w:sz w:val="20"/>
                <w:szCs w:val="20"/>
                <w:color w:val="auto"/>
              </w:rPr>
            </w:pPr>
            <w:r>
              <w:rPr>
                <w:rFonts w:ascii="Arial" w:cs="Arial" w:eastAsia="Arial" w:hAnsi="Arial"/>
                <w:sz w:val="18"/>
                <w:szCs w:val="18"/>
                <w:color w:val="auto"/>
              </w:rPr>
              <w:t>(292,594)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4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1,806,661</w:t>
            </w:r>
          </w:p>
        </w:tc>
        <w:tc>
          <w:tcPr>
            <w:tcW w:w="10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22,020,939</w:t>
            </w:r>
          </w:p>
        </w:tc>
        <w:tc>
          <w:tcPr>
            <w:tcW w:w="3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Includes a one-time gain of $22,252,000 from the sale of Dry Creek at East Village Apartments.</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net realized gains and losses on the sale of securities are recorded on the trade date, and the cost of the securities sold is determined using the specific identification method.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5" w:name="page16"/>
    <w:bookmarkEnd w:id="15"/>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35"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amount of held to maturity securities sold was $369,263 and $472,883 for the three months ended March 31, 2019 and 2018, respectively. The net realized loss related to these sales was $35,388 and $306,851 for the three months ended March 31, 2019 and 2018, respectively. Although the Company has the positive intent and ability to buy and hold a fixed maturity security to maturity, the Company will sell a security prior to maturity if conditions and circumstances have changed within the entity that issued the security to increase the risk of default to an unacceptable level.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gridSpan w:val="2"/>
          </w:tcPr>
          <w:p>
            <w:pPr>
              <w:spacing w:after="0"/>
              <w:rPr>
                <w:sz w:val="20"/>
                <w:szCs w:val="20"/>
                <w:color w:val="auto"/>
              </w:rPr>
            </w:pPr>
            <w:r>
              <w:rPr>
                <w:rFonts w:ascii="Arial" w:cs="Arial" w:eastAsia="Arial" w:hAnsi="Arial"/>
                <w:sz w:val="18"/>
                <w:szCs w:val="18"/>
                <w:color w:val="auto"/>
              </w:rPr>
              <w:t>Major categories of net investment income are as follows: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2"/>
        </w:trPr>
        <w:tc>
          <w:tcPr>
            <w:tcW w:w="11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right"/>
              <w:ind w:right="320"/>
              <w:spacing w:after="0"/>
              <w:rPr>
                <w:sz w:val="20"/>
                <w:szCs w:val="20"/>
                <w:color w:val="auto"/>
              </w:rPr>
            </w:pPr>
            <w:r>
              <w:rPr>
                <w:rFonts w:ascii="Arial" w:cs="Arial" w:eastAsia="Arial" w:hAnsi="Arial"/>
                <w:sz w:val="18"/>
                <w:szCs w:val="18"/>
                <w:color w:val="auto"/>
                <w:w w:val="97"/>
              </w:rPr>
              <w:t>Three Months Ended</w:t>
            </w:r>
          </w:p>
        </w:tc>
      </w:tr>
      <w:tr>
        <w:trPr>
          <w:trHeight w:val="237"/>
        </w:trPr>
        <w:tc>
          <w:tcPr>
            <w:tcW w:w="116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5"/>
          </w:tcPr>
          <w:p>
            <w:pPr>
              <w:jc w:val="right"/>
              <w:ind w:right="740"/>
              <w:spacing w:after="0"/>
              <w:rPr>
                <w:sz w:val="20"/>
                <w:szCs w:val="20"/>
                <w:color w:val="auto"/>
              </w:rPr>
            </w:pPr>
            <w:r>
              <w:rPr>
                <w:rFonts w:ascii="Arial" w:cs="Arial" w:eastAsia="Arial" w:hAnsi="Arial"/>
                <w:sz w:val="18"/>
                <w:szCs w:val="18"/>
                <w:color w:val="auto"/>
              </w:rPr>
              <w:t>March 31</w:t>
            </w:r>
          </w:p>
        </w:tc>
      </w:tr>
      <w:tr>
        <w:trPr>
          <w:trHeight w:val="223"/>
        </w:trPr>
        <w:tc>
          <w:tcPr>
            <w:tcW w:w="116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Fixed maturity securities held to maturity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2,503,865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2,529,841</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Equity securities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77,921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58,292</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Mortgage loans held for investment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4,103,367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4,531,927</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Real estate held for investment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1,910,294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2,670,440</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Policy loans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102,866</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Insurance assignments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4,212,120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3,860,937</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54,548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53,673</w:t>
            </w:r>
          </w:p>
        </w:tc>
        <w:tc>
          <w:tcPr>
            <w:tcW w:w="8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498,918</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137,368</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13,449,170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13,945,344</w:t>
            </w:r>
          </w:p>
        </w:tc>
        <w:tc>
          <w:tcPr>
            <w:tcW w:w="8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Investment expenses</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(3,407,502)</w:t>
            </w: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(3,870,913)</w:t>
            </w:r>
          </w:p>
        </w:tc>
      </w:tr>
      <w:tr>
        <w:trPr>
          <w:trHeight w:val="257"/>
        </w:trPr>
        <w:tc>
          <w:tcPr>
            <w:tcW w:w="116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10,041,668</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10,074,431</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investment income includes income earned by the restricted assets cemeteries and mortuaries of $86,288 and $110,802 for the three months ended March 31, 2019 and 2018, respectively.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Net investment income on real estate consists primarily of rental revenue.</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Investment expenses consist primarily of depreciation, property taxes, operating expenses of real estate and an estimated portion of administrative expenses relating to investment activities.</w:t>
      </w:r>
    </w:p>
    <w:p>
      <w:pPr>
        <w:spacing w:after="0" w:line="2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Securities on deposit with regulatory authorities as required by law amounted to $9,807,938 at March 31, 2019 and $9,220,520 at December 31, 2018. These restricted securities are included in various assets under investments on the accompanying condensed consolidated balance sheets.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investments, aggregated by issuer, in excess of 10% of shareholders’ equity (before net unrealized gains and losses on equity securities) at March 31, 2019, other than investments issued or guaranteed by the United States Government.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Held for Investment</w:t>
      </w:r>
    </w:p>
    <w:p>
      <w:pPr>
        <w:spacing w:after="0" w:line="28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continues to strategically deploy resources into real estate to match the income and yield durations of its primary obligations. The sources for these real estate assets come through its various business units in the form of acquisition, development and mortgage foreclosures.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Commercial Real Estate Held for Investment</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owns and manages commercial real estate assets as a means of generating investment income. These assets are acquired in accordance with the Company’s goals and objectives for risk-adjusted returns. Due diligence is conducted on each asset using internal and third-party reports. Geographic locations and asset classes of the investment activity is determined by senior management under the direction of the Board of Directors.</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employs full-time employees to attend to the day-to-day operations of those assets within the greater Salt Lake area and close surrounding markets. The Company utilizes third party property managers when the geographic boundary does not warrant full-time staff or through strategic lease-up periods. The Company generally looks to acquire assets in regions that are high growth regions for employment and population and in assets that provide operational efficiencies.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6" w:name="page17"/>
    <w:bookmarkEnd w:id="16"/>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35"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currently owns and operates 11 commercial properties in 4 states. These properties include industrial warehouses, office buildings, retail centers, a restaurant, and includes the redevelopment and expansion of its corporate campus (“Center53”) in Salt Lake City, Utah. The Company also holds undeveloped land that may be used for future commercial developments. The Company uses bank debt in strategic cases to leverage established yields or to acquire a higher quality or different class of asset.</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aggregated net ending balance of commercial real estate that serves as collateral for bank borrowings was approximately $85,950,000 and $84,880,000 as of March 31, 2019 and December 31, 2018, respectively. The associated bank loan carrying values totaled approximately $52,395,000 and $52,237,000 as of March 31, 2019 and December 31, 2018, respectively.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March 31, 2019 and 2018, the Company did not record any impairment losses on commercial real estate held for investment.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Impairment losses, if any, are included in gains (losses) on investment and other assets on the condensed consolidated statements of earnings.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commercial real estate held for investment for the periods presented:</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right="70"/>
              <w:spacing w:after="0"/>
              <w:rPr>
                <w:sz w:val="20"/>
                <w:szCs w:val="20"/>
                <w:color w:val="auto"/>
              </w:rPr>
            </w:pPr>
            <w:r>
              <w:rPr>
                <w:rFonts w:ascii="Arial" w:cs="Arial" w:eastAsia="Arial" w:hAnsi="Arial"/>
                <w:sz w:val="18"/>
                <w:szCs w:val="18"/>
                <w:color w:val="auto"/>
                <w:w w:val="90"/>
              </w:rPr>
              <w:t>Net Ending Balance</w:t>
            </w:r>
          </w:p>
        </w:tc>
        <w:tc>
          <w:tcPr>
            <w:tcW w:w="46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color w:val="auto"/>
              </w:rPr>
              <w:t>Total Square Footage</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130"/>
              <w:spacing w:after="0" w:line="201" w:lineRule="exact"/>
              <w:rPr>
                <w:sz w:val="20"/>
                <w:szCs w:val="20"/>
                <w:color w:val="auto"/>
              </w:rPr>
            </w:pPr>
            <w:r>
              <w:rPr>
                <w:rFonts w:ascii="Arial" w:cs="Arial" w:eastAsia="Arial" w:hAnsi="Arial"/>
                <w:sz w:val="18"/>
                <w:szCs w:val="18"/>
                <w:color w:val="auto"/>
              </w:rPr>
              <w:t>March 31</w:t>
            </w: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w w:val="94"/>
              </w:rPr>
              <w:t>December 31</w:t>
            </w:r>
          </w:p>
        </w:tc>
        <w:tc>
          <w:tcPr>
            <w:tcW w:w="460" w:type="dxa"/>
            <w:vAlign w:val="bottom"/>
          </w:tcPr>
          <w:p>
            <w:pPr>
              <w:spacing w:after="0"/>
              <w:rPr>
                <w:sz w:val="17"/>
                <w:szCs w:val="17"/>
                <w:color w:val="auto"/>
              </w:rPr>
            </w:pPr>
          </w:p>
        </w:tc>
        <w:tc>
          <w:tcPr>
            <w:tcW w:w="1160" w:type="dxa"/>
            <w:vAlign w:val="bottom"/>
          </w:tcPr>
          <w:p>
            <w:pPr>
              <w:jc w:val="right"/>
              <w:ind w:right="150"/>
              <w:spacing w:after="0" w:line="201" w:lineRule="exact"/>
              <w:rPr>
                <w:sz w:val="20"/>
                <w:szCs w:val="20"/>
                <w:color w:val="auto"/>
              </w:rPr>
            </w:pPr>
            <w:r>
              <w:rPr>
                <w:rFonts w:ascii="Arial" w:cs="Arial" w:eastAsia="Arial" w:hAnsi="Arial"/>
                <w:sz w:val="18"/>
                <w:szCs w:val="18"/>
                <w:color w:val="auto"/>
              </w:rPr>
              <w:t>March 31</w:t>
            </w:r>
          </w:p>
        </w:tc>
        <w:tc>
          <w:tcPr>
            <w:tcW w:w="220" w:type="dxa"/>
            <w:vAlign w:val="bottom"/>
          </w:tcPr>
          <w:p>
            <w:pPr>
              <w:spacing w:after="0"/>
              <w:rPr>
                <w:sz w:val="17"/>
                <w:szCs w:val="17"/>
                <w:color w:val="auto"/>
              </w:rPr>
            </w:pPr>
          </w:p>
        </w:tc>
        <w:tc>
          <w:tcPr>
            <w:tcW w:w="1160" w:type="dxa"/>
            <w:vAlign w:val="bottom"/>
          </w:tcPr>
          <w:p>
            <w:pPr>
              <w:jc w:val="right"/>
              <w:ind w:right="10"/>
              <w:spacing w:after="0" w:line="201" w:lineRule="exact"/>
              <w:rPr>
                <w:sz w:val="20"/>
                <w:szCs w:val="20"/>
                <w:color w:val="auto"/>
              </w:rPr>
            </w:pPr>
            <w:r>
              <w:rPr>
                <w:rFonts w:ascii="Arial" w:cs="Arial" w:eastAsia="Arial" w:hAnsi="Arial"/>
                <w:sz w:val="18"/>
                <w:szCs w:val="18"/>
                <w:color w:val="auto"/>
                <w:w w:val="96"/>
              </w:rPr>
              <w:t>December 31</w:t>
            </w: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46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380" w:type="dxa"/>
            <w:vAlign w:val="bottom"/>
            <w:gridSpan w:val="2"/>
          </w:tcPr>
          <w:p>
            <w:pPr>
              <w:jc w:val="right"/>
              <w:ind w:right="310"/>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Arizona</w:t>
            </w:r>
          </w:p>
        </w:tc>
        <w:tc>
          <w:tcPr>
            <w:tcW w:w="4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Kansas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7,210,017</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6,861,898</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222,679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222,679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Louisiana</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461,319</w:t>
            </w: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467,694</w:t>
            </w:r>
          </w:p>
        </w:tc>
        <w:tc>
          <w:tcPr>
            <w:tcW w:w="4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Mississippi</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3,309,692</w:t>
            </w: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3,329,948</w:t>
            </w:r>
          </w:p>
        </w:tc>
        <w:tc>
          <w:tcPr>
            <w:tcW w:w="4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33,821</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33,821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New Mexico</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Texas</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300,000</w:t>
            </w:r>
          </w:p>
        </w:tc>
        <w:tc>
          <w:tcPr>
            <w:tcW w:w="40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300,000</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Utah</w:t>
            </w:r>
          </w:p>
        </w:tc>
        <w:tc>
          <w:tcPr>
            <w:tcW w:w="4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82,133,870</w:t>
            </w:r>
          </w:p>
        </w:tc>
        <w:tc>
          <w:tcPr>
            <w:tcW w:w="4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81,080,251</w:t>
            </w:r>
          </w:p>
        </w:tc>
        <w:tc>
          <w:tcPr>
            <w:tcW w:w="4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502,129</w:t>
            </w:r>
          </w:p>
        </w:tc>
        <w:tc>
          <w:tcPr>
            <w:tcW w:w="2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502,129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28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93,425,898</w:t>
            </w:r>
          </w:p>
        </w:tc>
        <w:tc>
          <w:tcPr>
            <w:tcW w:w="40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3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92,050,791</w:t>
            </w:r>
          </w:p>
        </w:tc>
        <w:tc>
          <w:tcPr>
            <w:tcW w:w="4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765,692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765,692</w:t>
            </w:r>
          </w:p>
        </w:tc>
        <w:tc>
          <w:tcPr>
            <w:tcW w:w="100" w:type="dxa"/>
            <w:vAlign w:val="bottom"/>
            <w:shd w:val="clear" w:color="auto" w:fill="CCEEFF"/>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284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___________________________</w:t>
            </w:r>
          </w:p>
        </w:tc>
        <w:tc>
          <w:tcPr>
            <w:tcW w:w="4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6"/>
        </w:trPr>
        <w:tc>
          <w:tcPr>
            <w:tcW w:w="2860" w:type="dxa"/>
            <w:vAlign w:val="bottom"/>
            <w:gridSpan w:val="2"/>
          </w:tcPr>
          <w:p>
            <w:pPr>
              <w:spacing w:after="0"/>
              <w:rPr>
                <w:sz w:val="20"/>
                <w:szCs w:val="20"/>
                <w:color w:val="auto"/>
              </w:rPr>
            </w:pPr>
            <w:r>
              <w:rPr>
                <w:rFonts w:ascii="Arial" w:cs="Arial" w:eastAsia="Arial" w:hAnsi="Arial"/>
                <w:sz w:val="18"/>
                <w:szCs w:val="18"/>
                <w:color w:val="auto"/>
              </w:rPr>
              <w:t>(1) Undeveloped land</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860" w:type="dxa"/>
            <w:vAlign w:val="bottom"/>
            <w:gridSpan w:val="2"/>
          </w:tcPr>
          <w:p>
            <w:pPr>
              <w:spacing w:after="0"/>
              <w:rPr>
                <w:sz w:val="20"/>
                <w:szCs w:val="20"/>
                <w:color w:val="auto"/>
              </w:rPr>
            </w:pPr>
            <w:r>
              <w:rPr>
                <w:rFonts w:ascii="Arial" w:cs="Arial" w:eastAsia="Arial" w:hAnsi="Arial"/>
                <w:sz w:val="18"/>
                <w:szCs w:val="18"/>
                <w:color w:val="auto"/>
              </w:rPr>
              <w:t>(2) Improved commercial pad</w:t>
            </w: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Residential Real Estate Held for Investment</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owns a portfolio of residential homes primarily as a result of loan foreclosures. The strategy has been to lease these homes to produce cash flow and allow time for the economic fundamentals to return to the various markets. As an orderly and active market for these homes returns, the Company has the option to dispose or to continue and hold them for cash flow and acceptable returns.</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established Security National Real Estate Services (“SNRE”) to manage the residential portfolio. SNRE cultivates and maintains the preferred vendor relationships necessary to manage costs and quality of work performed on the portfolio of homes across the country.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SNRE manages 65 residential properties in 6 states across the United States.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net ending balance of foreclosed residential real estate included in residential real estate held for investment is $21,645,000 and $23,532,000 as of March 31, 2019 and December 31, 2018, respectively.</w:t>
      </w:r>
    </w:p>
    <w:p>
      <w:pPr>
        <w:spacing w:after="0" w:line="224" w:lineRule="exact"/>
        <w:rPr>
          <w:sz w:val="20"/>
          <w:szCs w:val="20"/>
          <w:color w:val="auto"/>
        </w:rPr>
      </w:pPr>
    </w:p>
    <w:p>
      <w:pPr>
        <w:ind w:right="120"/>
        <w:spacing w:after="0" w:line="308" w:lineRule="auto"/>
        <w:rPr>
          <w:sz w:val="20"/>
          <w:szCs w:val="20"/>
          <w:color w:val="auto"/>
        </w:rPr>
      </w:pPr>
      <w:r>
        <w:rPr>
          <w:rFonts w:ascii="Arial" w:cs="Arial" w:eastAsia="Arial" w:hAnsi="Arial"/>
          <w:sz w:val="16"/>
          <w:szCs w:val="16"/>
          <w:color w:val="auto"/>
        </w:rPr>
        <w:t>During the three months ended March 31, 2019 and 2018, the Company recorded impairment losses on residential real estate held for investment of $-0- and $147,925, respectively. These impairment losses are included in gains (losses) on investment and other assets on the condensed consolidated statements of</w:t>
      </w:r>
    </w:p>
    <w:p>
      <w:pPr>
        <w:spacing w:after="0"/>
        <w:rPr>
          <w:sz w:val="20"/>
          <w:szCs w:val="20"/>
          <w:color w:val="auto"/>
        </w:rPr>
      </w:pPr>
      <w:r>
        <w:rPr>
          <w:rFonts w:ascii="Arial" w:cs="Arial" w:eastAsia="Arial" w:hAnsi="Arial"/>
          <w:sz w:val="18"/>
          <w:szCs w:val="18"/>
          <w:color w:val="auto"/>
        </w:rPr>
        <w:t>earnings.</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35"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residential real estate held for investment for the periods presented:</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rPr>
              <w:t>Net Ending Balance</w:t>
            </w: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6"/>
              </w:rPr>
              <w:t>December</w:t>
            </w: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93"/>
              </w:rPr>
              <w:t>March 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California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2,256,741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2,644,321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Florida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6,093,133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6,534,277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Tennessee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105,260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105,260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Texas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139,174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Utah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18,915,534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19,598,218</w:t>
            </w:r>
          </w:p>
        </w:tc>
        <w:tc>
          <w:tcPr>
            <w:tcW w:w="8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Washington</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476,181</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476,181</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27,856,849</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29,507,431</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Real Estate Owned and Occupied by the Company</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primary business units of the Company occupy a portion of the real estate owned by the Company. Currently, the Company occupies nearly 70,000 square feet, or approximately 10% of the overall commercial real estate holdings.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real estate owned and occupied by the Company is summarized as follows: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6"/>
              </w:rPr>
              <w:t>Square</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Footage</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w w:val="98"/>
              </w:rPr>
              <w:t>Approximate</w:t>
            </w:r>
          </w:p>
        </w:tc>
        <w:tc>
          <w:tcPr>
            <w:tcW w:w="160" w:type="dxa"/>
            <w:vAlign w:val="bottom"/>
          </w:tcPr>
          <w:p>
            <w:pPr>
              <w:spacing w:after="0"/>
              <w:rPr>
                <w:sz w:val="18"/>
                <w:szCs w:val="18"/>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Occupied</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color w:val="auto"/>
              </w:rPr>
              <w:t>Square</w:t>
            </w:r>
          </w:p>
        </w:tc>
        <w:tc>
          <w:tcPr>
            <w:tcW w:w="16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by the</w:t>
            </w:r>
          </w:p>
        </w:tc>
      </w:tr>
      <w:tr>
        <w:trPr>
          <w:trHeight w:val="237"/>
        </w:trPr>
        <w:tc>
          <w:tcPr>
            <w:tcW w:w="3340" w:type="dxa"/>
            <w:vAlign w:val="bottom"/>
            <w:gridSpan w:val="3"/>
          </w:tcPr>
          <w:p>
            <w:pPr>
              <w:spacing w:after="0"/>
              <w:rPr>
                <w:sz w:val="20"/>
                <w:szCs w:val="20"/>
                <w:color w:val="auto"/>
              </w:rPr>
            </w:pPr>
            <w:r>
              <w:rPr>
                <w:rFonts w:ascii="Arial" w:cs="Arial" w:eastAsia="Arial" w:hAnsi="Arial"/>
                <w:sz w:val="18"/>
                <w:szCs w:val="18"/>
                <w:color w:val="auto"/>
              </w:rPr>
              <w:t>Location</w:t>
            </w:r>
          </w:p>
        </w:tc>
        <w:tc>
          <w:tcPr>
            <w:tcW w:w="3560" w:type="dxa"/>
            <w:vAlign w:val="bottom"/>
          </w:tcPr>
          <w:p>
            <w:pPr>
              <w:ind w:left="100"/>
              <w:spacing w:after="0"/>
              <w:rPr>
                <w:sz w:val="20"/>
                <w:szCs w:val="20"/>
                <w:color w:val="auto"/>
              </w:rPr>
            </w:pPr>
            <w:r>
              <w:rPr>
                <w:rFonts w:ascii="Arial" w:cs="Arial" w:eastAsia="Arial" w:hAnsi="Arial"/>
                <w:sz w:val="18"/>
                <w:szCs w:val="18"/>
                <w:color w:val="auto"/>
              </w:rPr>
              <w:t>Business Segment</w:t>
            </w:r>
          </w:p>
        </w:tc>
        <w:tc>
          <w:tcPr>
            <w:tcW w:w="8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Footage</w:t>
            </w:r>
          </w:p>
        </w:tc>
        <w:tc>
          <w:tcPr>
            <w:tcW w:w="160" w:type="dxa"/>
            <w:vAlign w:val="bottom"/>
          </w:tcPr>
          <w:p>
            <w:pPr>
              <w:spacing w:after="0"/>
              <w:rPr>
                <w:sz w:val="20"/>
                <w:szCs w:val="20"/>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Company</w:t>
            </w:r>
          </w:p>
        </w:tc>
      </w:tr>
      <w:tr>
        <w:trPr>
          <w:trHeight w:val="202"/>
        </w:trPr>
        <w:tc>
          <w:tcPr>
            <w:tcW w:w="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w w:val="89"/>
              </w:rPr>
              <w:t>5300</w:t>
            </w:r>
          </w:p>
        </w:tc>
        <w:tc>
          <w:tcPr>
            <w:tcW w:w="2940" w:type="dxa"/>
            <w:vAlign w:val="bottom"/>
            <w:tcBorders>
              <w:top w:val="single" w:sz="8" w:color="auto"/>
            </w:tcBorders>
            <w:shd w:val="clear" w:color="auto" w:fill="CCEEFF"/>
          </w:tcPr>
          <w:p>
            <w:pPr>
              <w:ind w:left="20"/>
              <w:spacing w:after="0" w:line="201" w:lineRule="exact"/>
              <w:rPr>
                <w:sz w:val="20"/>
                <w:szCs w:val="20"/>
                <w:color w:val="auto"/>
              </w:rPr>
            </w:pPr>
            <w:r>
              <w:rPr>
                <w:rFonts w:ascii="Arial" w:cs="Arial" w:eastAsia="Arial" w:hAnsi="Arial"/>
                <w:sz w:val="18"/>
                <w:szCs w:val="18"/>
                <w:color w:val="auto"/>
                <w:w w:val="93"/>
              </w:rPr>
              <w:t>South 360 West, Salt Lake City, UT (1)</w:t>
            </w:r>
          </w:p>
        </w:tc>
        <w:tc>
          <w:tcPr>
            <w:tcW w:w="3560" w:type="dxa"/>
            <w:vAlign w:val="bottom"/>
            <w:tcBorders>
              <w:top w:val="single" w:sz="8" w:color="auto"/>
            </w:tcBorders>
            <w:shd w:val="clear" w:color="auto" w:fill="CCEEFF"/>
          </w:tcPr>
          <w:p>
            <w:pPr>
              <w:ind w:left="100"/>
              <w:spacing w:after="0" w:line="201" w:lineRule="exact"/>
              <w:rPr>
                <w:sz w:val="20"/>
                <w:szCs w:val="20"/>
                <w:color w:val="auto"/>
              </w:rPr>
            </w:pPr>
            <w:r>
              <w:rPr>
                <w:rFonts w:ascii="Arial" w:cs="Arial" w:eastAsia="Arial" w:hAnsi="Arial"/>
                <w:sz w:val="18"/>
                <w:szCs w:val="18"/>
                <w:color w:val="auto"/>
              </w:rPr>
              <w:t>Corporate Offices, Life Insurance and</w:t>
            </w:r>
          </w:p>
        </w:tc>
        <w:tc>
          <w:tcPr>
            <w:tcW w:w="8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3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Cemetery/Mortuary Operations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36,000</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5201</w:t>
            </w:r>
          </w:p>
        </w:tc>
        <w:tc>
          <w:tcPr>
            <w:tcW w:w="2940" w:type="dxa"/>
            <w:vAlign w:val="bottom"/>
          </w:tcPr>
          <w:p>
            <w:pPr>
              <w:ind w:left="20"/>
              <w:spacing w:after="0"/>
              <w:rPr>
                <w:sz w:val="20"/>
                <w:szCs w:val="20"/>
                <w:color w:val="auto"/>
              </w:rPr>
            </w:pPr>
            <w:r>
              <w:rPr>
                <w:rFonts w:ascii="Arial" w:cs="Arial" w:eastAsia="Arial" w:hAnsi="Arial"/>
                <w:sz w:val="18"/>
                <w:szCs w:val="18"/>
                <w:color w:val="auto"/>
              </w:rPr>
              <w:t>Green Street, Salt Lake City, UT</w:t>
            </w:r>
          </w:p>
        </w:tc>
        <w:tc>
          <w:tcPr>
            <w:tcW w:w="3560" w:type="dxa"/>
            <w:vAlign w:val="bottom"/>
          </w:tcPr>
          <w:p>
            <w:pPr>
              <w:ind w:left="100"/>
              <w:spacing w:after="0"/>
              <w:rPr>
                <w:sz w:val="20"/>
                <w:szCs w:val="20"/>
                <w:color w:val="auto"/>
              </w:rPr>
            </w:pPr>
            <w:r>
              <w:rPr>
                <w:rFonts w:ascii="Arial" w:cs="Arial" w:eastAsia="Arial" w:hAnsi="Arial"/>
                <w:sz w:val="18"/>
                <w:szCs w:val="18"/>
                <w:color w:val="auto"/>
              </w:rPr>
              <w:t>Mortgage Operations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36,899</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34%</w:t>
            </w: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1044</w:t>
            </w: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River Oaks Dr., Flowood, MS</w:t>
            </w:r>
          </w:p>
        </w:tc>
        <w:tc>
          <w:tcPr>
            <w:tcW w:w="3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Life Insurance Operations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21,521</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r>
      <w:tr>
        <w:trPr>
          <w:trHeight w:val="230"/>
        </w:trPr>
        <w:tc>
          <w:tcPr>
            <w:tcW w:w="2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121 West Election Road, Draper, UT</w:t>
            </w:r>
          </w:p>
        </w:tc>
        <w:tc>
          <w:tcPr>
            <w:tcW w:w="3560" w:type="dxa"/>
            <w:vAlign w:val="bottom"/>
          </w:tcPr>
          <w:p>
            <w:pPr>
              <w:ind w:left="100"/>
              <w:spacing w:after="0"/>
              <w:rPr>
                <w:sz w:val="20"/>
                <w:szCs w:val="20"/>
                <w:color w:val="auto"/>
              </w:rPr>
            </w:pPr>
            <w:r>
              <w:rPr>
                <w:rFonts w:ascii="Arial" w:cs="Arial" w:eastAsia="Arial" w:hAnsi="Arial"/>
                <w:sz w:val="18"/>
                <w:szCs w:val="18"/>
                <w:color w:val="auto"/>
              </w:rPr>
              <w:t>Mortgage Sales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78,978</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19%</w:t>
            </w:r>
          </w:p>
        </w:tc>
      </w:tr>
    </w:tbl>
    <w:p>
      <w:pPr>
        <w:spacing w:after="0" w:line="18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This asset is included in property and equipment on the condensed consolidated balance sheets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Loans Held for Investment</w:t>
      </w:r>
    </w:p>
    <w:p>
      <w:pPr>
        <w:spacing w:after="0" w:line="2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Mortgage loans held for investment consist of first and second mortgages. The mortgage loans bear interest at rates ranging from 2.0% to 10.5%, maturity dates range from nine months to 30 years and are secured by real estate. Concentrations of credit risk arise when a number of mortgage loan debtors have similar economic characteristics that would cause their ability to meet contractual obligations to be similarly affected by changes in economic conditions. Although the Company has a diversified mortgage loan portfolio consisting of residential mortgages, commercial loans and residential construction loans and requires collateral on all real estate exposures, a substantial portion of its debtors’ ability to honor obligations is reliant on the economic stability of the geographic region in which the debtors do business. At March 31, 2019, the Company had 48%, 14%, 14%, 7%, 6%, 4% and 2% of its mortgage loans from borrowers located in the states of Utah, Florida, Texas, California, Nevada, Arizona, and Tennessee, respectively.</w:t>
      </w:r>
    </w:p>
    <w:p>
      <w:pPr>
        <w:spacing w:after="0" w:line="2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Mortgage loans held for investment are carried at their unpaid principal balances adjusted for net deferred fees, charge-offs and the related allowance for loan losses. Interest income is included in net investment income on the condensed consolidated statements of earnings and is recognized when earned. The Company defers related material loan origination fees, net of related direct loan origination costs, and amortizes the net fees over the term of the loans. Origination fees are included in net investment income on the condensed consolidated statements of earnings.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Mortgage loans are secured by the underlying property and require an appraisal at the time of underwriting and funding. Generally, the Company will fund a loan not to exceed 80% of the loan’s collateral fair market value. Amounts over 80% will require additional collateral or mortgage insurance by an approved third-party insurer.</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8" w:name="page19"/>
    <w:bookmarkEnd w:id="18"/>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35"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provides for losses on its mortgage loans held for investment through an allowance for loan losses (a contra-asset account). The allowance is comprised of two components. The first component is an allowance for collectively evaluated impairment that is based upon the Company’s historical experience in collecting similar receivables. The second component is based upon individual evaluation of loans that are determined to be impaired. Upon determining impairment, the Company establishes an individual impairment allowance based upon an assessment of the fair value of the underlying collateral. In addition, when a mortgage loan is past due more than 90 days, the Company does not accrue any interest income. When a loan becomes delinquent, the Company proceeds to foreclose on the real estate and all expenses for foreclosure are expensed as incurred. Once foreclosed, an adjustment for the lower of cost or fair value is made, if necessary, and the amount is classified as real estate held for investment. The Company will rent the properties until it is deemed desirable to sell them.</w:t>
      </w: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allowance for losses on mortgage loans held for investment could change based on changes in the value of the underlying collateral, the performance status of the loans, or the Company’s actual collection experience. The actual losses could change, in the near term, from the established allowance, based upon the occurrence or non-occurrence of these events.</w:t>
      </w:r>
    </w:p>
    <w:p>
      <w:pPr>
        <w:spacing w:after="0" w:line="23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purposes of determining the allowance for losses, the Company has segmented its mortgage loans held for investment by loan type. The Company’s loan types are commercial, residential, and residential construction. The inherent risks within the portfolio vary depending upon the loan type as follows: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u w:val="single" w:color="auto"/>
          <w:color w:val="auto"/>
        </w:rPr>
        <w:t>Commercial</w:t>
      </w:r>
      <w:r>
        <w:rPr>
          <w:rFonts w:ascii="Arial" w:cs="Arial" w:eastAsia="Arial" w:hAnsi="Arial"/>
          <w:sz w:val="18"/>
          <w:szCs w:val="18"/>
          <w:color w:val="auto"/>
        </w:rPr>
        <w:t xml:space="preserve"> - Underwritten in accordance with the Company’s policies to determine the borrower’s ability to repay the obligation as agreed. Commercial loans are made primarily based on the underlying collateral supporting the loan. Accordingly, the repayment of a commercial loan depends primarily on the collateral and its ability to generate income and secondary on the borrower’s (or guarantors) ability to repay.</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u w:val="single" w:color="auto"/>
          <w:color w:val="auto"/>
        </w:rPr>
        <w:t>Residential</w:t>
      </w:r>
      <w:r>
        <w:rPr>
          <w:rFonts w:ascii="Arial" w:cs="Arial" w:eastAsia="Arial" w:hAnsi="Arial"/>
          <w:sz w:val="18"/>
          <w:szCs w:val="18"/>
          <w:color w:val="auto"/>
        </w:rPr>
        <w:t xml:space="preserve"> – Secured by family dwelling units. These loans are secured by first mortgages on the unit, which are generally the primary residence of the borrower, generally at a loan-to-value ratio (“LTV”) of 80% or less.</w:t>
      </w:r>
    </w:p>
    <w:p>
      <w:pPr>
        <w:spacing w:after="0" w:line="22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u w:val="single" w:color="auto"/>
          <w:color w:val="auto"/>
        </w:rPr>
        <w:t>Residential construction (including land acquisition and development)</w:t>
      </w:r>
      <w:r>
        <w:rPr>
          <w:rFonts w:ascii="Arial" w:cs="Arial" w:eastAsia="Arial" w:hAnsi="Arial"/>
          <w:sz w:val="17"/>
          <w:szCs w:val="17"/>
          <w:color w:val="auto"/>
        </w:rPr>
        <w:t xml:space="preserve"> – Underwritten in accordance with the Company’s underwriting policies which include a financial analysis of the builders, borrowers (guarantors), construction cost estimates, and independent appraisal valuations. These loans will rely on the value associated with the project upon completion. These cost and valuation estimates may be inaccurate. Construction loans generally involve the disbursement of substantial funds over a short period of time with repayment substantially dependent upon the success of the completed project and the ability of the borrower to secure long-term financing. Additionally, land is underwritten according to the Company’s policies, which include independent appraisal valuations as well as the estimated value associated with the land upon completion of development into finished lots. These cost and valuation estimates may be inaccurate. These loans are considered to be of a higher risk than other mortgage loans due to their ultimate repayment being sensitive to general economic conditions, availability of long-term or construction financing, and interest rate sensitivity.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3"/>
          </w:tcPr>
          <w:p>
            <w:pPr>
              <w:spacing w:after="0"/>
              <w:rPr>
                <w:sz w:val="20"/>
                <w:szCs w:val="20"/>
                <w:color w:val="auto"/>
              </w:rPr>
            </w:pPr>
            <w:r>
              <w:rPr>
                <w:rFonts w:ascii="Arial" w:cs="Arial" w:eastAsia="Arial" w:hAnsi="Arial"/>
                <w:sz w:val="18"/>
                <w:szCs w:val="18"/>
                <w:color w:val="auto"/>
              </w:rPr>
              <w:t>3)  Investments (Continued)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3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7960" w:type="dxa"/>
            <w:vAlign w:val="bottom"/>
            <w:gridSpan w:val="11"/>
          </w:tcPr>
          <w:p>
            <w:pPr>
              <w:ind w:left="1660"/>
              <w:spacing w:after="0"/>
              <w:rPr>
                <w:sz w:val="20"/>
                <w:szCs w:val="20"/>
                <w:color w:val="auto"/>
              </w:rPr>
            </w:pPr>
            <w:r>
              <w:rPr>
                <w:rFonts w:ascii="Arial" w:cs="Arial" w:eastAsia="Arial" w:hAnsi="Arial"/>
                <w:sz w:val="18"/>
                <w:szCs w:val="18"/>
                <w:b w:val="1"/>
                <w:bCs w:val="1"/>
                <w:color w:val="auto"/>
                <w:w w:val="99"/>
              </w:rPr>
              <w:t>Allowance for Credit Losses and Recorded Investment in Mortgage Loans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3"/>
          </w:tcPr>
          <w:p>
            <w:pPr>
              <w:ind w:left="60"/>
              <w:spacing w:after="0"/>
              <w:rPr>
                <w:sz w:val="20"/>
                <w:szCs w:val="20"/>
                <w:color w:val="auto"/>
              </w:rPr>
            </w:pPr>
            <w:r>
              <w:rPr>
                <w:rFonts w:ascii="Arial" w:cs="Arial" w:eastAsia="Arial" w:hAnsi="Arial"/>
                <w:sz w:val="18"/>
                <w:szCs w:val="18"/>
                <w:b w:val="1"/>
                <w:bCs w:val="1"/>
                <w:color w:val="auto"/>
              </w:rPr>
              <w:t>Residential</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b w:val="1"/>
                <w:bCs w:val="1"/>
                <w:color w:val="auto"/>
                <w:w w:val="89"/>
              </w:rPr>
              <w:t>Commercial</w:t>
            </w:r>
          </w:p>
        </w:tc>
        <w:tc>
          <w:tcPr>
            <w:tcW w:w="160" w:type="dxa"/>
            <w:vAlign w:val="bottom"/>
          </w:tcPr>
          <w:p>
            <w:pPr>
              <w:spacing w:after="0"/>
              <w:rPr>
                <w:sz w:val="20"/>
                <w:szCs w:val="20"/>
                <w:color w:val="auto"/>
              </w:rPr>
            </w:pPr>
          </w:p>
        </w:tc>
        <w:tc>
          <w:tcPr>
            <w:tcW w:w="1060" w:type="dxa"/>
            <w:vAlign w:val="bottom"/>
            <w:gridSpan w:val="3"/>
          </w:tcPr>
          <w:p>
            <w:pPr>
              <w:ind w:left="20"/>
              <w:spacing w:after="0"/>
              <w:rPr>
                <w:sz w:val="20"/>
                <w:szCs w:val="20"/>
                <w:color w:val="auto"/>
              </w:rPr>
            </w:pPr>
            <w:r>
              <w:rPr>
                <w:rFonts w:ascii="Arial" w:cs="Arial" w:eastAsia="Arial" w:hAnsi="Arial"/>
                <w:sz w:val="18"/>
                <w:szCs w:val="18"/>
                <w:b w:val="1"/>
                <w:bCs w:val="1"/>
                <w:color w:val="auto"/>
              </w:rPr>
              <w:t>Residential</w:t>
            </w:r>
          </w:p>
        </w:tc>
        <w:tc>
          <w:tcPr>
            <w:tcW w:w="1080" w:type="dxa"/>
            <w:vAlign w:val="bottom"/>
            <w:gridSpan w:val="3"/>
          </w:tcPr>
          <w:p>
            <w:pPr>
              <w:spacing w:after="0"/>
              <w:rPr>
                <w:sz w:val="20"/>
                <w:szCs w:val="20"/>
                <w:color w:val="auto"/>
              </w:rPr>
            </w:pPr>
            <w:r>
              <w:rPr>
                <w:rFonts w:ascii="Arial" w:cs="Arial" w:eastAsia="Arial" w:hAnsi="Arial"/>
                <w:sz w:val="18"/>
                <w:szCs w:val="18"/>
                <w:b w:val="1"/>
                <w:bCs w:val="1"/>
                <w:color w:val="auto"/>
                <w:w w:val="94"/>
              </w:rPr>
              <w:t>Construction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5060" w:type="dxa"/>
            <w:vAlign w:val="bottom"/>
            <w:gridSpan w:val="2"/>
          </w:tcPr>
          <w:p>
            <w:pPr>
              <w:ind w:left="840"/>
              <w:spacing w:after="0" w:line="201" w:lineRule="exact"/>
              <w:rPr>
                <w:sz w:val="20"/>
                <w:szCs w:val="20"/>
                <w:color w:val="auto"/>
              </w:rPr>
            </w:pPr>
            <w:r>
              <w:rPr>
                <w:rFonts w:ascii="Arial" w:cs="Arial" w:eastAsia="Arial" w:hAnsi="Arial"/>
                <w:sz w:val="18"/>
                <w:szCs w:val="18"/>
                <w:b w:val="1"/>
                <w:bCs w:val="1"/>
                <w:color w:val="auto"/>
              </w:rPr>
              <w:t>March 31, 2019</w:t>
            </w:r>
          </w:p>
        </w:tc>
        <w:tc>
          <w:tcPr>
            <w:tcW w:w="5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5060" w:type="dxa"/>
            <w:vAlign w:val="bottom"/>
            <w:gridSpan w:val="2"/>
          </w:tcPr>
          <w:p>
            <w:pPr>
              <w:ind w:left="840"/>
              <w:spacing w:after="0"/>
              <w:rPr>
                <w:sz w:val="20"/>
                <w:szCs w:val="20"/>
                <w:color w:val="auto"/>
              </w:rPr>
            </w:pPr>
            <w:r>
              <w:rPr>
                <w:rFonts w:ascii="Arial" w:cs="Arial" w:eastAsia="Arial" w:hAnsi="Arial"/>
                <w:sz w:val="18"/>
                <w:szCs w:val="18"/>
                <w:color w:val="auto"/>
              </w:rPr>
              <w:t>Allowance for credit losses: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 - January 1, 2019</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187,129</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1,125,623</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35,220</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1,347,972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Charge-offs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(24,141)</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(24,141)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200" w:type="dxa"/>
            <w:vAlign w:val="bottom"/>
            <w:tcBorders>
              <w:left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Provision</w:t>
            </w:r>
          </w:p>
        </w:tc>
        <w:tc>
          <w:tcPr>
            <w:tcW w:w="52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46,402</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7,982</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54,384</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Ending balance - March 31, 2019</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187,129</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1,147,884</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43,202</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1,378,215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20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8"/>
              </w:rPr>
              <w:t>Ending balance: individually evaluated for impairment</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39,884</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39,884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20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8"/>
              </w:rPr>
              <w:t>Ending balance: collectively evaluated for impairment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187,129</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1,108,000</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43,202</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1,338,331</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200" w:type="dxa"/>
            <w:vAlign w:val="bottom"/>
            <w:tcBorders>
              <w:lef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Mortgage loans: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34,258,354</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89,241,344</w:t>
            </w:r>
          </w:p>
        </w:tc>
        <w:tc>
          <w:tcPr>
            <w:tcW w:w="16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75,484,460</w:t>
            </w: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198,984,158</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42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Ending balance: individually evaluated for impairment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851,953</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3,317,070</w:t>
            </w:r>
          </w:p>
        </w:tc>
        <w:tc>
          <w:tcPr>
            <w:tcW w:w="16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4,672,014</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42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Ending balance: collectively evaluated for impairment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33,406,401</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85,924,274</w:t>
            </w:r>
          </w:p>
        </w:tc>
        <w:tc>
          <w:tcPr>
            <w:tcW w:w="16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74,981,469</w:t>
            </w: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194,312,144</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2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Allowance for credit losses: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 - January 1, 2018</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187,129</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1,546,447</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35,220</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1,768,796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0" w:type="dxa"/>
            <w:vAlign w:val="bottom"/>
          </w:tcPr>
          <w:p>
            <w:pPr>
              <w:ind w:left="120"/>
              <w:spacing w:after="0"/>
              <w:rPr>
                <w:sz w:val="20"/>
                <w:szCs w:val="20"/>
                <w:color w:val="auto"/>
              </w:rPr>
            </w:pPr>
            <w:r>
              <w:rPr>
                <w:rFonts w:ascii="Arial" w:cs="Arial" w:eastAsia="Arial" w:hAnsi="Arial"/>
                <w:sz w:val="18"/>
                <w:szCs w:val="18"/>
                <w:color w:val="auto"/>
              </w:rPr>
              <w:t>Charge-offs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(5,725)</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(5,725)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0" w:type="dxa"/>
            <w:vAlign w:val="bottom"/>
            <w:tcBorders>
              <w:left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Provision</w:t>
            </w: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(415,099)</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(415,099)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00" w:type="dxa"/>
            <w:vAlign w:val="bottom"/>
            <w:vMerge w:val="restart"/>
          </w:tcPr>
          <w:p>
            <w:pPr>
              <w:spacing w:after="0"/>
              <w:rPr>
                <w:sz w:val="2"/>
                <w:szCs w:val="2"/>
                <w:color w:val="auto"/>
              </w:rPr>
            </w:pPr>
          </w:p>
        </w:tc>
        <w:tc>
          <w:tcPr>
            <w:tcW w:w="860" w:type="dxa"/>
            <w:vAlign w:val="bottom"/>
            <w:vMerge w:val="restart"/>
          </w:tcPr>
          <w:p>
            <w:pPr>
              <w:spacing w:after="0"/>
              <w:rPr>
                <w:sz w:val="2"/>
                <w:szCs w:val="2"/>
                <w:color w:val="auto"/>
              </w:rPr>
            </w:pPr>
          </w:p>
        </w:tc>
        <w:tc>
          <w:tcPr>
            <w:tcW w:w="4200" w:type="dxa"/>
            <w:vAlign w:val="bottom"/>
            <w:tcBorders>
              <w:left w:val="single" w:sz="8" w:color="CCEEFF"/>
            </w:tcBorders>
            <w:shd w:val="clear" w:color="auto" w:fill="CCEEFF"/>
          </w:tcPr>
          <w:p>
            <w:pPr>
              <w:spacing w:after="0"/>
              <w:rPr>
                <w:sz w:val="2"/>
                <w:szCs w:val="2"/>
                <w:color w:val="auto"/>
              </w:rPr>
            </w:pPr>
          </w:p>
        </w:tc>
        <w:tc>
          <w:tcPr>
            <w:tcW w:w="5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Ending balance - December 31, 2018</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187,129</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1,125,623</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35,220</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1,347,972</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20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8"/>
              </w:rPr>
              <w:t>Ending balance: individually evaluated for impairment</w:t>
            </w:r>
          </w:p>
        </w:tc>
        <w:tc>
          <w:tcPr>
            <w:tcW w:w="5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74,185</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74,185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200" w:type="dxa"/>
            <w:vAlign w:val="bottom"/>
            <w:tcBorders>
              <w:left w:val="single" w:sz="8" w:color="CCEEFF"/>
            </w:tcBorders>
            <w:shd w:val="clear" w:color="auto" w:fill="CCEEFF"/>
          </w:tcPr>
          <w:p>
            <w:pPr>
              <w:spacing w:after="0"/>
              <w:rPr>
                <w:sz w:val="18"/>
                <w:szCs w:val="18"/>
                <w:color w:val="auto"/>
              </w:rPr>
            </w:pPr>
          </w:p>
        </w:tc>
        <w:tc>
          <w:tcPr>
            <w:tcW w:w="620" w:type="dxa"/>
            <w:vAlign w:val="bottom"/>
            <w:gridSpan w:val="2"/>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w w:val="98"/>
              </w:rPr>
              <w:t>Ending balance: collectively evaluated for impairment</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187,129</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1,051,438</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35,220</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1,273,787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200" w:type="dxa"/>
            <w:vAlign w:val="bottom"/>
            <w:tcBorders>
              <w:lef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Mortgage loans: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2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27,785,927</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89,935,600</w:t>
            </w:r>
          </w:p>
        </w:tc>
        <w:tc>
          <w:tcPr>
            <w:tcW w:w="16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71,366,544</w:t>
            </w: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189,088,071</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42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Ending balance: individually evaluated for impairment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196,182</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2,939,651</w:t>
            </w:r>
          </w:p>
        </w:tc>
        <w:tc>
          <w:tcPr>
            <w:tcW w:w="16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3,638,824</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860" w:type="dxa"/>
            <w:vAlign w:val="bottom"/>
            <w:vMerge w:val="restart"/>
          </w:tcPr>
          <w:p>
            <w:pPr>
              <w:spacing w:after="0"/>
              <w:rPr>
                <w:sz w:val="18"/>
                <w:szCs w:val="18"/>
                <w:color w:val="auto"/>
              </w:rPr>
            </w:pPr>
          </w:p>
        </w:tc>
        <w:tc>
          <w:tcPr>
            <w:tcW w:w="42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0" w:type="dxa"/>
            <w:vAlign w:val="bottom"/>
            <w:vMerge w:val="continue"/>
          </w:tcPr>
          <w:p>
            <w:pPr>
              <w:spacing w:after="0"/>
              <w:rPr>
                <w:sz w:val="22"/>
                <w:szCs w:val="22"/>
                <w:color w:val="auto"/>
              </w:rPr>
            </w:pPr>
          </w:p>
        </w:tc>
        <w:tc>
          <w:tcPr>
            <w:tcW w:w="860" w:type="dxa"/>
            <w:vAlign w:val="bottom"/>
            <w:vMerge w:val="continue"/>
          </w:tcPr>
          <w:p>
            <w:pPr>
              <w:spacing w:after="0"/>
              <w:rPr>
                <w:sz w:val="22"/>
                <w:szCs w:val="22"/>
                <w:color w:val="auto"/>
              </w:rPr>
            </w:pPr>
          </w:p>
        </w:tc>
        <w:tc>
          <w:tcPr>
            <w:tcW w:w="420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Ending balance: collectively evaluated for impairment</w:t>
            </w:r>
          </w:p>
        </w:tc>
        <w:tc>
          <w:tcPr>
            <w:tcW w:w="6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27,589,745</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86,995,949</w:t>
            </w:r>
          </w:p>
        </w:tc>
        <w:tc>
          <w:tcPr>
            <w:tcW w:w="16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70,863,553</w:t>
            </w:r>
          </w:p>
        </w:tc>
        <w:tc>
          <w:tcPr>
            <w:tcW w:w="8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185,449,247</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32"/>
        </w:trPr>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ind w:left="280"/>
              <w:spacing w:after="0"/>
              <w:rPr>
                <w:sz w:val="20"/>
                <w:szCs w:val="20"/>
                <w:color w:val="auto"/>
              </w:rPr>
            </w:pPr>
            <w:r>
              <w:rPr>
                <w:rFonts w:ascii="Arial" w:cs="Arial" w:eastAsia="Arial" w:hAnsi="Arial"/>
                <w:sz w:val="14"/>
                <w:szCs w:val="14"/>
                <w:color w:val="auto"/>
              </w:rPr>
              <w:t>20</w:t>
            </w: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30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420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35"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aging of mortgage loans held for investment for the periods presented: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0" w:type="dxa"/>
            <w:vAlign w:val="bottom"/>
            <w:gridSpan w:val="16"/>
          </w:tcPr>
          <w:p>
            <w:pPr>
              <w:jc w:val="right"/>
              <w:ind w:right="420"/>
              <w:spacing w:after="0"/>
              <w:rPr>
                <w:sz w:val="20"/>
                <w:szCs w:val="20"/>
                <w:color w:val="auto"/>
              </w:rPr>
            </w:pPr>
            <w:r>
              <w:rPr>
                <w:rFonts w:ascii="Arial" w:cs="Arial" w:eastAsia="Arial" w:hAnsi="Arial"/>
                <w:sz w:val="18"/>
                <w:szCs w:val="18"/>
                <w:b w:val="1"/>
                <w:bCs w:val="1"/>
                <w:color w:val="auto"/>
              </w:rPr>
              <w:t>Age Analysis of Mortgage Loans Held for Investment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Greater</w:t>
            </w:r>
          </w:p>
        </w:tc>
        <w:tc>
          <w:tcPr>
            <w:tcW w:w="40" w:type="dxa"/>
            <w:vAlign w:val="bottom"/>
          </w:tcPr>
          <w:p>
            <w:pPr>
              <w:spacing w:after="0"/>
              <w:rPr>
                <w:sz w:val="24"/>
                <w:szCs w:val="24"/>
                <w:color w:val="auto"/>
              </w:rPr>
            </w:pPr>
          </w:p>
        </w:tc>
        <w:tc>
          <w:tcPr>
            <w:tcW w:w="9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5"/>
              </w:rPr>
              <w:t>In Process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Allowance</w:t>
            </w: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rPr>
              <w:t>Unamortized</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60-89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Than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2"/>
              </w:rPr>
              <w:t>of</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2"/>
              </w:rPr>
              <w:t>Total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7"/>
              </w:rPr>
              <w:t>deferred</w:t>
            </w:r>
          </w:p>
        </w:tc>
        <w:tc>
          <w:tcPr>
            <w:tcW w:w="100" w:type="dxa"/>
            <w:vAlign w:val="bottom"/>
          </w:tcPr>
          <w:p>
            <w:pPr>
              <w:spacing w:after="0"/>
              <w:rPr>
                <w:sz w:val="18"/>
                <w:szCs w:val="18"/>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4"/>
          </w:tcPr>
          <w:p>
            <w:pPr>
              <w:ind w:left="20"/>
              <w:spacing w:after="0"/>
              <w:rPr>
                <w:sz w:val="20"/>
                <w:szCs w:val="20"/>
                <w:color w:val="auto"/>
              </w:rPr>
            </w:pPr>
            <w:r>
              <w:rPr>
                <w:rFonts w:ascii="Arial" w:cs="Arial" w:eastAsia="Arial" w:hAnsi="Arial"/>
                <w:sz w:val="18"/>
                <w:szCs w:val="18"/>
                <w:b w:val="1"/>
                <w:bCs w:val="1"/>
                <w:color w:val="auto"/>
              </w:rPr>
              <w:t>30-59 Days</w:t>
            </w:r>
          </w:p>
        </w:tc>
        <w:tc>
          <w:tcPr>
            <w:tcW w:w="100" w:type="dxa"/>
            <w:vAlign w:val="bottom"/>
          </w:tcPr>
          <w:p>
            <w:pPr>
              <w:spacing w:after="0"/>
              <w:rPr>
                <w:sz w:val="18"/>
                <w:szCs w:val="18"/>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Days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90 Days</w:t>
            </w:r>
          </w:p>
        </w:tc>
        <w:tc>
          <w:tcPr>
            <w:tcW w:w="1000" w:type="dxa"/>
            <w:vAlign w:val="bottom"/>
            <w:gridSpan w:val="4"/>
          </w:tcPr>
          <w:p>
            <w:pPr>
              <w:ind w:left="40"/>
              <w:spacing w:after="0"/>
              <w:rPr>
                <w:sz w:val="20"/>
                <w:szCs w:val="20"/>
                <w:color w:val="auto"/>
              </w:rPr>
            </w:pPr>
            <w:r>
              <w:rPr>
                <w:rFonts w:ascii="Arial" w:cs="Arial" w:eastAsia="Arial" w:hAnsi="Arial"/>
                <w:sz w:val="18"/>
                <w:szCs w:val="18"/>
                <w:b w:val="1"/>
                <w:bCs w:val="1"/>
                <w:color w:val="auto"/>
                <w:w w:val="91"/>
              </w:rPr>
              <w:t>Foreclosure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Mortgage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Loan</w:t>
            </w:r>
          </w:p>
        </w:tc>
        <w:tc>
          <w:tcPr>
            <w:tcW w:w="10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4"/>
              </w:rPr>
              <w:t>loan fees,</w:t>
            </w:r>
          </w:p>
        </w:tc>
        <w:tc>
          <w:tcPr>
            <w:tcW w:w="100" w:type="dxa"/>
            <w:vAlign w:val="bottom"/>
          </w:tcPr>
          <w:p>
            <w:pPr>
              <w:spacing w:after="0"/>
              <w:rPr>
                <w:sz w:val="18"/>
                <w:szCs w:val="18"/>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Mortgage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8"/>
              </w:rPr>
              <w:t>Past Due</w:t>
            </w:r>
          </w:p>
        </w:tc>
        <w:tc>
          <w:tcPr>
            <w:tcW w:w="100" w:type="dxa"/>
            <w:vAlign w:val="bottom"/>
            <w:gridSpan w:val="2"/>
          </w:tcPr>
          <w:p>
            <w:pPr>
              <w:spacing w:after="0"/>
              <w:rPr>
                <w:sz w:val="20"/>
                <w:szCs w:val="20"/>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Past Due</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9"/>
              </w:rPr>
              <w:t>(1)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Past Due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Current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Loans</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0"/>
              </w:rPr>
              <w:t>Losses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net</w:t>
            </w: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6"/>
              </w:rPr>
              <w:t>Loans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00" w:type="dxa"/>
            <w:vAlign w:val="bottom"/>
            <w:gridSpan w:val="5"/>
          </w:tcPr>
          <w:p>
            <w:pPr>
              <w:spacing w:after="0"/>
              <w:rPr>
                <w:sz w:val="20"/>
                <w:szCs w:val="20"/>
                <w:color w:val="auto"/>
              </w:rPr>
            </w:pPr>
            <w:r>
              <w:rPr>
                <w:rFonts w:ascii="Arial" w:cs="Arial" w:eastAsia="Arial" w:hAnsi="Arial"/>
                <w:sz w:val="18"/>
                <w:szCs w:val="18"/>
                <w:b w:val="1"/>
                <w:bCs w:val="1"/>
                <w:color w:val="auto"/>
              </w:rPr>
              <w:t>March 31, 2019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3,626,950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851,953</w:t>
            </w:r>
          </w:p>
        </w:tc>
        <w:tc>
          <w:tcPr>
            <w:tcW w:w="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4,478,903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29,779,451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34,258,354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(187,129)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25,582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34,096,807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9,148,810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2,888,568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2,306,154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1,010,916</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15,354,448</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73,886,896</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89,241,344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1"/>
              </w:rPr>
              <w:t>(1,147,884)</w:t>
            </w: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(833,055)</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87,260,405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Residential</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6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Construction</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502,991</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74,981,469</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75,484,460</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(43,202)</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(454,114)</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74,987,144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12,775,760</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2,888,568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2,306,154</w:t>
            </w:r>
          </w:p>
        </w:tc>
        <w:tc>
          <w:tcPr>
            <w:tcW w:w="60" w:type="dxa"/>
            <w:vAlign w:val="bottom"/>
            <w:shd w:val="clear" w:color="auto" w:fill="CCEEFF"/>
          </w:tcPr>
          <w:p>
            <w:pPr>
              <w:spacing w:after="0"/>
              <w:rPr>
                <w:sz w:val="22"/>
                <w:szCs w:val="22"/>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2,365,860</w:t>
            </w:r>
          </w:p>
        </w:tc>
        <w:tc>
          <w:tcPr>
            <w:tcW w:w="60" w:type="dxa"/>
            <w:vAlign w:val="bottom"/>
            <w:shd w:val="clear" w:color="auto" w:fill="CCEEFF"/>
          </w:tcPr>
          <w:p>
            <w:pPr>
              <w:spacing w:after="0"/>
              <w:rPr>
                <w:sz w:val="22"/>
                <w:szCs w:val="22"/>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20,336,342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178,647,816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198,984,158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1"/>
              </w:rPr>
              <w:t>(1,378,215) $</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(1,261,587)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196,344,356</w:t>
            </w:r>
          </w:p>
        </w:tc>
        <w:tc>
          <w:tcPr>
            <w:tcW w:w="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80" w:type="dxa"/>
            <w:vAlign w:val="bottom"/>
            <w:tcBorders>
              <w:top w:val="single" w:sz="8" w:color="CCEEFF"/>
            </w:tcBorders>
            <w:gridSpan w:val="2"/>
          </w:tcPr>
          <w:p>
            <w:pPr>
              <w:spacing w:after="0"/>
              <w:rPr>
                <w:sz w:val="18"/>
                <w:szCs w:val="18"/>
                <w:color w:val="auto"/>
              </w:rPr>
            </w:pPr>
          </w:p>
        </w:tc>
        <w:tc>
          <w:tcPr>
            <w:tcW w:w="900" w:type="dxa"/>
            <w:vAlign w:val="bottom"/>
            <w:tcBorders>
              <w:top w:val="single" w:sz="8" w:color="auto"/>
            </w:tcBorders>
            <w:gridSpan w:val="2"/>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gridSpan w:val="6"/>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Commercial</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4,588,424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196,182</w:t>
            </w:r>
          </w:p>
        </w:tc>
        <w:tc>
          <w:tcPr>
            <w:tcW w:w="60" w:type="dxa"/>
            <w:vAlign w:val="bottom"/>
          </w:tcPr>
          <w:p>
            <w:pPr>
              <w:spacing w:after="0"/>
              <w:rPr>
                <w:sz w:val="18"/>
                <w:szCs w:val="18"/>
                <w:color w:val="auto"/>
              </w:rPr>
            </w:pP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4,784,606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23,001,321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27,785,927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(187,129)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32,003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27,630,801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shd w:val="clear" w:color="auto" w:fill="CCEEFF"/>
              </w:rPr>
              <w:t>Residential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shd w:val="clear" w:color="auto" w:fill="CCEEFF"/>
              </w:rPr>
              <w:t>9,899,380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shd w:val="clear" w:color="auto" w:fill="CCEEFF"/>
              </w:rPr>
              <w:t>2,312,252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shd w:val="clear" w:color="auto" w:fill="CCEEFF"/>
              </w:rPr>
              <w:t>1,715,362</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shd w:val="clear" w:color="auto" w:fill="CCEEFF"/>
              </w:rPr>
              <w:t>1,224,289</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shd w:val="clear" w:color="auto" w:fill="CCEEFF"/>
              </w:rPr>
              <w:t>15,151,283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shd w:val="clear" w:color="auto" w:fill="CCEEFF"/>
              </w:rPr>
              <w:t>74,784,317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shd w:val="clear" w:color="auto" w:fill="CCEEFF"/>
              </w:rPr>
              <w:t>89,935,600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shd w:val="clear" w:color="auto" w:fill="CCEEFF"/>
              </w:rPr>
              <w:t>(1,125,623)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shd w:val="clear" w:color="auto" w:fill="CCEEFF"/>
              </w:rPr>
              <w:t>(862,411)</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shd w:val="clear" w:color="auto" w:fill="CCEEFF"/>
              </w:rPr>
              <w:t>87,947,566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60" w:type="dxa"/>
            <w:vAlign w:val="bottom"/>
          </w:tcPr>
          <w:p>
            <w:pPr>
              <w:spacing w:after="0" w:line="201" w:lineRule="exact"/>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60" w:type="dxa"/>
            <w:vAlign w:val="bottom"/>
          </w:tcPr>
          <w:p>
            <w:pPr>
              <w:ind w:left="80"/>
              <w:spacing w:after="0"/>
              <w:rPr>
                <w:sz w:val="20"/>
                <w:szCs w:val="20"/>
                <w:color w:val="auto"/>
              </w:rPr>
            </w:pPr>
            <w:r>
              <w:rPr>
                <w:rFonts w:ascii="Arial" w:cs="Arial" w:eastAsia="Arial" w:hAnsi="Arial"/>
                <w:sz w:val="18"/>
                <w:szCs w:val="18"/>
                <w:color w:val="auto"/>
                <w:w w:val="94"/>
              </w:rPr>
              <w:t>Construction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502,991</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502,991</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70,863,553</w:t>
            </w:r>
          </w:p>
        </w:tc>
        <w:tc>
          <w:tcPr>
            <w:tcW w:w="10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71,366,544</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(35,220)</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(444,622)</w:t>
            </w:r>
          </w:p>
        </w:tc>
        <w:tc>
          <w:tcPr>
            <w:tcW w:w="10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70,886,702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14,487,804</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2,312,252</w:t>
            </w:r>
          </w:p>
        </w:tc>
        <w:tc>
          <w:tcPr>
            <w:tcW w:w="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1,911,544</w:t>
            </w:r>
          </w:p>
        </w:tc>
        <w:tc>
          <w:tcPr>
            <w:tcW w:w="1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1,727,280</w:t>
            </w: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20,438,880</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168,649,191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189,088,071</w:t>
            </w:r>
          </w:p>
        </w:tc>
        <w:tc>
          <w:tcPr>
            <w:tcW w:w="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1"/>
              </w:rPr>
              <w:t>(1,347,972) $</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(1,275,030)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186,465,069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(1) Interest income is not recognized on loans past due greater than 90 days or in foreclosure.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35"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Impaired Mortgage Loans Held for Investment</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Impaired mortgage loans held for investment include loans with a related specific valuation allowance or loans whose carrying amount has been reduced to the expected collectible amount because the impairment has been considered other than temporary. The recorded investment in and unpaid principal balance of impaired loans along with the related loan specific allowance for losses, if any, for each reporting period and the average recorded investment and interest income recognized during the time the loans were impaired were as follows:</w:t>
      </w:r>
    </w:p>
    <w:p>
      <w:pPr>
        <w:spacing w:after="0" w:line="237"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6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w w:val="94"/>
              </w:rPr>
              <w:t>Impaired Loans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4"/>
              </w:rPr>
              <w:t>Unpaid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Average</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w w:val="92"/>
              </w:rPr>
              <w:t>Interest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b w:val="1"/>
                <w:bCs w:val="1"/>
                <w:color w:val="auto"/>
                <w:w w:val="86"/>
              </w:rPr>
              <w:t>Recorded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Principal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Related</w:t>
            </w: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Recorded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Income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Balance</w:t>
            </w:r>
          </w:p>
        </w:tc>
        <w:tc>
          <w:tcPr>
            <w:tcW w:w="200" w:type="dxa"/>
            <w:vAlign w:val="bottom"/>
          </w:tcPr>
          <w:p>
            <w:pPr>
              <w:spacing w:after="0"/>
              <w:rPr>
                <w:sz w:val="20"/>
                <w:szCs w:val="20"/>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Allowance</w:t>
            </w:r>
          </w:p>
        </w:tc>
        <w:tc>
          <w:tcPr>
            <w:tcW w:w="160" w:type="dxa"/>
            <w:vAlign w:val="bottom"/>
          </w:tcPr>
          <w:p>
            <w:pPr>
              <w:spacing w:after="0"/>
              <w:rPr>
                <w:sz w:val="20"/>
                <w:szCs w:val="20"/>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160" w:type="dxa"/>
            <w:vAlign w:val="bottom"/>
          </w:tcPr>
          <w:p>
            <w:pPr>
              <w:spacing w:after="0"/>
              <w:rPr>
                <w:sz w:val="20"/>
                <w:szCs w:val="20"/>
                <w:color w:val="auto"/>
              </w:rPr>
            </w:pPr>
          </w:p>
        </w:tc>
        <w:tc>
          <w:tcPr>
            <w:tcW w:w="90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Recognized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March 31, 2019</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With no related allowance recorded:</w:t>
            </w: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851,953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Residential</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2,565,738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2,565,738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2,565,738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 construction</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Commercial</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Residential construction</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851,953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851,953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851,953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Residential</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3,317,070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3,317,070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39,884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3,317,070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 construction</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196,182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Residential</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1,612,164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1,612,164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2,423,135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 construction</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With an allowance recorded:</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Commercial</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1,327,487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1,327,487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1,543,416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Residential construction</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196,182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196,182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98,023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ind w:left="120"/>
              <w:spacing w:after="0"/>
              <w:rPr>
                <w:sz w:val="20"/>
                <w:szCs w:val="20"/>
                <w:color w:val="auto"/>
              </w:rPr>
            </w:pPr>
            <w:r>
              <w:rPr>
                <w:rFonts w:ascii="Arial" w:cs="Arial" w:eastAsia="Arial" w:hAnsi="Arial"/>
                <w:sz w:val="18"/>
                <w:szCs w:val="18"/>
                <w:color w:val="auto"/>
              </w:rPr>
              <w:t>Residential</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2,939,651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2,939,651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74,185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3,966,551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Residential construction</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675,950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Risk Profile Based on Performance Status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mortgage loan held for investment portfolio is monitored based on performance of the loans. Monitoring a mortgage loan increases when the loan is delinquent or earlier if there is an indication of impairment. The Company defines non-performing mortgage loans as loans 90 days or greater delinquent or on non-accrual status.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35" w:lineRule="exact"/>
        <w:rPr>
          <w:sz w:val="20"/>
          <w:szCs w:val="20"/>
          <w:color w:val="auto"/>
        </w:rPr>
      </w:pPr>
    </w:p>
    <w:p>
      <w:pPr>
        <w:ind w:left="300" w:hanging="292"/>
        <w:spacing w:after="0"/>
        <w:tabs>
          <w:tab w:leader="none" w:pos="3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Investments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performing and non-performing mortgage loans held for investment were as follows:</w:t>
      </w:r>
    </w:p>
    <w:p>
      <w:pPr>
        <w:spacing w:after="0" w:line="27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Mortgage Loans Held for Investment Credit Exposure</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Credit Risk Profile Based on Payment Activity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60" w:type="dxa"/>
            <w:vAlign w:val="bottom"/>
            <w:gridSpan w:val="4"/>
          </w:tcPr>
          <w:p>
            <w:pPr>
              <w:ind w:left="560"/>
              <w:spacing w:after="0"/>
              <w:rPr>
                <w:sz w:val="20"/>
                <w:szCs w:val="20"/>
                <w:color w:val="auto"/>
              </w:rPr>
            </w:pPr>
            <w:r>
              <w:rPr>
                <w:rFonts w:ascii="Arial" w:cs="Arial" w:eastAsia="Arial" w:hAnsi="Arial"/>
                <w:sz w:val="18"/>
                <w:szCs w:val="18"/>
                <w:b w:val="1"/>
                <w:bCs w:val="1"/>
                <w:color w:val="auto"/>
              </w:rPr>
              <w:t>Commercial</w:t>
            </w:r>
          </w:p>
        </w:tc>
        <w:tc>
          <w:tcPr>
            <w:tcW w:w="120" w:type="dxa"/>
            <w:vAlign w:val="bottom"/>
          </w:tcPr>
          <w:p>
            <w:pPr>
              <w:spacing w:after="0"/>
              <w:rPr>
                <w:sz w:val="20"/>
                <w:szCs w:val="20"/>
                <w:color w:val="auto"/>
              </w:rPr>
            </w:pPr>
          </w:p>
        </w:tc>
        <w:tc>
          <w:tcPr>
            <w:tcW w:w="2260" w:type="dxa"/>
            <w:vAlign w:val="bottom"/>
            <w:gridSpan w:val="4"/>
          </w:tcPr>
          <w:p>
            <w:pPr>
              <w:ind w:left="580"/>
              <w:spacing w:after="0"/>
              <w:rPr>
                <w:sz w:val="20"/>
                <w:szCs w:val="20"/>
                <w:color w:val="auto"/>
              </w:rPr>
            </w:pPr>
            <w:r>
              <w:rPr>
                <w:rFonts w:ascii="Arial" w:cs="Arial" w:eastAsia="Arial" w:hAnsi="Arial"/>
                <w:sz w:val="18"/>
                <w:szCs w:val="18"/>
                <w:b w:val="1"/>
                <w:bCs w:val="1"/>
                <w:color w:val="auto"/>
              </w:rPr>
              <w:t>Residential</w:t>
            </w:r>
          </w:p>
        </w:tc>
        <w:tc>
          <w:tcPr>
            <w:tcW w:w="2160" w:type="dxa"/>
            <w:vAlign w:val="bottom"/>
            <w:gridSpan w:val="5"/>
          </w:tcPr>
          <w:p>
            <w:pPr>
              <w:ind w:left="80"/>
              <w:spacing w:after="0"/>
              <w:rPr>
                <w:sz w:val="20"/>
                <w:szCs w:val="20"/>
                <w:color w:val="auto"/>
              </w:rPr>
            </w:pPr>
            <w:r>
              <w:rPr>
                <w:rFonts w:ascii="Arial" w:cs="Arial" w:eastAsia="Arial" w:hAnsi="Arial"/>
                <w:sz w:val="18"/>
                <w:szCs w:val="18"/>
                <w:b w:val="1"/>
                <w:bCs w:val="1"/>
                <w:color w:val="auto"/>
                <w:w w:val="96"/>
              </w:rPr>
              <w:t>Residential Construction</w:t>
            </w:r>
          </w:p>
        </w:tc>
        <w:tc>
          <w:tcPr>
            <w:tcW w:w="120" w:type="dxa"/>
            <w:vAlign w:val="bottom"/>
          </w:tcPr>
          <w:p>
            <w:pPr>
              <w:spacing w:after="0"/>
              <w:rPr>
                <w:sz w:val="20"/>
                <w:szCs w:val="20"/>
                <w:color w:val="auto"/>
              </w:rPr>
            </w:pPr>
          </w:p>
        </w:tc>
        <w:tc>
          <w:tcPr>
            <w:tcW w:w="2340" w:type="dxa"/>
            <w:vAlign w:val="bottom"/>
            <w:gridSpan w:val="5"/>
          </w:tcPr>
          <w:p>
            <w:pPr>
              <w:ind w:left="9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4"/>
              </w:rPr>
              <w:t>December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6"/>
              </w:rPr>
              <w:t>December</w:t>
            </w:r>
          </w:p>
        </w:tc>
        <w:tc>
          <w:tcPr>
            <w:tcW w:w="2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w w:val="94"/>
              </w:rPr>
              <w:t>December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rPr>
              <w:t>December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11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7"/>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7"/>
              </w:rPr>
              <w:t>31,</w:t>
            </w:r>
          </w:p>
        </w:tc>
        <w:tc>
          <w:tcPr>
            <w:tcW w:w="22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10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7"/>
              </w:rPr>
              <w:t>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March 31,</w:t>
            </w:r>
          </w:p>
        </w:tc>
        <w:tc>
          <w:tcPr>
            <w:tcW w:w="112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7"/>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40" w:type="dxa"/>
            <w:vAlign w:val="bottom"/>
            <w:gridSpan w:val="3"/>
          </w:tcPr>
          <w:p>
            <w:pPr>
              <w:spacing w:after="0"/>
              <w:rPr>
                <w:sz w:val="18"/>
                <w:szCs w:val="18"/>
                <w:color w:val="auto"/>
              </w:rPr>
            </w:pPr>
          </w:p>
        </w:tc>
        <w:tc>
          <w:tcPr>
            <w:tcW w:w="1240" w:type="dxa"/>
            <w:vAlign w:val="bottom"/>
            <w:gridSpan w:val="3"/>
          </w:tcPr>
          <w:p>
            <w:pPr>
              <w:spacing w:after="0"/>
              <w:rPr>
                <w:sz w:val="18"/>
                <w:szCs w:val="18"/>
                <w:color w:val="auto"/>
              </w:rPr>
            </w:pPr>
          </w:p>
        </w:tc>
        <w:tc>
          <w:tcPr>
            <w:tcW w:w="114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1140" w:type="dxa"/>
            <w:vAlign w:val="bottom"/>
            <w:gridSpan w:val="3"/>
          </w:tcPr>
          <w:p>
            <w:pPr>
              <w:spacing w:after="0"/>
              <w:rPr>
                <w:sz w:val="18"/>
                <w:szCs w:val="18"/>
                <w:color w:val="auto"/>
              </w:rPr>
            </w:pPr>
          </w:p>
        </w:tc>
        <w:tc>
          <w:tcPr>
            <w:tcW w:w="1240" w:type="dxa"/>
            <w:vAlign w:val="bottom"/>
            <w:gridSpan w:val="3"/>
          </w:tcPr>
          <w:p>
            <w:pPr>
              <w:spacing w:after="0"/>
              <w:rPr>
                <w:sz w:val="18"/>
                <w:szCs w:val="18"/>
                <w:color w:val="auto"/>
              </w:rPr>
            </w:pPr>
          </w:p>
        </w:tc>
        <w:tc>
          <w:tcPr>
            <w:tcW w:w="12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Performing</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$ 33,406,401</w:t>
            </w:r>
          </w:p>
        </w:tc>
        <w:tc>
          <w:tcPr>
            <w:tcW w:w="124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87"/>
              </w:rPr>
              <w:t>$ 27,589,745</w:t>
            </w:r>
          </w:p>
        </w:tc>
        <w:tc>
          <w:tcPr>
            <w:tcW w:w="12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7"/>
              </w:rPr>
              <w:t>$ 85,924,274</w:t>
            </w:r>
          </w:p>
        </w:tc>
        <w:tc>
          <w:tcPr>
            <w:tcW w:w="11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7"/>
              </w:rPr>
              <w:t>$ 86,995,949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$ 74,981,469</w:t>
            </w:r>
          </w:p>
        </w:tc>
        <w:tc>
          <w:tcPr>
            <w:tcW w:w="11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$ 70,863,553</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5"/>
              </w:rPr>
              <w:t>$ 194,312,144</w:t>
            </w:r>
          </w:p>
        </w:tc>
        <w:tc>
          <w:tcPr>
            <w:tcW w:w="12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$ 185,449,247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Non-performing</w:t>
            </w:r>
          </w:p>
        </w:tc>
        <w:tc>
          <w:tcPr>
            <w:tcW w:w="920" w:type="dxa"/>
            <w:vAlign w:val="bottom"/>
          </w:tcPr>
          <w:p>
            <w:pPr>
              <w:jc w:val="right"/>
              <w:spacing w:after="0"/>
              <w:rPr>
                <w:sz w:val="20"/>
                <w:szCs w:val="20"/>
                <w:color w:val="auto"/>
              </w:rPr>
            </w:pPr>
            <w:r>
              <w:rPr>
                <w:rFonts w:ascii="Arial" w:cs="Arial" w:eastAsia="Arial" w:hAnsi="Arial"/>
                <w:sz w:val="18"/>
                <w:szCs w:val="18"/>
                <w:color w:val="auto"/>
              </w:rPr>
              <w:t>851,953</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196,182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3,317,070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2,939,651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502,991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502,991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4,672,014</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3,638,824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tcPr>
          <w:p>
            <w:pPr>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34,258,354</w:t>
            </w:r>
          </w:p>
        </w:tc>
        <w:tc>
          <w:tcPr>
            <w:tcW w:w="1240" w:type="dxa"/>
            <w:vAlign w:val="bottom"/>
            <w:gridSpan w:val="3"/>
          </w:tcPr>
          <w:p>
            <w:pPr>
              <w:jc w:val="center"/>
              <w:ind w:left="3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27,785,927</w:t>
            </w:r>
          </w:p>
        </w:tc>
        <w:tc>
          <w:tcPr>
            <w:tcW w:w="1240" w:type="dxa"/>
            <w:vAlign w:val="bottom"/>
            <w:gridSpan w:val="3"/>
          </w:tcPr>
          <w:p>
            <w:pPr>
              <w:jc w:val="right"/>
              <w:ind w:right="2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 xml:space="preserve"> 89,241,344</w:t>
            </w: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89,935,600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75,484,460</w:t>
            </w:r>
          </w:p>
        </w:tc>
        <w:tc>
          <w:tcPr>
            <w:tcW w:w="1140" w:type="dxa"/>
            <w:vAlign w:val="bottom"/>
            <w:gridSpan w:val="3"/>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 xml:space="preserve"> 71,366,544</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w w:val="95"/>
              </w:rPr>
              <w:t>$ 198,984,158</w:t>
            </w:r>
          </w:p>
        </w:tc>
        <w:tc>
          <w:tcPr>
            <w:tcW w:w="1220" w:type="dxa"/>
            <w:vAlign w:val="bottom"/>
            <w:gridSpan w:val="3"/>
          </w:tcPr>
          <w:p>
            <w:pPr>
              <w:jc w:val="center"/>
              <w:spacing w:after="0"/>
              <w:rPr>
                <w:sz w:val="20"/>
                <w:szCs w:val="20"/>
                <w:color w:val="auto"/>
              </w:rPr>
            </w:pPr>
            <w:r>
              <w:rPr>
                <w:rFonts w:ascii="Arial" w:cs="Arial" w:eastAsia="Arial" w:hAnsi="Arial"/>
                <w:sz w:val="18"/>
                <w:szCs w:val="18"/>
                <w:color w:val="auto"/>
                <w:w w:val="88"/>
              </w:rPr>
              <w:t>$ 189,088,071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Non-Accrual Mortgage Loans Held for Investment</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Once a loan is past due 90 days, it is the policy of the Company to end the accrual of interest income on the loan and write off any interest income that had been accrued. Payments received for loans on a non-accrual status are recognized on a cash basis. Interest income recognized from any payments received for loans on a non-accrual status was immaterial. Accrual of interest resumes if a loan is brought current. Interest not accrued on these loans totals approximately $150,000 and $151,000 as of March 31, 2019 and December 31, 2018,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mortgage loans held for investment on a non-accrual status for the periods presented.</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Mortgage Loans on Non-</w:t>
            </w: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Accrual Status</w:t>
            </w:r>
          </w:p>
        </w:tc>
        <w:tc>
          <w:tcPr>
            <w:tcW w:w="8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color w:val="auto"/>
              </w:rPr>
              <w:t>As of</w:t>
            </w:r>
          </w:p>
        </w:tc>
        <w:tc>
          <w:tcPr>
            <w:tcW w:w="8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92"/>
              </w:rPr>
              <w:t>As of</w:t>
            </w:r>
          </w:p>
        </w:tc>
        <w:tc>
          <w:tcPr>
            <w:tcW w:w="1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6"/>
              </w:rPr>
              <w:t>December</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93"/>
              </w:rPr>
              <w:t>March 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196,182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Residential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3,317,070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2,939,651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502,991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Total</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3,820,061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3,442,642</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Loans Held for Sale</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Accounting Standards Codification (“ASC”) No. 825, “Financial Instruments”, allows for the option to report certain financial assets and liabilities at fair value initially and at subsequent measurement dates with changes in fair value included in earnings. The option may be applied instrument by instrument, but it is irrevocable. The Company elected the fair value option for loans held for sale. The Company believes the fair value option most closely aligns the timing of the recognition of gains and costs. These loans are intended for sale and the Company believes that the fair value is the best indicator of the resolution of these loans. Electing fair value also reduces certain timing differences and better matches changes in the fair value of these assets with changes in the fair value of the related derivatives used for these assets.</w:t>
      </w:r>
    </w:p>
    <w:p>
      <w:pPr>
        <w:spacing w:after="0" w:line="2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Interest income is recorded based on the contractual terms of the loan and in accordance with the Company’s policy on mortgage loans held for investment and is included in mortgage fee income on the condensed consolidated statement of earnings. None of these loans are 90 or more days past due nor on nonaccrual status as of March 31, 2019. See Note 8 to the condensed consolidated financial statements for additional disclosures regarding loans held for sale.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76"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Loans Held for Sale</w:t>
      </w:r>
      <w:r>
        <w:rPr>
          <w:rFonts w:ascii="Arial" w:cs="Arial" w:eastAsia="Arial" w:hAnsi="Arial"/>
          <w:sz w:val="18"/>
          <w:szCs w:val="18"/>
          <w:color w:val="auto"/>
        </w:rPr>
        <w:t xml:space="preserve"> (Continued)</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aggregate fair value and the aggregate unpaid principal balance of loans held for sale for the periods presented:</w:t>
      </w:r>
    </w:p>
    <w:p>
      <w:pPr>
        <w:spacing w:after="0" w:line="29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As of</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7"/>
              </w:rPr>
              <w:t>As of</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March 31</w:t>
            </w:r>
          </w:p>
        </w:tc>
        <w:tc>
          <w:tcPr>
            <w:tcW w:w="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5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Aggregate fair value</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$123,374,303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$136,210,853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Unpaid principal balance</w:t>
            </w:r>
          </w:p>
        </w:tc>
        <w:tc>
          <w:tcPr>
            <w:tcW w:w="3540" w:type="dxa"/>
            <w:vAlign w:val="bottom"/>
            <w:gridSpan w:val="2"/>
          </w:tcPr>
          <w:p>
            <w:pPr>
              <w:jc w:val="right"/>
              <w:spacing w:after="0"/>
              <w:rPr>
                <w:sz w:val="20"/>
                <w:szCs w:val="20"/>
                <w:color w:val="auto"/>
              </w:rPr>
            </w:pPr>
            <w:r>
              <w:rPr>
                <w:rFonts w:ascii="Arial" w:cs="Arial" w:eastAsia="Arial" w:hAnsi="Arial"/>
                <w:sz w:val="18"/>
                <w:szCs w:val="18"/>
                <w:color w:val="auto"/>
              </w:rPr>
              <w:t>119,925,635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131,663,946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w:t>
            </w:r>
          </w:p>
        </w:tc>
        <w:tc>
          <w:tcPr>
            <w:tcW w:w="3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3,448,668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4,546,907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Fee Income</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Mortgage fee income consists of origination fees, processing fees, interest income and certain other income related to the origination and sale of mortgage loans held for sale.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00" w:type="dxa"/>
            <w:vAlign w:val="bottom"/>
            <w:gridSpan w:val="2"/>
          </w:tcPr>
          <w:p>
            <w:pPr>
              <w:spacing w:after="0"/>
              <w:rPr>
                <w:sz w:val="20"/>
                <w:szCs w:val="20"/>
                <w:color w:val="auto"/>
              </w:rPr>
            </w:pPr>
            <w:r>
              <w:rPr>
                <w:rFonts w:ascii="Arial" w:cs="Arial" w:eastAsia="Arial" w:hAnsi="Arial"/>
                <w:sz w:val="18"/>
                <w:szCs w:val="18"/>
                <w:color w:val="auto"/>
              </w:rPr>
              <w:t>Major categories of mortgage fee income for loans held for sale are as follows: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2"/>
        </w:trPr>
        <w:tc>
          <w:tcPr>
            <w:tcW w:w="116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right"/>
              <w:ind w:right="320"/>
              <w:spacing w:after="0"/>
              <w:rPr>
                <w:sz w:val="20"/>
                <w:szCs w:val="20"/>
                <w:color w:val="auto"/>
              </w:rPr>
            </w:pPr>
            <w:r>
              <w:rPr>
                <w:rFonts w:ascii="Arial" w:cs="Arial" w:eastAsia="Arial" w:hAnsi="Arial"/>
                <w:sz w:val="18"/>
                <w:szCs w:val="18"/>
                <w:color w:val="auto"/>
                <w:w w:val="97"/>
              </w:rPr>
              <w:t>Three Months Ended</w:t>
            </w:r>
          </w:p>
        </w:tc>
      </w:tr>
      <w:tr>
        <w:trPr>
          <w:trHeight w:val="237"/>
        </w:trPr>
        <w:tc>
          <w:tcPr>
            <w:tcW w:w="116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gridSpan w:val="5"/>
          </w:tcPr>
          <w:p>
            <w:pPr>
              <w:jc w:val="right"/>
              <w:ind w:right="740"/>
              <w:spacing w:after="0"/>
              <w:rPr>
                <w:sz w:val="20"/>
                <w:szCs w:val="20"/>
                <w:color w:val="auto"/>
              </w:rPr>
            </w:pPr>
            <w:r>
              <w:rPr>
                <w:rFonts w:ascii="Arial" w:cs="Arial" w:eastAsia="Arial" w:hAnsi="Arial"/>
                <w:sz w:val="18"/>
                <w:szCs w:val="18"/>
                <w:color w:val="auto"/>
              </w:rPr>
              <w:t>March 31</w:t>
            </w:r>
          </w:p>
        </w:tc>
      </w:tr>
      <w:tr>
        <w:trPr>
          <w:trHeight w:val="223"/>
        </w:trPr>
        <w:tc>
          <w:tcPr>
            <w:tcW w:w="116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Loan fees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5,741,262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5,745,308</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1,214,632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1,116,454</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Secondary gains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16,364,771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15,578,495</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Change in fair value of loan commitments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932,527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440,958</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loans held for sale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2,929,996</w:t>
            </w:r>
          </w:p>
        </w:tc>
        <w:tc>
          <w:tcPr>
            <w:tcW w:w="80" w:type="dxa"/>
            <w:vAlign w:val="bottom"/>
            <w:shd w:val="clear" w:color="auto" w:fill="CCEEFF"/>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Provision for loan loss reserve</w:t>
            </w:r>
          </w:p>
        </w:tc>
        <w:tc>
          <w:tcPr>
            <w:tcW w:w="10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(102,379)</w:t>
            </w: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(351,051)</w:t>
            </w:r>
          </w:p>
        </w:tc>
      </w:tr>
      <w:tr>
        <w:trPr>
          <w:trHeight w:val="257"/>
        </w:trPr>
        <w:tc>
          <w:tcPr>
            <w:tcW w:w="116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Mortgage fee income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24,478,871</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25,460,160</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Loss Reserve</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When a repurchase demand corresponding to a mortgage loan previously held for sale and sold to a third-party investor is received from a third-party investor, the relevant data is reviewed and captured so that an estimated future loss can be calculated. The key factors that are used in the estimated loss calculation are as follows: (i) lien position, (ii) payment status, (iii) claim type, (iv) unpaid principal balance, (v) interest rate, and (vi) validity of the demand. Other data is captured and is useful for management purposes; the actual estimated loss is generally based on these key factors. The Company conducts its own review upon the receipt of a repurchase demand. In many instances, the Company is able to resolve the issues relating to the repurchase demand by the third-party investor without having to make any payments to the investor.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w w:val="94"/>
              </w:rPr>
              <w:t>The following is a summary of the loan loss reserve that is included in other liabilities and accrued expenses: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2"/>
        </w:trPr>
        <w:tc>
          <w:tcPr>
            <w:tcW w:w="116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As of</w:t>
            </w: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As of</w:t>
            </w:r>
          </w:p>
        </w:tc>
        <w:tc>
          <w:tcPr>
            <w:tcW w:w="60" w:type="dxa"/>
            <w:vAlign w:val="bottom"/>
          </w:tcPr>
          <w:p>
            <w:pPr>
              <w:spacing w:after="0"/>
              <w:rPr>
                <w:sz w:val="18"/>
                <w:szCs w:val="18"/>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96"/>
              </w:rPr>
              <w:t>December</w:t>
            </w: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March 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3,604,869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2,571,524</w:t>
            </w:r>
          </w:p>
        </w:tc>
        <w:tc>
          <w:tcPr>
            <w:tcW w:w="80" w:type="dxa"/>
            <w:vAlign w:val="bottom"/>
            <w:shd w:val="clear" w:color="auto" w:fill="CCEEFF"/>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Provision on current loan originations (1)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102,379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1,148,334</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Charge-offs, net of recaptured amounts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(114,989)</w:t>
            </w: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Balance, end of period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3,704,015</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3,604,869</w:t>
            </w:r>
          </w:p>
        </w:tc>
        <w:tc>
          <w:tcPr>
            <w:tcW w:w="80" w:type="dxa"/>
            <w:vAlign w:val="bottom"/>
          </w:tcPr>
          <w:p>
            <w:pPr>
              <w:spacing w:after="0"/>
              <w:rPr>
                <w:sz w:val="18"/>
                <w:szCs w:val="18"/>
                <w:color w:val="auto"/>
              </w:rPr>
            </w:pPr>
          </w:p>
        </w:tc>
      </w:tr>
      <w:tr>
        <w:trPr>
          <w:trHeight w:val="21"/>
        </w:trPr>
        <w:tc>
          <w:tcPr>
            <w:tcW w:w="116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ind w:left="1140"/>
        <w:spacing w:after="0"/>
        <w:rPr>
          <w:sz w:val="20"/>
          <w:szCs w:val="20"/>
          <w:color w:val="auto"/>
        </w:rPr>
      </w:pPr>
      <w:r>
        <w:rPr>
          <w:rFonts w:ascii="Arial" w:cs="Arial" w:eastAsia="Arial" w:hAnsi="Arial"/>
          <w:sz w:val="18"/>
          <w:szCs w:val="18"/>
          <w:color w:val="auto"/>
        </w:rPr>
        <w:t>_______________________________</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Included in Mortgage fee income</w:t>
      </w:r>
    </w:p>
    <w:p>
      <w:pPr>
        <w:spacing w:after="0" w:line="2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believes the loan loss reserve represents probable loan losses incurred as of the balance sheet date. Actual loan loss experience could change, in the near-term, from the established reserve based upon claims that could be asserted by third-party investors. The Company believes there is potential to resolve any alleged claims by third-party investors on acceptable terms. If the Company is unable to resolve such claims on acceptable terms, legal action may ensue. In the event of legal action by any third-party investor, the Company believes it has significant defenses to any such action and intends to vigorously defend itself against such action.</w:t>
      </w:r>
    </w:p>
    <w:p>
      <w:pPr>
        <w:sectPr>
          <w:pgSz w:w="11900" w:h="16838" w:orient="portrait"/>
          <w:cols w:equalWidth="0" w:num="1">
            <w:col w:w="11420"/>
          </w:cols>
          <w:pgMar w:left="240" w:top="368" w:right="239" w:bottom="1440" w:gutter="0" w:footer="0" w:header="0"/>
        </w:sectPr>
      </w:pP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24" w:name="page25"/>
    <w:bookmarkEnd w:id="24"/>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00" w:lineRule="exact"/>
        <w:rPr>
          <w:sz w:val="20"/>
          <w:szCs w:val="20"/>
          <w:color w:val="auto"/>
        </w:rPr>
      </w:pPr>
    </w:p>
    <w:p>
      <w:pPr>
        <w:spacing w:after="0" w:line="346"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p>
    <w:p>
      <w:pPr>
        <w:spacing w:after="0" w:line="2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two fixed option plans (the “2013 Plan” and the “2014 Director Plan”). Compensation expense for options issued of $64,704 and $58,087 has been recognized for these plans for the three months ended March 31, 2019 and 2018, respectively. As of March 31, 2019, the total unrecognized compensation expense related to the options issued was $173,952, which is expected to be recognized over the vesting period of one year.</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each option granted is estimated on the date of grant using the Black Scholes Option Pricing Model. The Company estimates the expected life of the options using the simplified method. Future volatility is estimated based upon the weighted historical volatility of the Company’s Class A common stock over a period equal to the expected life of the options. The risk-free interest rate for the expected life of the options is based upon the Federal Reserve Board’s daily interest rates in effect at the time of the grant.</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status of the Company’s stock compensation plans as of March 31, 2019, and the changes during the three months ended March 31, 2019, are presented below:</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Class 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89"/>
              </w:rPr>
              <w:t>Exercise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88"/>
              </w:rPr>
              <w:t>Class 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89"/>
              </w:rPr>
              <w:t>Exercise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Price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Price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1,011,274</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577,280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Cancelled</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2019</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1,012,306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577,280</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As of March 31, 2019: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Options exercisable</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898,472</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506,404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As of March 31, 2019: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options for future grant</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295,128</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146,425</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Weighted average contractual term of options outstanding at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March 31, 2019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5.89 years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3.71 years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contractual term of options exercisable at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March 31, 2019</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5.71 years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2.87 years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Aggregated intrinsic value of options outstanding at March 31,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2019 (1)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704,498</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137,424</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Aggregated intrinsic value of options exercisable at March 31,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2019 (1)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704,498</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137,424</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__________________________________</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The Company used a stock price of $4.72 as of March 31, 2019 to derive intrinsic value.</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76"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Stock Compensation Plans</w:t>
      </w:r>
      <w:r>
        <w:rPr>
          <w:rFonts w:ascii="Arial" w:cs="Arial" w:eastAsia="Arial" w:hAnsi="Arial"/>
          <w:sz w:val="18"/>
          <w:szCs w:val="18"/>
          <w:color w:val="auto"/>
        </w:rPr>
        <w:t xml:space="preserve"> (Continued)</w:t>
      </w:r>
    </w:p>
    <w:p>
      <w:pPr>
        <w:spacing w:after="0" w:line="2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summary of the status of the Company’s stock compensation plans as of March 31, 2018, and the changes during the three months ended March 31, 2018, are presented below:</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9"/>
              </w:rPr>
              <w:t>Weighted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Number 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30"/>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89"/>
              </w:rPr>
              <w:t>Average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Class A</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89"/>
              </w:rPr>
              <w:t>Exercise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center"/>
              <w:ind w:right="50"/>
              <w:spacing w:after="0"/>
              <w:rPr>
                <w:sz w:val="20"/>
                <w:szCs w:val="20"/>
                <w:color w:val="auto"/>
              </w:rPr>
            </w:pPr>
            <w:r>
              <w:rPr>
                <w:rFonts w:ascii="Arial" w:cs="Arial" w:eastAsia="Arial" w:hAnsi="Arial"/>
                <w:sz w:val="18"/>
                <w:szCs w:val="18"/>
                <w:color w:val="auto"/>
                <w:w w:val="88"/>
              </w:rPr>
              <w:t>Class C</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89"/>
              </w:rPr>
              <w:t>Exercise</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Price</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2"/>
              </w:rPr>
              <w:t>Price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880,426</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(31,984)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Cancelled</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(5,704)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2018</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842,738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523,603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As of March 31, 2018: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Options exercisable</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744,686</w:t>
            </w:r>
          </w:p>
        </w:tc>
        <w:tc>
          <w:tcPr>
            <w:tcW w:w="12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4.40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468,477</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As of March 31, 2018: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options for future grant</w:t>
            </w:r>
          </w:p>
        </w:tc>
        <w:tc>
          <w:tcPr>
            <w:tcW w:w="1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421,241</w:t>
            </w:r>
          </w:p>
        </w:tc>
        <w:tc>
          <w:tcPr>
            <w:tcW w:w="12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165,638</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Weighted average contractual term of options outstanding at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March 31, 2018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6.55 years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3.19 years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contractual term of options exercisable at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March 31, 2018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6.53 years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2.43 years</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Aggregated intrinsic value of options outstanding at March 31,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2018 (1)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850,528</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251,961</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Aggregated intrinsic value of options exercisable at March 31,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2018 (1)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836,882</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232,667</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_________________________________________</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The Company used a stock price of $5.15 as of March 31, 2018 to derive intrinsic value.</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total intrinsic value (which is the amount by which the fair value of the underlying stock exceeds the exercise price of an option on the exercise date) of stock options exercised during the three months March 31, 2019 and 2018 was $1,539 and $111,157, respectively.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80" w:type="dxa"/>
            <w:vAlign w:val="bottom"/>
            <w:gridSpan w:val="4"/>
          </w:tcPr>
          <w:p>
            <w:pPr>
              <w:spacing w:after="0"/>
              <w:rPr>
                <w:sz w:val="20"/>
                <w:szCs w:val="20"/>
                <w:color w:val="auto"/>
              </w:rPr>
            </w:pPr>
            <w:r>
              <w:rPr>
                <w:rFonts w:ascii="Arial" w:cs="Arial" w:eastAsia="Arial" w:hAnsi="Arial"/>
                <w:sz w:val="18"/>
                <w:szCs w:val="18"/>
                <w:color w:val="auto"/>
              </w:rPr>
              <w:t>6)  Earnings Per Share</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380" w:type="dxa"/>
            <w:vAlign w:val="bottom"/>
            <w:gridSpan w:val="2"/>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880" w:type="dxa"/>
            <w:vAlign w:val="bottom"/>
            <w:gridSpan w:val="4"/>
          </w:tcPr>
          <w:p>
            <w:pPr>
              <w:spacing w:after="0"/>
              <w:rPr>
                <w:sz w:val="20"/>
                <w:szCs w:val="20"/>
                <w:color w:val="auto"/>
              </w:rPr>
            </w:pPr>
            <w:r>
              <w:rPr>
                <w:rFonts w:ascii="Arial" w:cs="Arial" w:eastAsia="Arial" w:hAnsi="Arial"/>
                <w:sz w:val="18"/>
                <w:szCs w:val="18"/>
                <w:color w:val="auto"/>
              </w:rPr>
              <w:t>The basic and diluted earnings per share amounts were calculated as follows: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gridSpan w:val="4"/>
          </w:tcPr>
          <w:p>
            <w:pPr>
              <w:jc w:val="right"/>
              <w:ind w:right="150"/>
              <w:spacing w:after="0"/>
              <w:rPr>
                <w:sz w:val="20"/>
                <w:szCs w:val="20"/>
                <w:color w:val="auto"/>
              </w:rPr>
            </w:pPr>
            <w:r>
              <w:rPr>
                <w:rFonts w:ascii="Arial" w:cs="Arial" w:eastAsia="Arial" w:hAnsi="Arial"/>
                <w:sz w:val="18"/>
                <w:szCs w:val="18"/>
                <w:color w:val="auto"/>
                <w:w w:val="97"/>
              </w:rPr>
              <w:t>Three Months Ended</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March 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6560" w:type="dxa"/>
            <w:vAlign w:val="bottom"/>
            <w:gridSpan w:val="3"/>
          </w:tcPr>
          <w:p>
            <w:pPr>
              <w:ind w:left="820"/>
              <w:spacing w:after="0"/>
              <w:rPr>
                <w:sz w:val="20"/>
                <w:szCs w:val="20"/>
                <w:color w:val="auto"/>
              </w:rPr>
            </w:pPr>
            <w:r>
              <w:rPr>
                <w:rFonts w:ascii="Arial" w:cs="Arial" w:eastAsia="Arial" w:hAnsi="Arial"/>
                <w:sz w:val="18"/>
                <w:szCs w:val="18"/>
                <w:color w:val="auto"/>
              </w:rPr>
              <w:t>Numerator: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Net earnings</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1,930,318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16,925,923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7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Denominator:</w:t>
            </w: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Basic weighted-average shares outstanding</w:t>
            </w: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17,239,564</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16,993,229</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Effect of dilutive securities: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Employee stock options</w:t>
            </w: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210,556</w:t>
            </w:r>
          </w:p>
        </w:tc>
        <w:tc>
          <w:tcPr>
            <w:tcW w:w="1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185,183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7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Diluted weighted-average shares outstanding</w:t>
            </w:r>
          </w:p>
        </w:tc>
        <w:tc>
          <w:tcPr>
            <w:tcW w:w="13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17,450,120</w:t>
            </w:r>
          </w:p>
        </w:tc>
        <w:tc>
          <w:tcPr>
            <w:tcW w:w="1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17,178,412</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 w:type="dxa"/>
            <w:vAlign w:val="bottom"/>
            <w:vMerge w:val="restart"/>
          </w:tcPr>
          <w:p>
            <w:pPr>
              <w:spacing w:after="0"/>
              <w:rPr>
                <w:sz w:val="18"/>
                <w:szCs w:val="18"/>
                <w:color w:val="auto"/>
              </w:rPr>
            </w:pPr>
          </w:p>
        </w:tc>
        <w:tc>
          <w:tcPr>
            <w:tcW w:w="840" w:type="dxa"/>
            <w:vAlign w:val="bottom"/>
            <w:vMerge w:val="restart"/>
          </w:tcPr>
          <w:p>
            <w:pPr>
              <w:spacing w:after="0"/>
              <w:rPr>
                <w:sz w:val="18"/>
                <w:szCs w:val="18"/>
                <w:color w:val="auto"/>
              </w:rPr>
            </w:pPr>
          </w:p>
        </w:tc>
        <w:tc>
          <w:tcPr>
            <w:tcW w:w="54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42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2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net earnings per share</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20" w:type="dxa"/>
            <w:vAlign w:val="bottom"/>
            <w:vMerge w:val="restart"/>
          </w:tcPr>
          <w:p>
            <w:pPr>
              <w:spacing w:after="0"/>
              <w:rPr>
                <w:sz w:val="18"/>
                <w:szCs w:val="18"/>
                <w:color w:val="auto"/>
              </w:rPr>
            </w:pPr>
          </w:p>
        </w:tc>
        <w:tc>
          <w:tcPr>
            <w:tcW w:w="840" w:type="dxa"/>
            <w:vAlign w:val="bottom"/>
            <w:vMerge w:val="restart"/>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5180" w:type="dxa"/>
            <w:vAlign w:val="bottom"/>
            <w:tcBorders>
              <w:top w:val="single" w:sz="8" w:color="CCEEFF"/>
            </w:tcBorders>
          </w:tcPr>
          <w:p>
            <w:pPr>
              <w:spacing w:after="0"/>
              <w:rPr>
                <w:sz w:val="18"/>
                <w:szCs w:val="18"/>
                <w:color w:val="auto"/>
              </w:rPr>
            </w:pPr>
          </w:p>
        </w:tc>
        <w:tc>
          <w:tcPr>
            <w:tcW w:w="13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earnings per share</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18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earnings per share amounts have been retroactively adjusted for the effect of annual stock dividends. For the three months March 31, 2019 and 2018, there were 984,415 and 589,822 of anti-dilutive employee stock option shares, respectively, that were not included in the computation of diluted net earnings per common share as their effect would be anti-dilutive.</w:t>
      </w:r>
    </w:p>
    <w:p>
      <w:pPr>
        <w:spacing w:after="0" w:line="235" w:lineRule="exact"/>
        <w:rPr>
          <w:sz w:val="20"/>
          <w:szCs w:val="20"/>
          <w:color w:val="auto"/>
        </w:rPr>
      </w:pPr>
    </w:p>
    <w:p>
      <w:pPr>
        <w:ind w:left="300" w:hanging="292"/>
        <w:spacing w:after="0"/>
        <w:tabs>
          <w:tab w:leader="none" w:pos="30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Business Segment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Description of Products and Services by Segment</w:t>
      </w:r>
    </w:p>
    <w:p>
      <w:pPr>
        <w:spacing w:after="0" w:line="27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three reportable business segments: life insurance, cemetery and mortuary, and mortgage. The Company’s life insurance segment consists of life insurance premiums and operating expenses from the sale of insurance products sold by the Company’s independent agency force and net investment income derived from investing policyholder and segment surplus funds. The Company’s cemetery and mortuary segment consists of revenues and operating expenses from the sale of at-need cemetery and mortuary merchandise and services at its mortuaries and cemeteries, pre-need sales of cemetery spaces after collection of 10% or more of the purchase price and the net investment income from investing segment surplus funds. The Company’s mortgage segment consists of fee income and expenses from the originations of residential mortgage loans and interest earned and interest expenses from warehousing loans held for sale.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Measurement of Segment Profit or Loss and Segment Assets</w:t>
      </w:r>
    </w:p>
    <w:p>
      <w:pPr>
        <w:spacing w:after="0" w:line="2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accounting policies of the reportable segments are the same as those described in the Significant Accounting Principles of the Form 10-K for the year ended December 31, 2018. Intersegment revenues are recorded at cost plus an agreed upon intercompany profit, and are eliminated upon consolidation.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Factors Management Used to Identify the Enterprise’s Reportable Segments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reportable segments are business units that are managed separately due to the different products provided and the need to report separately to the various regulatory jurisdictions. The Company regularly reviews the quantitative thresholds and other criteria to determine when other business segments may need to be reported.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7" w:name="page28"/>
    <w:bookmarkEnd w:id="27"/>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gridSpan w:val="6"/>
          </w:tcPr>
          <w:p>
            <w:pPr>
              <w:spacing w:after="0"/>
              <w:rPr>
                <w:sz w:val="20"/>
                <w:szCs w:val="20"/>
                <w:color w:val="auto"/>
              </w:rPr>
            </w:pPr>
            <w:r>
              <w:rPr>
                <w:rFonts w:ascii="Arial" w:cs="Arial" w:eastAsia="Arial" w:hAnsi="Arial"/>
                <w:sz w:val="18"/>
                <w:szCs w:val="18"/>
                <w:color w:val="auto"/>
              </w:rPr>
              <w:t>7)  Business Segment Information (Continued)</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2"/>
        </w:trPr>
        <w:tc>
          <w:tcPr>
            <w:tcW w:w="300" w:type="dxa"/>
            <w:vAlign w:val="bottom"/>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270"/>
              <w:spacing w:after="0"/>
              <w:rPr>
                <w:sz w:val="20"/>
                <w:szCs w:val="20"/>
                <w:color w:val="auto"/>
              </w:rPr>
            </w:pPr>
            <w:r>
              <w:rPr>
                <w:rFonts w:ascii="Arial" w:cs="Arial" w:eastAsia="Arial" w:hAnsi="Arial"/>
                <w:sz w:val="18"/>
                <w:szCs w:val="18"/>
                <w:color w:val="auto"/>
              </w:rPr>
              <w:t>Life</w:t>
            </w:r>
          </w:p>
        </w:tc>
        <w:tc>
          <w:tcPr>
            <w:tcW w:w="16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6"/>
              </w:rPr>
              <w:t>Cemetery/</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Intercompany</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w w:val="93"/>
              </w:rPr>
              <w:t>Insurance</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w w:val="95"/>
              </w:rPr>
              <w:t>Mortuary</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Mortgage</w:t>
            </w:r>
          </w:p>
        </w:tc>
        <w:tc>
          <w:tcPr>
            <w:tcW w:w="60" w:type="dxa"/>
            <w:vAlign w:val="bottom"/>
          </w:tcPr>
          <w:p>
            <w:pPr>
              <w:spacing w:after="0"/>
              <w:rPr>
                <w:sz w:val="20"/>
                <w:szCs w:val="20"/>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w w:val="98"/>
              </w:rPr>
              <w:t>Eliminations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w w:val="87"/>
              </w:rPr>
              <w:t>Consolidated</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 w:type="dxa"/>
            <w:vAlign w:val="bottom"/>
          </w:tcPr>
          <w:p>
            <w:pPr>
              <w:spacing w:after="0"/>
              <w:rPr>
                <w:sz w:val="17"/>
                <w:szCs w:val="17"/>
                <w:color w:val="auto"/>
              </w:rPr>
            </w:pPr>
          </w:p>
        </w:tc>
        <w:tc>
          <w:tcPr>
            <w:tcW w:w="3780" w:type="dxa"/>
            <w:vAlign w:val="bottom"/>
            <w:gridSpan w:val="5"/>
          </w:tcPr>
          <w:p>
            <w:pPr>
              <w:ind w:left="840"/>
              <w:spacing w:after="0" w:line="201" w:lineRule="exact"/>
              <w:rPr>
                <w:sz w:val="20"/>
                <w:szCs w:val="20"/>
                <w:color w:val="auto"/>
              </w:rPr>
            </w:pPr>
            <w:r>
              <w:rPr>
                <w:rFonts w:ascii="Arial" w:cs="Arial" w:eastAsia="Arial" w:hAnsi="Arial"/>
                <w:sz w:val="18"/>
                <w:szCs w:val="18"/>
                <w:color w:val="auto"/>
              </w:rPr>
              <w:t>For the Three Months Ended</w:t>
            </w:r>
          </w:p>
        </w:tc>
        <w:tc>
          <w:tcPr>
            <w:tcW w:w="3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00" w:type="dxa"/>
            <w:vAlign w:val="bottom"/>
          </w:tcPr>
          <w:p>
            <w:pPr>
              <w:spacing w:after="0"/>
              <w:rPr>
                <w:sz w:val="16"/>
                <w:szCs w:val="16"/>
                <w:color w:val="auto"/>
              </w:rPr>
            </w:pPr>
          </w:p>
        </w:tc>
        <w:tc>
          <w:tcPr>
            <w:tcW w:w="3780" w:type="dxa"/>
            <w:vAlign w:val="bottom"/>
            <w:gridSpan w:val="5"/>
          </w:tcPr>
          <w:p>
            <w:pPr>
              <w:ind w:left="840"/>
              <w:spacing w:after="0" w:line="190" w:lineRule="exact"/>
              <w:rPr>
                <w:sz w:val="20"/>
                <w:szCs w:val="20"/>
                <w:color w:val="auto"/>
              </w:rPr>
            </w:pPr>
            <w:r>
              <w:rPr>
                <w:rFonts w:ascii="Arial" w:cs="Arial" w:eastAsia="Arial" w:hAnsi="Arial"/>
                <w:sz w:val="18"/>
                <w:szCs w:val="18"/>
                <w:color w:val="auto"/>
              </w:rPr>
              <w:t>March 31, 2019</w:t>
            </w: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0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30,505,368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4,359,285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26,629,182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61,493,835</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Intersegment revenues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895,372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116,651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126,358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(1,138,381)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Segment profit before income taxes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2,085,341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1,184,865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(838,047)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2,432,159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935,021,695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87,087,362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155,695,585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(125,548,998)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1,052,255,644</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2,765,570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750,745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3,516,315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937,787,265</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87,838,107</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155,695,585</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(125,548,998)</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1,055,771,959</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00" w:type="dxa"/>
            <w:vAlign w:val="bottom"/>
            <w:vMerge w:val="restart"/>
          </w:tcPr>
          <w:p>
            <w:pPr>
              <w:spacing w:after="0"/>
              <w:rPr>
                <w:sz w:val="18"/>
                <w:szCs w:val="18"/>
                <w:color w:val="auto"/>
              </w:rPr>
            </w:pPr>
          </w:p>
        </w:tc>
        <w:tc>
          <w:tcPr>
            <w:tcW w:w="8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 the Three Months Ended</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920" w:type="dxa"/>
            <w:vAlign w:val="bottom"/>
            <w:gridSpan w:val="3"/>
          </w:tcPr>
          <w:p>
            <w:pPr>
              <w:spacing w:after="0" w:line="176" w:lineRule="exact"/>
              <w:rPr>
                <w:sz w:val="20"/>
                <w:szCs w:val="20"/>
                <w:color w:val="auto"/>
              </w:rPr>
            </w:pPr>
            <w:r>
              <w:rPr>
                <w:rFonts w:ascii="Arial" w:cs="Arial" w:eastAsia="Arial" w:hAnsi="Arial"/>
                <w:sz w:val="18"/>
                <w:szCs w:val="18"/>
                <w:color w:val="auto"/>
              </w:rPr>
              <w:t>March 31, 2018</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00" w:type="dxa"/>
            <w:vAlign w:val="bottom"/>
            <w:vMerge w:val="restart"/>
          </w:tcPr>
          <w:p>
            <w:pPr>
              <w:spacing w:after="0" w:line="20" w:lineRule="exact"/>
              <w:rPr>
                <w:sz w:val="1"/>
                <w:szCs w:val="1"/>
                <w:color w:val="auto"/>
              </w:rPr>
            </w:pPr>
          </w:p>
        </w:tc>
        <w:tc>
          <w:tcPr>
            <w:tcW w:w="8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50,860,529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3,775,745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27,439,835</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82,076,109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Intersegment revenues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819,292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109,017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133,370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(1,061,679)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Segment profit before income taxes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23,711,809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860,763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(3,385,391)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21,187,181</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18"/>
                <w:szCs w:val="18"/>
                <w:color w:val="auto"/>
              </w:rPr>
            </w:pPr>
          </w:p>
        </w:tc>
        <w:tc>
          <w:tcPr>
            <w:tcW w:w="8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873,263,596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92,747,811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163,896,491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(134,701,132)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995,206,766</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2,765,570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2,765,570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876,029,166</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92,747,811</w:t>
            </w:r>
          </w:p>
        </w:tc>
        <w:tc>
          <w:tcPr>
            <w:tcW w:w="1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163,896,491</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(134,701,132)</w:t>
            </w: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997,972,336</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765"/>
        </w:trPr>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56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gridSpan w:val="2"/>
          </w:tcPr>
          <w:p>
            <w:pPr>
              <w:jc w:val="right"/>
              <w:ind w:right="650"/>
              <w:spacing w:after="0"/>
              <w:rPr>
                <w:sz w:val="20"/>
                <w:szCs w:val="20"/>
                <w:color w:val="auto"/>
              </w:rPr>
            </w:pPr>
            <w:r>
              <w:rPr>
                <w:rFonts w:ascii="Arial" w:cs="Arial" w:eastAsia="Arial" w:hAnsi="Arial"/>
                <w:sz w:val="14"/>
                <w:szCs w:val="14"/>
                <w:color w:val="auto"/>
                <w:w w:val="89"/>
              </w:rPr>
              <w:t>28</w:t>
            </w: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3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00" w:lineRule="exact"/>
        <w:rPr>
          <w:sz w:val="20"/>
          <w:szCs w:val="20"/>
          <w:color w:val="auto"/>
        </w:rPr>
      </w:pPr>
    </w:p>
    <w:p>
      <w:pPr>
        <w:spacing w:after="0" w:line="238" w:lineRule="exact"/>
        <w:rPr>
          <w:sz w:val="20"/>
          <w:szCs w:val="20"/>
          <w:color w:val="auto"/>
        </w:rPr>
      </w:pPr>
    </w:p>
    <w:p>
      <w:pPr>
        <w:ind w:left="320" w:hanging="312"/>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p>
    <w:p>
      <w:pPr>
        <w:spacing w:after="0" w:line="2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GAAP defines fair value as the exchange price that would be received for an asset or paid to transfer a liability (an exit price) in the principal or most advantageous market for the asset or liability in an orderly transaction between market participants. GAAP also specifies a fair value hierarchy based upon the observability of inputs used in valuation techniques. Observable inputs (highest level) reflect market data obtained from independent sources, while unobservable inputs (lowest level) reflect internally developed market assumptions. Fair value measurements are classified under the following hierarchy:</w:t>
      </w:r>
    </w:p>
    <w:p>
      <w:pPr>
        <w:spacing w:after="0" w:line="24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financial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can access.</w:t>
      </w:r>
    </w:p>
    <w:p>
      <w:pPr>
        <w:spacing w:after="0" w:line="21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i w:val="1"/>
          <w:iCs w:val="1"/>
          <w:color w:val="auto"/>
        </w:rPr>
        <w:t>Level 2:</w:t>
      </w:r>
      <w:r>
        <w:rPr>
          <w:sz w:val="20"/>
          <w:szCs w:val="20"/>
          <w:color w:val="auto"/>
        </w:rPr>
        <w:tab/>
      </w:r>
      <w:r>
        <w:rPr>
          <w:rFonts w:ascii="Arial" w:cs="Arial" w:eastAsia="Arial" w:hAnsi="Arial"/>
          <w:sz w:val="16"/>
          <w:szCs w:val="16"/>
          <w:color w:val="auto"/>
        </w:rPr>
        <w:t>Financial assets and financial liabilities whose values are based on the following:</w:t>
      </w:r>
    </w:p>
    <w:p>
      <w:pPr>
        <w:spacing w:after="0" w:line="225" w:lineRule="exact"/>
        <w:rPr>
          <w:sz w:val="20"/>
          <w:szCs w:val="20"/>
          <w:color w:val="auto"/>
        </w:rPr>
      </w:pPr>
    </w:p>
    <w:p>
      <w:pPr>
        <w:ind w:left="700" w:hanging="41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3" w:lineRule="exact"/>
        <w:rPr>
          <w:rFonts w:ascii="Arial" w:cs="Arial" w:eastAsia="Arial" w:hAnsi="Arial"/>
          <w:sz w:val="18"/>
          <w:szCs w:val="18"/>
          <w:color w:val="auto"/>
        </w:rPr>
      </w:pPr>
    </w:p>
    <w:p>
      <w:pPr>
        <w:ind w:left="700" w:hanging="422"/>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non-active markets; or</w:t>
      </w:r>
    </w:p>
    <w:p>
      <w:pPr>
        <w:spacing w:after="0" w:line="9" w:lineRule="exact"/>
        <w:rPr>
          <w:rFonts w:ascii="Arial" w:cs="Arial" w:eastAsia="Arial" w:hAnsi="Arial"/>
          <w:sz w:val="18"/>
          <w:szCs w:val="18"/>
          <w:color w:val="auto"/>
        </w:rPr>
      </w:pPr>
    </w:p>
    <w:p>
      <w:pPr>
        <w:ind w:left="700" w:hanging="417"/>
        <w:spacing w:after="0"/>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Valuation models whose inputs are observable, directly or indirectly, for substantially the full term of the asset or liability.</w:t>
      </w:r>
    </w:p>
    <w:p>
      <w:pPr>
        <w:spacing w:after="0" w:line="30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financial liabilities whose values are based on prices or valuation techniques that require inputs that are both unobservable and</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to the overall fair value measurement. These inputs may reflect the Company’s estimates of the assumptions that market participants would use in valuing the financial assets and financial liabilities.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utilizes a combination of third-party valuation service providers, brokers, and internal valuation models to determine fair value.</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methods and assumptions were used by the Company in estimating the fair value disclosures related to significant financial instruments.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The items shown under Level 1 and Level 2 are valued as follows: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for equity securities are based on quoted market prices.</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u w:val="single" w:color="auto"/>
          <w:color w:val="auto"/>
        </w:rPr>
        <w:t>Restricted Assets</w:t>
      </w:r>
      <w:r>
        <w:rPr>
          <w:rFonts w:ascii="Arial" w:cs="Arial" w:eastAsia="Arial" w:hAnsi="Arial"/>
          <w:sz w:val="17"/>
          <w:szCs w:val="17"/>
          <w:i w:val="1"/>
          <w:iCs w:val="1"/>
          <w:color w:val="auto"/>
        </w:rPr>
        <w:t xml:space="preserve">: </w:t>
      </w:r>
      <w:r>
        <w:rPr>
          <w:rFonts w:ascii="Arial" w:cs="Arial" w:eastAsia="Arial" w:hAnsi="Arial"/>
          <w:sz w:val="17"/>
          <w:szCs w:val="17"/>
          <w:color w:val="auto"/>
        </w:rPr>
        <w:t>A portion of these assets include mutual funds and equity securities that have quoted market prices that are used to determine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Also included are cash and cash equivalents and participations in mortgage loans. The carrying amounts reported in the accompanying condensed consolidated balance sheets for these financial instruments approximate their fair values due to their short-term nature.</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Cemetery Endowment Care Trust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 portion of these assets include equity securities that have quoted market prices that are used to determine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Also included are cash and cash equivalents. The carrying amounts reported in the accompanying condensed consolidated balance sheets for these financial instruments approximate their fair values due to their short-term nature.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Call and Put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The fair values for call and put options are based on quoted market prices.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Additionally, there were no transfers between Level 1 and Level 2 in the fair value hierarchy.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items shown under Level 3 are valued as follows: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i w:val="1"/>
          <w:iCs w:val="1"/>
          <w:u w:val="single" w:color="auto"/>
          <w:color w:val="auto"/>
        </w:rPr>
        <w:t>Loans Held for Sale</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elected the fair value option for loans held for sale. The fair value is based on quoted market prices, when available.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When a quoted market price is not readily available, the Company uses the market price from its last sale of similar assets.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76"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Loan Commitments and Forward Sale Commitments</w:t>
      </w:r>
      <w:r>
        <w:rPr>
          <w:rFonts w:ascii="Arial" w:cs="Arial" w:eastAsia="Arial" w:hAnsi="Arial"/>
          <w:sz w:val="18"/>
          <w:szCs w:val="18"/>
          <w:color w:val="auto"/>
        </w:rPr>
        <w:t>: The Company’s mortgage segment enters into loan commitments with potential borrowers and forward</w:t>
      </w:r>
      <w:r>
        <w:rPr>
          <w:rFonts w:ascii="Arial" w:cs="Arial" w:eastAsia="Arial" w:hAnsi="Arial"/>
          <w:sz w:val="18"/>
          <w:szCs w:val="18"/>
          <w:i w:val="1"/>
          <w:iCs w:val="1"/>
          <w:color w:val="auto"/>
        </w:rPr>
        <w:t xml:space="preserve"> </w:t>
      </w:r>
      <w:r>
        <w:rPr>
          <w:rFonts w:ascii="Arial" w:cs="Arial" w:eastAsia="Arial" w:hAnsi="Arial"/>
          <w:sz w:val="18"/>
          <w:szCs w:val="18"/>
          <w:color w:val="auto"/>
        </w:rPr>
        <w:t>sale commitments to sell loans to third-party investors. The Company also uses a hedging strategy for these transactions. A loan commitment binds the Company to lend funds to a qualified borrower at a specified interest rate and within a specified period of time, generally up to 30 days after issuance of the loan commitment. Loan commitments are defined to be derivatives under GAAP and are recognized at fair value on the consolidated balance sheets with changes in their fair values recorded in current earnings.</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estimates the fair value of a loan commitment based on the change in estimated fair value of the underlying mortgage loan, quoted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Following issuance, the value of a mortgage loan commitment can be either positive or negative depending upon the change in value of the underlying mortgage loans. Fallout rates and other factors from the Company’s recent historical data are used to estimate the quantity and value of mortgage loans that will fund within the terms of the commitments.</w:t>
      </w:r>
    </w:p>
    <w:p>
      <w:pPr>
        <w:spacing w:after="0" w:line="2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Impaired 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believes that the fair value of these nonperforming loans will approximate the unpaid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balance expected to be recovered based on the fair value of the underlying collateral. For residential and commercial properties, the collateral value is estimated by obtaining an independent appraisal. The appraisal typically considers area comparables and property condition as well as potential rental income that could be generated (particularly for commercial properties). For residential construction loans, the collateral is typically incomplete, so fair value is estimated as the replacement cost using data from Marshall and Swift, a provider of building cost information to the real estate construction.</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Real Estate Held for Investment</w:t>
      </w:r>
      <w:r>
        <w:rPr>
          <w:rFonts w:ascii="Arial" w:cs="Arial" w:eastAsia="Arial" w:hAnsi="Arial"/>
          <w:sz w:val="18"/>
          <w:szCs w:val="18"/>
          <w:color w:val="auto"/>
        </w:rPr>
        <w:t>: The Company believes that in an orderly market, fair value will approximate the replacement cost of a home and the rental</w:t>
      </w:r>
      <w:r>
        <w:rPr>
          <w:rFonts w:ascii="Arial" w:cs="Arial" w:eastAsia="Arial" w:hAnsi="Arial"/>
          <w:sz w:val="18"/>
          <w:szCs w:val="18"/>
          <w:i w:val="1"/>
          <w:iCs w:val="1"/>
          <w:color w:val="auto"/>
        </w:rPr>
        <w:t xml:space="preserve"> </w:t>
      </w:r>
      <w:r>
        <w:rPr>
          <w:rFonts w:ascii="Arial" w:cs="Arial" w:eastAsia="Arial" w:hAnsi="Arial"/>
          <w:sz w:val="18"/>
          <w:szCs w:val="18"/>
          <w:color w:val="auto"/>
        </w:rPr>
        <w:t>income provides a cash flow stream for investment analysis. The Company believes the highest and best use of the properties are as income producing assets since it is the Company’s intent to hold the properties as rental properties, matching the income from the investment in rental properties with the funds required for future estimated policy claims.</w:t>
      </w:r>
    </w:p>
    <w:p>
      <w:pPr>
        <w:spacing w:after="0" w:line="2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should be noted that for replacement cost, when determining the fair value of mortgage properties, the Company uses Marshall and Swift, a provider of building cost information to the real estate construction industry. For the investment analysis, the Company uses market data based upon its real estate operation experience and projected the present value of the net rental income over seven years. The Company also considers area comparables and property condition when determining fair value.</w:t>
      </w:r>
    </w:p>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to this analysis performed by the Company, the Company depreciates Real Estate Held for Investment. This depreciation reduces the book value of these properties and lessens the exposure to the Company from further deterioration in real estate values.</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u w:val="single" w:color="auto"/>
          <w:color w:val="auto"/>
        </w:rPr>
        <w:t>Mortgage Servicing Rights</w:t>
      </w:r>
      <w:r>
        <w:rPr>
          <w:rFonts w:ascii="Arial" w:cs="Arial" w:eastAsia="Arial" w:hAnsi="Arial"/>
          <w:sz w:val="17"/>
          <w:szCs w:val="17"/>
          <w:color w:val="auto"/>
        </w:rPr>
        <w:t>: The Company initially recognizes Mortgage Servicing Rights (“MSRs”) at their estimated fair values derived from the net cash</w:t>
      </w:r>
      <w:r>
        <w:rPr>
          <w:rFonts w:ascii="Arial" w:cs="Arial" w:eastAsia="Arial" w:hAnsi="Arial"/>
          <w:sz w:val="17"/>
          <w:szCs w:val="17"/>
          <w:i w:val="1"/>
          <w:iCs w:val="1"/>
          <w:color w:val="auto"/>
        </w:rPr>
        <w:t xml:space="preserve"> </w:t>
      </w:r>
      <w:r>
        <w:rPr>
          <w:rFonts w:ascii="Arial" w:cs="Arial" w:eastAsia="Arial" w:hAnsi="Arial"/>
          <w:sz w:val="17"/>
          <w:szCs w:val="17"/>
          <w:color w:val="auto"/>
        </w:rPr>
        <w:t>flows associated with the servicing contracts, where the Company assumes the obligation to service the loan in the sale transaction. The precise fair value of MSRs cannot be readily determined because MSRs are not actively traded in stand-alone markets. Considerable judgment is required to estimate the fair values of these assets and the exercise of such judgment can significantly affect the Company’s earnings.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0" w:name="page31"/>
    <w:bookmarkEnd w:id="30"/>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76"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3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recurring basis by their classification in the condensed consolidated balance sheet at March 31, 2019.</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Quoted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Prices in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7"/>
              </w:rPr>
              <w:t>Active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8"/>
                <w:szCs w:val="18"/>
                <w:color w:val="auto"/>
                <w:w w:val="93"/>
              </w:rPr>
              <w:t>Markets for</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6"/>
              </w:rPr>
              <w:t>Significant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Identical</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4"/>
          </w:tcPr>
          <w:p>
            <w:pPr>
              <w:ind w:left="160"/>
              <w:spacing w:after="0"/>
              <w:rPr>
                <w:sz w:val="20"/>
                <w:szCs w:val="20"/>
                <w:color w:val="auto"/>
              </w:rPr>
            </w:pPr>
            <w:r>
              <w:rPr>
                <w:rFonts w:ascii="Arial" w:cs="Arial" w:eastAsia="Arial" w:hAnsi="Arial"/>
                <w:sz w:val="18"/>
                <w:szCs w:val="18"/>
                <w:color w:val="auto"/>
                <w:w w:val="95"/>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Assets</w:t>
            </w: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89"/>
              </w:rPr>
              <w:t>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(Level 1)</w:t>
            </w:r>
          </w:p>
        </w:tc>
        <w:tc>
          <w:tcPr>
            <w:tcW w:w="10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4"/>
              </w:rPr>
              <w:t>(Level 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(Level 3)</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Assets accounted for at fair value on a recurring basis</w:t>
            </w: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6,927,352</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6,927,352</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equity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6,927,352</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6,927,352</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123,374,303</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123,374,303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(1)</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799,835</w:t>
            </w: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799,835</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Cemetery perpetual care trust investments (1)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543,284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543,284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Derivatives - loan commitments (2)</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2,849,706</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right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2,849,706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w w:val="99"/>
              </w:rPr>
              <w:t>Total assets accounted for at fair value on a recurring basis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134,494,480</w:t>
            </w:r>
          </w:p>
        </w:tc>
        <w:tc>
          <w:tcPr>
            <w:tcW w:w="16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8,270,471</w:t>
            </w:r>
          </w:p>
        </w:tc>
        <w:tc>
          <w:tcPr>
            <w:tcW w:w="16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126,224,009</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Liabilities accounted for at fair value on a recurring basis</w:t>
            </w: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Derivatives - call options (3)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(50,305)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(50,305)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Derivatives - put options (3)</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(89,733)</w:t>
            </w: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(89,733)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Derivatives - loan commitments (3)</w:t>
            </w:r>
          </w:p>
        </w:tc>
        <w:tc>
          <w:tcPr>
            <w:tcW w:w="1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(325,363)</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(325,363)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righ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6"/>
              </w:rPr>
              <w:t>Total liabilities accounted for at fair value on a recurring basis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(465,401)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(140,038)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(325,363)</w:t>
            </w:r>
          </w:p>
        </w:tc>
        <w:tc>
          <w:tcPr>
            <w:tcW w:w="0" w:type="dxa"/>
            <w:vAlign w:val="bottom"/>
          </w:tcPr>
          <w:p>
            <w:pPr>
              <w:spacing w:after="0"/>
              <w:rPr>
                <w:sz w:val="1"/>
                <w:szCs w:val="1"/>
                <w:color w:val="auto"/>
              </w:rPr>
            </w:pPr>
          </w:p>
        </w:tc>
      </w:tr>
      <w:tr>
        <w:trPr>
          <w:trHeight w:val="21"/>
        </w:trPr>
        <w:tc>
          <w:tcPr>
            <w:tcW w:w="476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_______________________________________________</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47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400" w:hanging="251"/>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Mutual funds and equity securities</w:t>
      </w:r>
    </w:p>
    <w:p>
      <w:pPr>
        <w:spacing w:after="0" w:line="9" w:lineRule="exact"/>
        <w:rPr>
          <w:rFonts w:ascii="Arial" w:cs="Arial" w:eastAsia="Arial" w:hAnsi="Arial"/>
          <w:sz w:val="18"/>
          <w:szCs w:val="18"/>
          <w:color w:val="auto"/>
        </w:rPr>
      </w:pPr>
    </w:p>
    <w:p>
      <w:pPr>
        <w:ind w:left="1400" w:hanging="251"/>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Included in other assets on the condensed consolidated balance sheets</w:t>
      </w:r>
    </w:p>
    <w:p>
      <w:pPr>
        <w:spacing w:after="0" w:line="9" w:lineRule="exact"/>
        <w:rPr>
          <w:rFonts w:ascii="Arial" w:cs="Arial" w:eastAsia="Arial" w:hAnsi="Arial"/>
          <w:sz w:val="18"/>
          <w:szCs w:val="18"/>
          <w:color w:val="auto"/>
        </w:rPr>
      </w:pPr>
    </w:p>
    <w:p>
      <w:pPr>
        <w:ind w:left="1400" w:hanging="251"/>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Included in other liabilities and accrued expenses on the condensed consolidated balance sheets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changes in the condensed consolidated balance sheet line items measured using level 3 inputs: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ind w:left="40"/>
              <w:spacing w:after="0"/>
              <w:rPr>
                <w:sz w:val="20"/>
                <w:szCs w:val="20"/>
                <w:color w:val="auto"/>
              </w:rPr>
            </w:pPr>
            <w:r>
              <w:rPr>
                <w:rFonts w:ascii="Arial" w:cs="Arial" w:eastAsia="Arial" w:hAnsi="Arial"/>
                <w:sz w:val="18"/>
                <w:szCs w:val="18"/>
                <w:color w:val="auto"/>
              </w:rPr>
              <w:t>Net Loan</w:t>
            </w:r>
          </w:p>
        </w:tc>
        <w:tc>
          <w:tcPr>
            <w:tcW w:w="8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Loans Held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w w:val="97"/>
              </w:rPr>
              <w:t>Commitments</w:t>
            </w:r>
          </w:p>
        </w:tc>
        <w:tc>
          <w:tcPr>
            <w:tcW w:w="8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for Sale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2018</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1,591,816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$ 136,210,853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Originations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428,500,921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(456,552,964)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Total gains (losses):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Included in earnings (1)</w:t>
            </w: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932,527</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15,215,493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Balance - March 31,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2,524,343</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$ 123,374,303</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________________________________________</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As a component of Mortgage fee income on the condensed consolidated statements of earnings</w:t>
      </w:r>
    </w:p>
    <w:p>
      <w:pPr>
        <w:spacing w:after="0" w:line="179"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jc w:val="center"/>
        <w:ind w:left="320" w:right="2700"/>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76" w:lineRule="exact"/>
        <w:rPr>
          <w:sz w:val="20"/>
          <w:szCs w:val="20"/>
          <w:color w:val="auto"/>
        </w:rPr>
      </w:pPr>
    </w:p>
    <w:p>
      <w:pPr>
        <w:ind w:left="320" w:hanging="312"/>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nonrecurring basis by their classification in the condensed consolidated balance sheet at March 31, 2019.</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87"/>
              </w:rPr>
              <w:t>Quoted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Prices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6"/>
              </w:rPr>
              <w:t>in Active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3"/>
              </w:rPr>
              <w:t>Markets for</w:t>
            </w: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6"/>
              </w:rPr>
              <w:t>Significant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6"/>
              </w:rPr>
              <w:t>Significant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5"/>
              </w:rPr>
              <w:t>Identical</w:t>
            </w: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Observable</w:t>
            </w:r>
          </w:p>
        </w:tc>
        <w:tc>
          <w:tcPr>
            <w:tcW w:w="1160" w:type="dxa"/>
            <w:vAlign w:val="bottom"/>
            <w:gridSpan w:val="3"/>
          </w:tcPr>
          <w:p>
            <w:pPr>
              <w:jc w:val="center"/>
              <w:ind w:left="70"/>
              <w:spacing w:after="0"/>
              <w:rPr>
                <w:sz w:val="20"/>
                <w:szCs w:val="20"/>
                <w:color w:val="auto"/>
              </w:rPr>
            </w:pPr>
            <w:r>
              <w:rPr>
                <w:rFonts w:ascii="Arial" w:cs="Arial" w:eastAsia="Arial" w:hAnsi="Arial"/>
                <w:sz w:val="18"/>
                <w:szCs w:val="18"/>
                <w:color w:val="auto"/>
                <w:w w:val="90"/>
              </w:rPr>
              <w:t>Unobservable</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88"/>
              </w:rPr>
              <w:t>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89"/>
              </w:rPr>
              <w:t>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89"/>
              </w:rPr>
              <w:t>Inputs</w:t>
            </w:r>
          </w:p>
        </w:tc>
        <w:tc>
          <w:tcPr>
            <w:tcW w:w="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4"/>
              </w:rPr>
              <w:t>(Level 1)</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(Level 2)</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(Level 3)</w:t>
            </w:r>
          </w:p>
        </w:tc>
        <w:tc>
          <w:tcPr>
            <w:tcW w:w="80" w:type="dxa"/>
            <w:vAlign w:val="bottom"/>
          </w:tcPr>
          <w:p>
            <w:pPr>
              <w:spacing w:after="0"/>
              <w:rPr>
                <w:sz w:val="20"/>
                <w:szCs w:val="20"/>
                <w:color w:val="auto"/>
              </w:rPr>
            </w:pP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Assets accounted for at fair value on a nonrecurring basis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Impaired mortgage loans held for investment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711,448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711,448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5"/>
              </w:rPr>
              <w:t>Total assets accounted for at fair value on a nonrecurring basis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711,448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711,448</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recurring basis by their classification in the condensed consolidated balance sheet at December 31, 2018.</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Quoted</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Prices in</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Active</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Markets for</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6"/>
              </w:rPr>
              <w:t>Significant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Identical</w:t>
            </w: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Observable</w:t>
            </w:r>
          </w:p>
        </w:tc>
        <w:tc>
          <w:tcPr>
            <w:tcW w:w="1240" w:type="dxa"/>
            <w:vAlign w:val="bottom"/>
            <w:gridSpan w:val="4"/>
          </w:tcPr>
          <w:p>
            <w:pPr>
              <w:ind w:left="160"/>
              <w:spacing w:after="0"/>
              <w:rPr>
                <w:sz w:val="20"/>
                <w:szCs w:val="20"/>
                <w:color w:val="auto"/>
              </w:rPr>
            </w:pPr>
            <w:r>
              <w:rPr>
                <w:rFonts w:ascii="Arial" w:cs="Arial" w:eastAsia="Arial" w:hAnsi="Arial"/>
                <w:sz w:val="18"/>
                <w:szCs w:val="18"/>
                <w:color w:val="auto"/>
                <w:w w:val="95"/>
              </w:rPr>
              <w:t>Unobservable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Assets</w:t>
            </w: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89"/>
              </w:rPr>
              <w:t>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Inputs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(Level 1)</w:t>
            </w:r>
          </w:p>
        </w:tc>
        <w:tc>
          <w:tcPr>
            <w:tcW w:w="10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4"/>
              </w:rPr>
              <w:t>(Level 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(Level 3)</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Assets accounted for at fair value on a recurring basis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5,558,611</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5,558,611</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Total equity securities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5,558,611</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5,558,611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6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Loans held for sale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136,210,853</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136,210,853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744,673</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744,673</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Cemetery perpetual care trust investments (1)</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483,353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483,353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1,969,967</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1,969,967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Total assets accounted for at fair value on a recurring basis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8,756,604</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6,786,637</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1,969,967</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Liabilities accounted for at fair value on a recurring basis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Derivatives - call options (3)</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(4,629)</w:t>
            </w:r>
          </w:p>
        </w:tc>
        <w:tc>
          <w:tcPr>
            <w:tcW w:w="8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(4,629)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Derivatives - put options (3)</w:t>
            </w: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(296,053)</w:t>
            </w:r>
          </w:p>
        </w:tc>
        <w:tc>
          <w:tcPr>
            <w:tcW w:w="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(296,053)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Derivatives - loan commitments (3)</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(378,151)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(378,151)</w:t>
            </w: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9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Total liabilities accounted for at fair value on a recurring basis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(678,833</w:t>
            </w:r>
          </w:p>
        </w:tc>
        <w:tc>
          <w:tcPr>
            <w:tcW w:w="180" w:type="dxa"/>
            <w:vAlign w:val="bottom"/>
            <w:tcBorders>
              <w:bottom w:val="single" w:sz="8" w:color="CCEEFF"/>
              <w:right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(300,682</w:t>
            </w:r>
          </w:p>
        </w:tc>
        <w:tc>
          <w:tcPr>
            <w:tcW w:w="160" w:type="dxa"/>
            <w:vAlign w:val="bottom"/>
            <w:tcBorders>
              <w:bottom w:val="single" w:sz="8" w:color="CCEEFF"/>
              <w:right w:val="single" w:sz="8" w:color="CCEEFF"/>
            </w:tcBorders>
            <w:shd w:val="clear" w:color="auto" w:fill="CCEEFF"/>
          </w:tcPr>
          <w:p>
            <w:pPr>
              <w:jc w:val="right"/>
              <w:ind w:right="80"/>
              <w:spacing w:after="0"/>
              <w:rPr>
                <w:sz w:val="20"/>
                <w:szCs w:val="20"/>
                <w:color w:val="auto"/>
              </w:rPr>
            </w:pPr>
            <w:r>
              <w:rPr>
                <w:rFonts w:ascii="Arial" w:cs="Arial" w:eastAsia="Arial" w:hAnsi="Arial"/>
                <w:sz w:val="8"/>
                <w:szCs w:val="8"/>
                <w:color w:val="auto"/>
                <w:w w:val="73"/>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(378,151</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26"/>
        </w:trPr>
        <w:tc>
          <w:tcPr>
            <w:tcW w:w="4760" w:type="dxa"/>
            <w:vAlign w:val="bottom"/>
            <w:gridSpan w:val="2"/>
          </w:tcPr>
          <w:p>
            <w:pPr>
              <w:spacing w:after="0"/>
              <w:rPr>
                <w:sz w:val="20"/>
                <w:szCs w:val="20"/>
                <w:color w:val="auto"/>
              </w:rPr>
            </w:pPr>
            <w:r>
              <w:rPr>
                <w:rFonts w:ascii="Arial" w:cs="Arial" w:eastAsia="Arial" w:hAnsi="Arial"/>
                <w:sz w:val="18"/>
                <w:szCs w:val="18"/>
                <w:color w:val="auto"/>
              </w:rPr>
              <w:t>_________________________________</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1400" w:hanging="251"/>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Mutual funds and equity securities</w:t>
      </w:r>
    </w:p>
    <w:p>
      <w:pPr>
        <w:spacing w:after="0" w:line="9" w:lineRule="exact"/>
        <w:rPr>
          <w:rFonts w:ascii="Arial" w:cs="Arial" w:eastAsia="Arial" w:hAnsi="Arial"/>
          <w:sz w:val="18"/>
          <w:szCs w:val="18"/>
          <w:color w:val="auto"/>
        </w:rPr>
      </w:pPr>
    </w:p>
    <w:p>
      <w:pPr>
        <w:ind w:left="1400" w:hanging="251"/>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Included in other assets on the condensed consolidated balance sheets</w:t>
      </w:r>
    </w:p>
    <w:p>
      <w:pPr>
        <w:spacing w:after="0" w:line="9" w:lineRule="exact"/>
        <w:rPr>
          <w:rFonts w:ascii="Arial" w:cs="Arial" w:eastAsia="Arial" w:hAnsi="Arial"/>
          <w:sz w:val="18"/>
          <w:szCs w:val="18"/>
          <w:color w:val="auto"/>
        </w:rPr>
      </w:pPr>
    </w:p>
    <w:p>
      <w:pPr>
        <w:ind w:left="1400" w:hanging="251"/>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Included in other liabilities and accrued expenses on the condensed consolidated balance sheets</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2" w:name="page33"/>
    <w:bookmarkEnd w:id="32"/>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76"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changes in the condensed consolidated balance sheet line items measured using level 3 inputs: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Net Loan</w:t>
            </w:r>
          </w:p>
        </w:tc>
        <w:tc>
          <w:tcPr>
            <w:tcW w:w="1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Loans Held</w:t>
            </w:r>
          </w:p>
        </w:tc>
      </w:tr>
      <w:tr>
        <w:trPr>
          <w:trHeight w:val="237"/>
        </w:trPr>
        <w:tc>
          <w:tcPr>
            <w:tcW w:w="20" w:type="dxa"/>
            <w:vAlign w:val="bottom"/>
          </w:tcPr>
          <w:p>
            <w:pPr>
              <w:spacing w:after="0"/>
              <w:rPr>
                <w:sz w:val="20"/>
                <w:szCs w:val="20"/>
                <w:color w:val="auto"/>
              </w:rPr>
            </w:pPr>
          </w:p>
        </w:tc>
        <w:tc>
          <w:tcPr>
            <w:tcW w:w="666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Arial" w:cs="Arial" w:eastAsia="Arial" w:hAnsi="Arial"/>
                <w:sz w:val="18"/>
                <w:szCs w:val="18"/>
                <w:color w:val="auto"/>
              </w:rPr>
              <w:t>Commitments</w:t>
            </w:r>
          </w:p>
        </w:tc>
        <w:tc>
          <w:tcPr>
            <w:tcW w:w="100" w:type="dxa"/>
            <w:vAlign w:val="bottom"/>
          </w:tcPr>
          <w:p>
            <w:pPr>
              <w:spacing w:after="0"/>
              <w:rPr>
                <w:sz w:val="20"/>
                <w:szCs w:val="20"/>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for Sale</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2017</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1,996,589</w:t>
            </w: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133,414,188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Originations</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w w:val="93"/>
              </w:rPr>
              <w:t>2,194,607,543</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(2,259,145,473)</w:t>
            </w: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Transfer to mortgage loans held for investment</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(10,827,797)</w:t>
            </w: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Total gains (losses):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160"/>
              <w:spacing w:after="0"/>
              <w:rPr>
                <w:sz w:val="20"/>
                <w:szCs w:val="20"/>
                <w:color w:val="auto"/>
              </w:rPr>
            </w:pPr>
            <w:r>
              <w:rPr>
                <w:rFonts w:ascii="Arial" w:cs="Arial" w:eastAsia="Arial" w:hAnsi="Arial"/>
                <w:sz w:val="18"/>
                <w:szCs w:val="18"/>
                <w:color w:val="auto"/>
              </w:rPr>
              <w:t>Included in earnings (1)</w:t>
            </w:r>
          </w:p>
        </w:tc>
        <w:tc>
          <w:tcPr>
            <w:tcW w:w="1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(404,773)</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78,162,392</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2018</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1,591,816</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136,210,853</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__________________________________</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As a component of Mortgage fee income on the condensed consolidated statements of earnings</w:t>
      </w:r>
    </w:p>
    <w:p>
      <w:pPr>
        <w:spacing w:after="0" w:line="2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tables summarize Level 1, 2 and 3 financial assets and financial liabilities measured at fair value on a nonrecurring basis by their classification in the condensed consolidated balance sheet at December 31, 2018.</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87"/>
              </w:rPr>
              <w:t>Quoted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Prices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30"/>
              <w:spacing w:after="0"/>
              <w:rPr>
                <w:sz w:val="20"/>
                <w:szCs w:val="20"/>
                <w:color w:val="auto"/>
              </w:rPr>
            </w:pPr>
            <w:r>
              <w:rPr>
                <w:rFonts w:ascii="Arial" w:cs="Arial" w:eastAsia="Arial" w:hAnsi="Arial"/>
                <w:sz w:val="18"/>
                <w:szCs w:val="18"/>
                <w:color w:val="auto"/>
                <w:w w:val="96"/>
              </w:rPr>
              <w:t>in Active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3"/>
              </w:rPr>
              <w:t>Markets for</w:t>
            </w: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6"/>
              </w:rPr>
              <w:t>Significant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96"/>
              </w:rPr>
              <w:t>Significant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95"/>
              </w:rPr>
              <w:t>Identical</w:t>
            </w:r>
          </w:p>
        </w:tc>
        <w:tc>
          <w:tcPr>
            <w:tcW w:w="16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Observable</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Unobservable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88"/>
              </w:rPr>
              <w:t>Assets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Arial" w:cs="Arial" w:eastAsia="Arial" w:hAnsi="Arial"/>
                <w:sz w:val="18"/>
                <w:szCs w:val="18"/>
                <w:color w:val="auto"/>
                <w:w w:val="89"/>
              </w:rPr>
              <w:t>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0"/>
              <w:spacing w:after="0"/>
              <w:rPr>
                <w:sz w:val="20"/>
                <w:szCs w:val="20"/>
                <w:color w:val="auto"/>
              </w:rPr>
            </w:pPr>
            <w:r>
              <w:rPr>
                <w:rFonts w:ascii="Arial" w:cs="Arial" w:eastAsia="Arial" w:hAnsi="Arial"/>
                <w:sz w:val="18"/>
                <w:szCs w:val="18"/>
                <w:color w:val="auto"/>
                <w:w w:val="89"/>
              </w:rPr>
              <w:t>Inputs</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4"/>
              </w:rPr>
              <w:t>(Level 1)</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4"/>
              </w:rPr>
              <w:t>(Level 2)</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7"/>
              </w:rPr>
              <w:t>(Level 3)</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00" w:type="dxa"/>
            <w:vAlign w:val="bottom"/>
            <w:gridSpan w:val="2"/>
          </w:tcPr>
          <w:p>
            <w:pPr>
              <w:ind w:left="1140"/>
              <w:spacing w:after="0" w:line="201" w:lineRule="exact"/>
              <w:rPr>
                <w:sz w:val="20"/>
                <w:szCs w:val="20"/>
                <w:color w:val="auto"/>
              </w:rPr>
            </w:pPr>
            <w:r>
              <w:rPr>
                <w:rFonts w:ascii="Arial" w:cs="Arial" w:eastAsia="Arial" w:hAnsi="Arial"/>
                <w:sz w:val="18"/>
                <w:szCs w:val="18"/>
                <w:color w:val="auto"/>
              </w:rPr>
              <w:t>Assets accounted for at fair value on a</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gridSpan w:val="2"/>
          </w:tcPr>
          <w:p>
            <w:pPr>
              <w:ind w:left="1140"/>
              <w:spacing w:after="0"/>
              <w:rPr>
                <w:sz w:val="20"/>
                <w:szCs w:val="20"/>
                <w:color w:val="auto"/>
              </w:rPr>
            </w:pPr>
            <w:r>
              <w:rPr>
                <w:rFonts w:ascii="Arial" w:cs="Arial" w:eastAsia="Arial" w:hAnsi="Arial"/>
                <w:sz w:val="18"/>
                <w:szCs w:val="18"/>
                <w:color w:val="auto"/>
              </w:rPr>
              <w:t>nonrecurring basis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Impaired mortgage loans held for investment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1,253,302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1,253,302</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Impaired real estate held for investment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1,611,384</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1,611,384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7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w w:val="93"/>
              </w:rPr>
              <w:t>Total assets accounted for at fair value on a nonrecurring basis</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2,864,686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2,864,686</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00" w:type="dxa"/>
            <w:vAlign w:val="bottom"/>
            <w:gridSpan w:val="2"/>
            <w:vMerge w:val="restart"/>
          </w:tcPr>
          <w:p>
            <w:pPr>
              <w:jc w:val="right"/>
              <w:ind w:right="30"/>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6"/>
        </w:trPr>
        <w:tc>
          <w:tcPr>
            <w:tcW w:w="59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
        </w:trPr>
        <w:tc>
          <w:tcPr>
            <w:tcW w:w="1160" w:type="dxa"/>
            <w:vAlign w:val="bottom"/>
            <w:tcBorders>
              <w:bottom w:val="single" w:sz="8" w:color="auto"/>
            </w:tcBorders>
          </w:tcPr>
          <w:p>
            <w:pPr>
              <w:spacing w:after="0"/>
              <w:rPr>
                <w:sz w:val="5"/>
                <w:szCs w:val="5"/>
                <w:color w:val="auto"/>
              </w:rPr>
            </w:pPr>
          </w:p>
        </w:tc>
        <w:tc>
          <w:tcPr>
            <w:tcW w:w="47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3" w:name="page34"/>
    <w:bookmarkEnd w:id="33"/>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76"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 Carried at Other Than Fair Value</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ASC 825, Financial Instruments, requires disclosure of fair value information about financial instruments, whether or not recognized in the balance sheet, for which it is practicable to estimate that value.</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uses its best judgment in estimating the fair value of the Company’s financial instruments; however, there are inherent limitations in any estimation technique. Therefore, for substantially all financial instruments, the fair value estimates presented herein are not necessarily indicative of the amounts the Company could have realized in a sales transaction at March 31, 2019 and December 31, 2018.</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as of March 31, 2019:</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Carrying</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Estimated 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Value</w:t>
            </w:r>
          </w:p>
        </w:tc>
        <w:tc>
          <w:tcPr>
            <w:tcW w:w="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Level 3</w:t>
            </w:r>
          </w:p>
        </w:tc>
        <w:tc>
          <w:tcPr>
            <w:tcW w:w="60" w:type="dxa"/>
            <w:vAlign w:val="bottom"/>
          </w:tcPr>
          <w:p>
            <w:pPr>
              <w:spacing w:after="0"/>
              <w:rPr>
                <w:sz w:val="20"/>
                <w:szCs w:val="20"/>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176"/>
        </w:trPr>
        <w:tc>
          <w:tcPr>
            <w:tcW w:w="3200" w:type="dxa"/>
            <w:vAlign w:val="bottom"/>
            <w:gridSpan w:val="4"/>
          </w:tcPr>
          <w:p>
            <w:pPr>
              <w:spacing w:after="0" w:line="176" w:lineRule="exact"/>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Fixed maturity securities held to maturity</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$ 231,378,413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235,280,653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4,777,720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$ 240,058,373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Mortgage loans held for investment:</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87,260,405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91,648,513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91,648,513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74,987,143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74,987,143</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74,987,143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Commercial</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34,096,808</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34,884,705</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34,884,705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w w:val="99"/>
              </w:rPr>
              <w:t>Mortgage loans held for investment, net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$ 196,344,356</w:t>
            </w:r>
          </w:p>
        </w:tc>
        <w:tc>
          <w:tcPr>
            <w:tcW w:w="100" w:type="dxa"/>
            <w:vAlign w:val="bottom"/>
          </w:tcPr>
          <w:p>
            <w:pPr>
              <w:spacing w:after="0"/>
              <w:rPr>
                <w:sz w:val="18"/>
                <w:szCs w:val="18"/>
                <w:color w:val="auto"/>
              </w:rPr>
            </w:pPr>
          </w:p>
        </w:tc>
        <w:tc>
          <w:tcPr>
            <w:tcW w:w="80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201,520,361</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5"/>
              </w:rPr>
              <w:t>$ 201,520,361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Policy loans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6,354,430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6,354,430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6,354,430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Insurance assignments, net (1)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37,560,276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37,560,276</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37,560,276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assets (2)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1,262,819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1,279,342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1,279,342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Restricted assets (3)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1,964,168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1,969,979</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1,969,979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3"/>
              </w:rPr>
              <w:t>Cemetery perpetual care trust investments</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260" w:type="dxa"/>
            <w:vAlign w:val="bottom"/>
            <w:shd w:val="clear" w:color="auto" w:fill="CCEEFF"/>
          </w:tcPr>
          <w:p>
            <w:pPr>
              <w:spacing w:after="0"/>
              <w:rPr>
                <w:sz w:val="20"/>
                <w:szCs w:val="20"/>
                <w:color w:val="auto"/>
              </w:rPr>
            </w:pPr>
          </w:p>
        </w:tc>
        <w:tc>
          <w:tcPr>
            <w:tcW w:w="24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999,907</w:t>
            </w: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1,010,578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1,010,578</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Mortgage servicing rights, net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19,049,013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26,133,155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26,133,155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8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and other loans payable</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$(175,090,614)</w:t>
            </w:r>
          </w:p>
        </w:tc>
        <w:tc>
          <w:tcPr>
            <w:tcW w:w="800" w:type="dxa"/>
            <w:vAlign w:val="bottom"/>
            <w:gridSpan w:val="2"/>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(175,090,614)</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$(175,090,614)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tcPr>
          <w:p>
            <w:pPr>
              <w:spacing w:after="0"/>
              <w:rPr>
                <w:sz w:val="20"/>
                <w:szCs w:val="20"/>
                <w:color w:val="auto"/>
              </w:rPr>
            </w:pPr>
            <w:r>
              <w:rPr>
                <w:rFonts w:ascii="Arial" w:cs="Arial" w:eastAsia="Arial" w:hAnsi="Arial"/>
                <w:sz w:val="18"/>
                <w:szCs w:val="18"/>
                <w:color w:val="auto"/>
              </w:rPr>
              <w:t>Policyholder account balances (4)</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(46,019,974)</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(36,999,896)</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(36,999,896)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Future policy benefits - annuities (4)</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(97,583,996)</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(97,207,710)</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(97,207,710)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ind w:left="1140" w:right="3820" w:firstLine="9"/>
        <w:spacing w:after="0" w:line="250" w:lineRule="auto"/>
        <w:tabs>
          <w:tab w:leader="none" w:pos="1395"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Included in other investments and policy loans on the condensed consolidated balance sheet.</w:t>
      </w:r>
    </w:p>
    <w:p>
      <w:pPr>
        <w:ind w:left="1400" w:hanging="251"/>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Fixed maturity securities held to maturity</w:t>
      </w:r>
    </w:p>
    <w:p>
      <w:pPr>
        <w:spacing w:after="0" w:line="9" w:lineRule="exact"/>
        <w:rPr>
          <w:rFonts w:ascii="Arial" w:cs="Arial" w:eastAsia="Arial" w:hAnsi="Arial"/>
          <w:sz w:val="18"/>
          <w:szCs w:val="18"/>
          <w:color w:val="auto"/>
        </w:rPr>
      </w:pPr>
    </w:p>
    <w:p>
      <w:pPr>
        <w:ind w:left="1400" w:hanging="251"/>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Mortgage loans held for investment</w:t>
      </w:r>
    </w:p>
    <w:p>
      <w:pPr>
        <w:spacing w:after="0" w:line="9" w:lineRule="exact"/>
        <w:rPr>
          <w:rFonts w:ascii="Arial" w:cs="Arial" w:eastAsia="Arial" w:hAnsi="Arial"/>
          <w:sz w:val="18"/>
          <w:szCs w:val="18"/>
          <w:color w:val="auto"/>
        </w:rPr>
      </w:pPr>
    </w:p>
    <w:p>
      <w:pPr>
        <w:ind w:left="1400" w:hanging="251"/>
        <w:spacing w:after="0"/>
        <w:tabs>
          <w:tab w:leader="none" w:pos="14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Included in future policy benefits and unpaid claims on the condensed consolidated balance sheet.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76" w:lineRule="exact"/>
        <w:rPr>
          <w:sz w:val="20"/>
          <w:szCs w:val="20"/>
          <w:color w:val="auto"/>
        </w:rPr>
      </w:pPr>
    </w:p>
    <w:p>
      <w:pPr>
        <w:ind w:left="320" w:hanging="312"/>
        <w:spacing w:after="0"/>
        <w:tabs>
          <w:tab w:leader="none" w:pos="32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carrying values and estimated fair values for such financial instruments, and their corresponding placement in the fair value hierarchy, are summarized as follows as of December 31, 2018:</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Carrying</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Total Estimate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Value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2"/>
              </w:rPr>
              <w:t>Level 1</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130"/>
              <w:spacing w:after="0"/>
              <w:rPr>
                <w:sz w:val="20"/>
                <w:szCs w:val="20"/>
                <w:color w:val="auto"/>
              </w:rPr>
            </w:pPr>
            <w:r>
              <w:rPr>
                <w:rFonts w:ascii="Arial" w:cs="Arial" w:eastAsia="Arial" w:hAnsi="Arial"/>
                <w:sz w:val="18"/>
                <w:szCs w:val="18"/>
                <w:color w:val="auto"/>
              </w:rPr>
              <w:t>Level 2</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Level 3</w:t>
            </w:r>
          </w:p>
        </w:tc>
        <w:tc>
          <w:tcPr>
            <w:tcW w:w="6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76"/>
        </w:trPr>
        <w:tc>
          <w:tcPr>
            <w:tcW w:w="3360" w:type="dxa"/>
            <w:vAlign w:val="bottom"/>
            <w:gridSpan w:val="4"/>
          </w:tcPr>
          <w:p>
            <w:pPr>
              <w:spacing w:after="0" w:line="176" w:lineRule="exact"/>
              <w:rPr>
                <w:sz w:val="20"/>
                <w:szCs w:val="20"/>
                <w:color w:val="auto"/>
              </w:rPr>
            </w:pPr>
            <w:r>
              <w:rPr>
                <w:rFonts w:ascii="Arial" w:cs="Arial" w:eastAsia="Arial" w:hAnsi="Arial"/>
                <w:sz w:val="18"/>
                <w:szCs w:val="18"/>
                <w:color w:val="auto"/>
              </w:rPr>
              <w:t>Assets</w:t>
            </w:r>
          </w:p>
        </w:tc>
        <w:tc>
          <w:tcPr>
            <w:tcW w:w="8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maturity securities held to maturity</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$ 232,078,723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229,668,844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5,082,014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$ 234,750,858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Mortgage loans held for investment: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Residential</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87,947,566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92,503,553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92,503,553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70,886,702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70,886,702</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70,886,702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Commercial</w:t>
            </w:r>
          </w:p>
        </w:tc>
        <w:tc>
          <w:tcPr>
            <w:tcW w:w="8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27,630,801</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28,359,205</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28,359,205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Mortgage loans held for investment, net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97"/>
              </w:rPr>
              <w:t>$ 186,465,069</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w w:val="93"/>
              </w:rPr>
              <w:t>191,749,460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5"/>
              </w:rPr>
              <w:t>$ 191,749,460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Policy loans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6,424,325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6,424,325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6,424,325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Insurance assignments, net (1)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34,146,868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34,146,868</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34,146,868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Restricted assets (2)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1,258,397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1,271,687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1,271,687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Restricted assets (3)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1,799,268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1,810,185</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1,810,185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Cemetery perpetual care trust investments (2)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990,390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983,410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983,410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Mortgage servicing rights, net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20,016,822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28,885,316</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28,885,316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340" w:type="dxa"/>
            <w:vAlign w:val="bottom"/>
            <w:gridSpan w:val="3"/>
          </w:tcPr>
          <w:p>
            <w:pPr>
              <w:spacing w:after="0" w:line="176" w:lineRule="exact"/>
              <w:rPr>
                <w:sz w:val="20"/>
                <w:szCs w:val="20"/>
                <w:color w:val="auto"/>
              </w:rPr>
            </w:pPr>
            <w:r>
              <w:rPr>
                <w:rFonts w:ascii="Arial" w:cs="Arial" w:eastAsia="Arial" w:hAnsi="Arial"/>
                <w:sz w:val="18"/>
                <w:szCs w:val="18"/>
                <w:color w:val="auto"/>
              </w:rPr>
              <w:t>Liabilities</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and other loans payable</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6"/>
              </w:rPr>
              <w:t>$(187,521,188)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(187,521,188)</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$(187,521,188)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tcPr>
          <w:p>
            <w:pPr>
              <w:spacing w:after="0"/>
              <w:rPr>
                <w:sz w:val="20"/>
                <w:szCs w:val="20"/>
                <w:color w:val="auto"/>
              </w:rPr>
            </w:pPr>
            <w:r>
              <w:rPr>
                <w:rFonts w:ascii="Arial" w:cs="Arial" w:eastAsia="Arial" w:hAnsi="Arial"/>
                <w:sz w:val="18"/>
                <w:szCs w:val="18"/>
                <w:color w:val="auto"/>
              </w:rPr>
              <w:t>Policyholder account balances (4)</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(46,479,853)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(37,348,289)</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(37,348,289)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Future policy benefits - annuities (4)</w:t>
            </w: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(98,137,615)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(97,641,146)</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(97,641,146)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ind w:left="1140" w:right="3820" w:firstLine="9"/>
        <w:spacing w:after="0" w:line="250" w:lineRule="auto"/>
        <w:tabs>
          <w:tab w:leader="none" w:pos="13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Included in other investments and policy loans on the condensed consolidated balance sheet.</w:t>
      </w:r>
    </w:p>
    <w:p>
      <w:pPr>
        <w:ind w:left="1400" w:hanging="251"/>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Fixed maturity securities held to maturity</w:t>
      </w:r>
    </w:p>
    <w:p>
      <w:pPr>
        <w:spacing w:after="0" w:line="9" w:lineRule="exact"/>
        <w:rPr>
          <w:rFonts w:ascii="Arial" w:cs="Arial" w:eastAsia="Arial" w:hAnsi="Arial"/>
          <w:sz w:val="18"/>
          <w:szCs w:val="18"/>
          <w:color w:val="auto"/>
        </w:rPr>
      </w:pPr>
    </w:p>
    <w:p>
      <w:pPr>
        <w:ind w:left="1400" w:hanging="251"/>
        <w:spacing w:after="0"/>
        <w:tabs>
          <w:tab w:leader="none" w:pos="1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Participation in mortgage loans held for investment (commercial)</w:t>
      </w:r>
    </w:p>
    <w:p>
      <w:pPr>
        <w:spacing w:after="0" w:line="9" w:lineRule="exact"/>
        <w:rPr>
          <w:rFonts w:ascii="Arial" w:cs="Arial" w:eastAsia="Arial" w:hAnsi="Arial"/>
          <w:sz w:val="18"/>
          <w:szCs w:val="18"/>
          <w:color w:val="auto"/>
        </w:rPr>
      </w:pPr>
    </w:p>
    <w:p>
      <w:pPr>
        <w:ind w:left="1140" w:right="4020" w:firstLine="9"/>
        <w:spacing w:after="0" w:line="261" w:lineRule="auto"/>
        <w:tabs>
          <w:tab w:leader="none" w:pos="13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Included in future policy benefits and unpaid claims on the condensed consolidated balance sheet.</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methods, assumptions and significant valuation techniques and inputs used to estimate the fair value of these financial instruments are summarized as follows:</w:t>
      </w:r>
    </w:p>
    <w:p>
      <w:pPr>
        <w:spacing w:after="0" w:line="22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u w:val="single" w:color="auto"/>
          <w:color w:val="auto"/>
        </w:rPr>
        <w:t>Fixed Maturity Securities Held to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values of fixed maturity securities are based on quoted market prices, when available. For fixed maturity</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not actively traded, fair values are estimated using values obtained from independent pricing services, or in the case of private placements, are estimated by discounting expected future cash flows using a current market value applicable to the coupon rate, credit and maturity of the investments.</w:t>
      </w:r>
    </w:p>
    <w:p>
      <w:pPr>
        <w:spacing w:after="0" w:line="20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u w:val="single" w:color="auto"/>
          <w:color w:val="auto"/>
        </w:rPr>
        <w:t>Mortgage Loans Held for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The estimated fair value of the Company’s mortgage loans held for investment is determined using various methods.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mortgage loans are grouped into three categories: Residential, Residential Construction and Commercial. When estimating the expected future cash flows, it is assumed that all loans will be held to maturity, and any loans that are non-performing are evaluated individually for impairment.</w:t>
      </w:r>
    </w:p>
    <w:p>
      <w:pPr>
        <w:spacing w:after="0" w:line="20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Residential – The estimated fair value is determined through a combination of discounted cash flows (estimating expected future cash flows of interest payments and discounting them using current interest rates from single family mortgages) and considering pricing of similar loans that were sold recently.</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Residential Construction – These loans are primarily short in maturity. Accordingly, the estimated fair value is determined to be the carrying value.</w:t>
      </w:r>
    </w:p>
    <w:p>
      <w:pPr>
        <w:spacing w:after="0" w:line="30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Commercial – The estimated fair value is determined by estimating expected future cash flows of interest payments and discounting them using current interest rates for commercial mortgages.</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u w:val="single" w:color="auto"/>
          <w:color w:val="auto"/>
        </w:rPr>
        <w:t>Policy Loans</w:t>
      </w:r>
      <w:r>
        <w:rPr>
          <w:rFonts w:ascii="Arial" w:cs="Arial" w:eastAsia="Arial" w:hAnsi="Arial"/>
          <w:sz w:val="18"/>
          <w:szCs w:val="18"/>
          <w:color w:val="auto"/>
        </w:rPr>
        <w:t>: The carrying amounts reported in the accompanying condensed consolidated balance sheet for these financial instruments approximate their</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values because they are fully collateralized by the cash surrender value of the underlying insurance policies.</w:t>
      </w:r>
    </w:p>
    <w:p>
      <w:pPr>
        <w:sectPr>
          <w:pgSz w:w="11900" w:h="16838" w:orient="portrait"/>
          <w:cols w:equalWidth="0" w:num="1">
            <w:col w:w="11420"/>
          </w:cols>
          <w:pgMar w:left="240" w:top="125" w:right="239"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5" w:name="page36"/>
    <w:bookmarkEnd w:id="35"/>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76"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Fair Value of Financial Instruments</w:t>
      </w:r>
      <w:r>
        <w:rPr>
          <w:rFonts w:ascii="Arial" w:cs="Arial" w:eastAsia="Arial" w:hAnsi="Arial"/>
          <w:sz w:val="18"/>
          <w:szCs w:val="18"/>
          <w:color w:val="auto"/>
        </w:rPr>
        <w:t xml:space="preserve"> (Continued)</w:t>
      </w:r>
    </w:p>
    <w:p>
      <w:pPr>
        <w:spacing w:after="0" w:line="2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u w:val="single" w:color="auto"/>
          <w:color w:val="auto"/>
        </w:rPr>
        <w:t>Insurance Assignments, Net</w:t>
      </w:r>
      <w:r>
        <w:rPr>
          <w:rFonts w:ascii="Arial" w:cs="Arial" w:eastAsia="Arial" w:hAnsi="Arial"/>
          <w:sz w:val="18"/>
          <w:szCs w:val="18"/>
          <w:color w:val="auto"/>
        </w:rPr>
        <w:t>: These investments are primarily short in maturity, accordingly, the carrying amounts reported in the accompanying condensed</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balance sheet for these financial instruments approximate their fair values.</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Bank and Other Loans Payable</w:t>
      </w:r>
      <w:r>
        <w:rPr>
          <w:rFonts w:ascii="Arial" w:cs="Arial" w:eastAsia="Arial" w:hAnsi="Arial"/>
          <w:sz w:val="18"/>
          <w:szCs w:val="18"/>
          <w:color w:val="auto"/>
        </w:rPr>
        <w:t>: The carrying amounts reported in the accompanying condensed consolidated balance sheet for these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their fair values due to their relatively short-term maturities and variable interest rates.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Policyholder Account Balances and Future Policy Benefits-Annuities</w:t>
      </w:r>
      <w:r>
        <w:rPr>
          <w:rFonts w:ascii="Arial" w:cs="Arial" w:eastAsia="Arial" w:hAnsi="Arial"/>
          <w:sz w:val="18"/>
          <w:szCs w:val="18"/>
          <w:color w:val="auto"/>
        </w:rPr>
        <w:t>: Future policy benefit reserves for interest-sensitive insurance products are computed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a retrospective deposit method and represent policy account balances before applicable surrender charges. Policy benefits and claims that are charged to expense include benefit claims incurred in the period in excess of related policy account balances. Interest crediting rates for interest-sensitive insurance products ranged from 1.5% to 6.5%. The fair values for these investment-type insurance contracts are estimated based on the present value of liability cash flows.</w:t>
      </w:r>
    </w:p>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fair values for the Company’s insurance contracts other than investment-type contracts are not required to be disclosed. However, the fair values of liabilities under all insurance contracts are taken into consideration in the Company’s overall management of interest rate risk, such that the Company’s exposure to changing interest rates is minimized through the matching of investment maturities with amounts due under insurance contracts.</w:t>
      </w:r>
    </w:p>
    <w:p>
      <w:pPr>
        <w:spacing w:after="0" w:line="220" w:lineRule="exact"/>
        <w:rPr>
          <w:sz w:val="20"/>
          <w:szCs w:val="20"/>
          <w:color w:val="auto"/>
        </w:rPr>
      </w:pPr>
    </w:p>
    <w:p>
      <w:pPr>
        <w:ind w:left="380" w:hanging="372"/>
        <w:spacing w:after="0"/>
        <w:tabs>
          <w:tab w:leader="none" w:pos="38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Allowance for Doubtful Accounts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records an allowance and recognizes an expense for potential losses from other investments and receivables in accordance with generally accepted accounting principles.</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Receivables are the result of cemetery and mortuary operations, mortgage loan operations and life insurance operations. The allowance is based upon the Company’s historical experience for collectively evaluated impairment. Other allowances are based upon receivables individually evaluated for impairment. Collectability of the cemetery and mortuary receivables is significantly influenced by current economic conditions. The critical issues that impact recovery of mortgage loan operations are interest rate risk, loan underwriting, new regulations and the overall economy</w:t>
      </w:r>
    </w:p>
    <w:p>
      <w:pPr>
        <w:spacing w:after="0" w:line="266" w:lineRule="exact"/>
        <w:rPr>
          <w:sz w:val="20"/>
          <w:szCs w:val="20"/>
          <w:color w:val="auto"/>
        </w:rPr>
      </w:pPr>
    </w:p>
    <w:p>
      <w:pPr>
        <w:ind w:left="420" w:hanging="412"/>
        <w:spacing w:after="0"/>
        <w:tabs>
          <w:tab w:leader="none" w:pos="42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Derivative Instruments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Banking Derivatives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 Commitments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exposed to price risk due to the potential impact of changes in interest rates on the values of loan commitments from the time a loan commitment is made to an applicant to the time the loan that would result from the exercise of that loan commitment is funded. Managing price risk is complicated by the fact that the ultimate percentage of loan commitments that will be exercised (i.e., the number of loans that will be funded) fluctuates. The probability that a loan will not be funded or the loan application is denied or withdrawn within the terms of the commitment is driven by a number of factors, particularly the change, if any, in mortgage rates following the issuance of the loan commitment.</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general, the probability of funding increases if mortgage rates rise and decreases if mortgage rates fall. This is due primarily to the relative attractiveness of current mortgage rates compared to the applicant’s committed rate. The probability that a loan will not be funded within the terms of the mortgage loan commitment also is influenced by the source of the applications (retail, broker or correspondent channels), proximity to rate lock expiration, purpose for the loan (purchase or refinance), product type and the application approval status. The Company has developed fallout estimates using historical data that take into account all of the variables, as well as renegotiations of rate and point commitments that tend to occur when mortgage rates fall. These fallout estimates are used to estimate the number of loans that the Company expects to be funded within the terms of the loan commitments and are updated periodically to reflect the most current data.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76" w:lineRule="exact"/>
        <w:rPr>
          <w:sz w:val="20"/>
          <w:szCs w:val="20"/>
          <w:color w:val="auto"/>
        </w:rPr>
      </w:pPr>
    </w:p>
    <w:p>
      <w:pPr>
        <w:ind w:left="420" w:hanging="412"/>
        <w:spacing w:after="0"/>
        <w:tabs>
          <w:tab w:leader="none" w:pos="42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Derivative Instruments</w:t>
      </w:r>
      <w:r>
        <w:rPr>
          <w:rFonts w:ascii="Arial" w:cs="Arial" w:eastAsia="Arial" w:hAnsi="Arial"/>
          <w:sz w:val="18"/>
          <w:szCs w:val="18"/>
          <w:color w:val="auto"/>
        </w:rPr>
        <w:t xml:space="preserve"> (Continued)</w:t>
      </w:r>
    </w:p>
    <w:p>
      <w:pPr>
        <w:spacing w:after="0" w:line="2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estimates the fair value of a loan commitment based on the change in estimated fair value of the underlying mortgage loan, quoted mortgage-backed securities (“MBS”) prices, estimates of the fair value of mortgage servicing rights, and an estimate of the probability that the mortgage loan will fund within the terms of the commitment. The change in fair value of the underlying mortgage loan is measured from the date the loan commitment is issued and is shown net of expenses. Following issuance, the value of a loan commitment can be either positive or negative depending upon the change in value of the underlying mortgage loans.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 Sale Commitments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forward commitments to economically hedge the price risk associated with its outstanding mortgage loan commitments. A forward commitment protects the Company from losses on sales of the loans arising from exercise of the loan commitments. Management expects these types of commitments will experience changes in fair value opposite to changes in fair value of the loan commitments, thereby reducing earnings volatility related to the recognition in earnings of changes in the values of the commitments.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changes in fair value of loan commitments and forward sale commitments are shown in current earnings as a component of mortgage fee income on the consolidated statements of earnings. Mortgage banking derivatives are shown in other assets and other liabilities and accrued expenses on the condensed consolidated balance sheets.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 and Put Options</w:t>
      </w:r>
    </w:p>
    <w:p>
      <w:pPr>
        <w:spacing w:after="0" w:line="2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uses a strategy of selling “out of the money” call options on its equity securities as a source of revenue. The options give the purchaser the right to buy from the Company specified equity securities at a set price up to a pre-determined date in the future. The Company uses the strategy of selling put options as a means of generating cash or purchasing equity securities at lower than current market prices. The Company receives an immediate payment of cash for the value of the option and establishes a liability for the fair value of the option. The liability for options is adjusted to fair value at each reporting date. In the event a call option is exercised, the Company sells the equity security at a favorable price enhanced by the value of the option that was sold. If the option expires unexercised, the Company realizes a gain from the sale of the option. In the event a put option is exercised, the Company acquires an equity security at the strike price of the option reduced by the value received from the sale of the put option. The equity security is then traded as a normal equity security in the Company’s portfolio. The net changes in the fair value of call and put options are shown in current earnings as a component of gains (losses) on investments and other assets. Call and put options are shown in other liabilities and accrued expenses on the condensed consolidated balance sheets.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notional amount and fair value of derivatives as of March 31, 2019 and December 31, 2018.</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color w:val="auto"/>
                <w:w w:val="91"/>
              </w:rPr>
              <w:t>Fair Values and Notional Values of Derivative Instruments</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tcBorders>
              <w:bottom w:val="single" w:sz="8" w:color="auto"/>
            </w:tcBorders>
            <w:gridSpan w:val="5"/>
          </w:tcPr>
          <w:p>
            <w:pPr>
              <w:ind w:left="1020"/>
              <w:spacing w:after="0"/>
              <w:rPr>
                <w:sz w:val="20"/>
                <w:szCs w:val="20"/>
                <w:color w:val="auto"/>
              </w:rPr>
            </w:pPr>
            <w:r>
              <w:rPr>
                <w:rFonts w:ascii="Arial" w:cs="Arial" w:eastAsia="Arial" w:hAnsi="Arial"/>
                <w:sz w:val="18"/>
                <w:szCs w:val="18"/>
                <w:color w:val="auto"/>
                <w:w w:val="94"/>
              </w:rPr>
              <w:t>March 31, 2019</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color w:val="auto"/>
              </w:rPr>
              <w:t>December 31, 2018</w:t>
            </w:r>
          </w:p>
        </w:tc>
        <w:tc>
          <w:tcPr>
            <w:tcW w:w="7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02"/>
        </w:trPr>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10"/>
              <w:spacing w:after="0" w:line="201" w:lineRule="exact"/>
              <w:rPr>
                <w:sz w:val="20"/>
                <w:szCs w:val="20"/>
                <w:color w:val="auto"/>
              </w:rPr>
            </w:pPr>
            <w:r>
              <w:rPr>
                <w:rFonts w:ascii="Arial" w:cs="Arial" w:eastAsia="Arial" w:hAnsi="Arial"/>
                <w:sz w:val="18"/>
                <w:szCs w:val="18"/>
                <w:color w:val="auto"/>
              </w:rPr>
              <w:t>Notional</w:t>
            </w:r>
          </w:p>
        </w:tc>
        <w:tc>
          <w:tcPr>
            <w:tcW w:w="200" w:type="dxa"/>
            <w:vAlign w:val="bottom"/>
          </w:tcPr>
          <w:p>
            <w:pPr>
              <w:spacing w:after="0"/>
              <w:rPr>
                <w:sz w:val="17"/>
                <w:szCs w:val="17"/>
                <w:color w:val="auto"/>
              </w:rPr>
            </w:pPr>
          </w:p>
        </w:tc>
        <w:tc>
          <w:tcPr>
            <w:tcW w:w="1000" w:type="dxa"/>
            <w:vAlign w:val="bottom"/>
            <w:gridSpan w:val="3"/>
          </w:tcPr>
          <w:p>
            <w:pPr>
              <w:jc w:val="center"/>
              <w:ind w:right="120"/>
              <w:spacing w:after="0" w:line="201" w:lineRule="exact"/>
              <w:rPr>
                <w:sz w:val="20"/>
                <w:szCs w:val="20"/>
                <w:color w:val="auto"/>
              </w:rPr>
            </w:pPr>
            <w:r>
              <w:rPr>
                <w:rFonts w:ascii="Arial" w:cs="Arial" w:eastAsia="Arial" w:hAnsi="Arial"/>
                <w:sz w:val="18"/>
                <w:szCs w:val="18"/>
                <w:color w:val="auto"/>
                <w:w w:val="88"/>
              </w:rPr>
              <w:t>Asset Fair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Liability</w:t>
            </w:r>
          </w:p>
        </w:tc>
        <w:tc>
          <w:tcPr>
            <w:tcW w:w="160" w:type="dxa"/>
            <w:vAlign w:val="bottom"/>
          </w:tcPr>
          <w:p>
            <w:pPr>
              <w:spacing w:after="0"/>
              <w:rPr>
                <w:sz w:val="17"/>
                <w:szCs w:val="17"/>
                <w:color w:val="auto"/>
              </w:rPr>
            </w:pPr>
          </w:p>
        </w:tc>
        <w:tc>
          <w:tcPr>
            <w:tcW w:w="920" w:type="dxa"/>
            <w:vAlign w:val="bottom"/>
          </w:tcPr>
          <w:p>
            <w:pPr>
              <w:jc w:val="right"/>
              <w:ind w:right="70"/>
              <w:spacing w:after="0" w:line="201" w:lineRule="exact"/>
              <w:rPr>
                <w:sz w:val="20"/>
                <w:szCs w:val="20"/>
                <w:color w:val="auto"/>
              </w:rPr>
            </w:pPr>
            <w:r>
              <w:rPr>
                <w:rFonts w:ascii="Arial" w:cs="Arial" w:eastAsia="Arial" w:hAnsi="Arial"/>
                <w:sz w:val="18"/>
                <w:szCs w:val="18"/>
                <w:color w:val="auto"/>
              </w:rPr>
              <w:t>Notional</w:t>
            </w:r>
          </w:p>
        </w:tc>
        <w:tc>
          <w:tcPr>
            <w:tcW w:w="160" w:type="dxa"/>
            <w:vAlign w:val="bottom"/>
          </w:tcPr>
          <w:p>
            <w:pPr>
              <w:spacing w:after="0"/>
              <w:rPr>
                <w:sz w:val="17"/>
                <w:szCs w:val="17"/>
                <w:color w:val="auto"/>
              </w:rPr>
            </w:pPr>
          </w:p>
        </w:tc>
        <w:tc>
          <w:tcPr>
            <w:tcW w:w="900" w:type="dxa"/>
            <w:vAlign w:val="bottom"/>
            <w:gridSpan w:val="2"/>
          </w:tcPr>
          <w:p>
            <w:pPr>
              <w:jc w:val="right"/>
              <w:ind w:right="10"/>
              <w:spacing w:after="0" w:line="201" w:lineRule="exact"/>
              <w:rPr>
                <w:sz w:val="20"/>
                <w:szCs w:val="20"/>
                <w:color w:val="auto"/>
              </w:rPr>
            </w:pPr>
            <w:r>
              <w:rPr>
                <w:rFonts w:ascii="Arial" w:cs="Arial" w:eastAsia="Arial" w:hAnsi="Arial"/>
                <w:sz w:val="18"/>
                <w:szCs w:val="18"/>
                <w:color w:val="auto"/>
                <w:w w:val="96"/>
              </w:rPr>
              <w:t>Asset Fair</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ind w:right="50"/>
              <w:spacing w:after="0" w:line="201" w:lineRule="exact"/>
              <w:rPr>
                <w:sz w:val="20"/>
                <w:szCs w:val="20"/>
                <w:color w:val="auto"/>
              </w:rPr>
            </w:pPr>
            <w:r>
              <w:rPr>
                <w:rFonts w:ascii="Arial" w:cs="Arial" w:eastAsia="Arial" w:hAnsi="Arial"/>
                <w:sz w:val="18"/>
                <w:szCs w:val="18"/>
                <w:color w:val="auto"/>
              </w:rPr>
              <w:t>Liability</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7"/>
        </w:trPr>
        <w:tc>
          <w:tcPr>
            <w:tcW w:w="1160" w:type="dxa"/>
            <w:vAlign w:val="bottom"/>
          </w:tcPr>
          <w:p>
            <w:pPr>
              <w:spacing w:after="0"/>
              <w:rPr>
                <w:sz w:val="20"/>
                <w:szCs w:val="20"/>
                <w:color w:val="auto"/>
              </w:rPr>
            </w:pPr>
          </w:p>
        </w:tc>
        <w:tc>
          <w:tcPr>
            <w:tcW w:w="2560" w:type="dxa"/>
            <w:vAlign w:val="bottom"/>
            <w:gridSpan w:val="2"/>
          </w:tcPr>
          <w:p>
            <w:pPr>
              <w:ind w:left="840"/>
              <w:spacing w:after="0"/>
              <w:rPr>
                <w:sz w:val="20"/>
                <w:szCs w:val="20"/>
                <w:color w:val="auto"/>
              </w:rPr>
            </w:pPr>
            <w:r>
              <w:rPr>
                <w:rFonts w:ascii="Arial" w:cs="Arial" w:eastAsia="Arial" w:hAnsi="Arial"/>
                <w:sz w:val="18"/>
                <w:szCs w:val="18"/>
                <w:color w:val="auto"/>
                <w:w w:val="89"/>
              </w:rPr>
              <w:t>Balance Sheet Location</w:t>
            </w:r>
          </w:p>
        </w:tc>
        <w:tc>
          <w:tcPr>
            <w:tcW w:w="100" w:type="dxa"/>
            <w:vAlign w:val="bottom"/>
          </w:tcPr>
          <w:p>
            <w:pPr>
              <w:spacing w:after="0"/>
              <w:rPr>
                <w:sz w:val="20"/>
                <w:szCs w:val="20"/>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Amount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Fair Value</w:t>
            </w:r>
          </w:p>
        </w:tc>
        <w:tc>
          <w:tcPr>
            <w:tcW w:w="160" w:type="dxa"/>
            <w:vAlign w:val="bottom"/>
          </w:tcPr>
          <w:p>
            <w:pPr>
              <w:spacing w:after="0"/>
              <w:rPr>
                <w:sz w:val="20"/>
                <w:szCs w:val="20"/>
                <w:color w:val="auto"/>
              </w:rPr>
            </w:pP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Amount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rPr>
              <w:t>Value</w:t>
            </w:r>
          </w:p>
        </w:tc>
        <w:tc>
          <w:tcPr>
            <w:tcW w:w="1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97"/>
              </w:rPr>
              <w:t>Fair Value</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2"/>
        </w:trPr>
        <w:tc>
          <w:tcPr>
            <w:tcW w:w="1160" w:type="dxa"/>
            <w:vAlign w:val="bottom"/>
          </w:tcPr>
          <w:p>
            <w:pPr>
              <w:spacing w:after="0"/>
              <w:rPr>
                <w:sz w:val="17"/>
                <w:szCs w:val="17"/>
                <w:color w:val="auto"/>
              </w:rPr>
            </w:pPr>
          </w:p>
        </w:tc>
        <w:tc>
          <w:tcPr>
            <w:tcW w:w="1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Derivatives not</w:t>
            </w: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2360" w:type="dxa"/>
            <w:vAlign w:val="bottom"/>
            <w:gridSpan w:val="2"/>
          </w:tcPr>
          <w:p>
            <w:pPr>
              <w:ind w:left="1140"/>
              <w:spacing w:after="0"/>
              <w:rPr>
                <w:sz w:val="20"/>
                <w:szCs w:val="20"/>
                <w:color w:val="auto"/>
              </w:rPr>
            </w:pPr>
            <w:r>
              <w:rPr>
                <w:rFonts w:ascii="Arial" w:cs="Arial" w:eastAsia="Arial" w:hAnsi="Arial"/>
                <w:sz w:val="18"/>
                <w:szCs w:val="18"/>
                <w:color w:val="auto"/>
              </w:rPr>
              <w:t>designated as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360" w:type="dxa"/>
            <w:vAlign w:val="bottom"/>
            <w:gridSpan w:val="2"/>
          </w:tcPr>
          <w:p>
            <w:pPr>
              <w:ind w:left="1140"/>
              <w:spacing w:after="0"/>
              <w:rPr>
                <w:sz w:val="20"/>
                <w:szCs w:val="20"/>
                <w:color w:val="auto"/>
              </w:rPr>
            </w:pPr>
            <w:r>
              <w:rPr>
                <w:rFonts w:ascii="Arial" w:cs="Arial" w:eastAsia="Arial" w:hAnsi="Arial"/>
                <w:sz w:val="18"/>
                <w:szCs w:val="18"/>
                <w:color w:val="auto"/>
              </w:rPr>
              <w:t>hedging</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2360" w:type="dxa"/>
            <w:vAlign w:val="bottom"/>
            <w:gridSpan w:val="2"/>
          </w:tcPr>
          <w:p>
            <w:pPr>
              <w:ind w:left="1140"/>
              <w:spacing w:after="0"/>
              <w:rPr>
                <w:sz w:val="20"/>
                <w:szCs w:val="20"/>
                <w:color w:val="auto"/>
              </w:rPr>
            </w:pPr>
            <w:r>
              <w:rPr>
                <w:rFonts w:ascii="Arial" w:cs="Arial" w:eastAsia="Arial" w:hAnsi="Arial"/>
                <w:sz w:val="18"/>
                <w:szCs w:val="18"/>
                <w:color w:val="auto"/>
              </w:rPr>
              <w:t>instruments: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02"/>
        </w:trPr>
        <w:tc>
          <w:tcPr>
            <w:tcW w:w="1160" w:type="dxa"/>
            <w:vAlign w:val="bottom"/>
          </w:tcPr>
          <w:p>
            <w:pPr>
              <w:spacing w:after="0"/>
              <w:rPr>
                <w:sz w:val="17"/>
                <w:szCs w:val="17"/>
                <w:color w:val="auto"/>
              </w:rPr>
            </w:pPr>
          </w:p>
        </w:tc>
        <w:tc>
          <w:tcPr>
            <w:tcW w:w="1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Loan</w:t>
            </w:r>
          </w:p>
        </w:tc>
        <w:tc>
          <w:tcPr>
            <w:tcW w:w="136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6"/>
              </w:rPr>
              <w:t>Other assets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commitments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Other liabilities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$ 179,148,085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2,849,706</w:t>
            </w: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325,363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$93,758,218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1,969,967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378,151</w:t>
            </w:r>
          </w:p>
        </w:tc>
        <w:tc>
          <w:tcPr>
            <w:tcW w:w="80" w:type="dxa"/>
            <w:vAlign w:val="bottom"/>
            <w:shd w:val="clear" w:color="auto" w:fill="CCEEFF"/>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Call options</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Other liabilities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1,881,800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50,305</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805,500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4,629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Put options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Other liabilities</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3,218,200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89,733</w:t>
            </w:r>
          </w:p>
        </w:tc>
        <w:tc>
          <w:tcPr>
            <w:tcW w:w="1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4,861,700</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296,053</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w w:val="95"/>
              </w:rPr>
              <w:t>$ 184,248,085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2,849,706</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465,401</w:t>
            </w:r>
          </w:p>
        </w:tc>
        <w:tc>
          <w:tcPr>
            <w:tcW w:w="10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99,425,418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1,969,967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678,833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
        </w:trPr>
        <w:tc>
          <w:tcPr>
            <w:tcW w:w="1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03"/>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73"/>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37" w:name="page38"/>
    <w:bookmarkEnd w:id="37"/>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35" w:lineRule="exact"/>
        <w:rPr>
          <w:sz w:val="20"/>
          <w:szCs w:val="20"/>
          <w:color w:val="auto"/>
        </w:rPr>
      </w:pPr>
    </w:p>
    <w:p>
      <w:pPr>
        <w:ind w:left="740" w:hanging="732"/>
        <w:spacing w:after="0"/>
        <w:tabs>
          <w:tab w:leader="none" w:pos="7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Derivative Instruments</w:t>
      </w:r>
      <w:r>
        <w:rPr>
          <w:rFonts w:ascii="Arial" w:cs="Arial" w:eastAsia="Arial" w:hAnsi="Arial"/>
          <w:sz w:val="18"/>
          <w:szCs w:val="18"/>
          <w:color w:val="auto"/>
        </w:rPr>
        <w:t xml:space="preserve"> (Continued)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gains and losses on derivatives for the periods presented.</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8"/>
                <w:szCs w:val="18"/>
                <w:color w:val="auto"/>
                <w:w w:val="92"/>
              </w:rPr>
              <w:t>Net Amount Gain (Loss)</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20" w:type="dxa"/>
            <w:vAlign w:val="bottom"/>
            <w:gridSpan w:val="4"/>
          </w:tcPr>
          <w:p>
            <w:pPr>
              <w:jc w:val="center"/>
              <w:spacing w:after="0" w:line="201" w:lineRule="exact"/>
              <w:rPr>
                <w:sz w:val="20"/>
                <w:szCs w:val="20"/>
                <w:color w:val="auto"/>
              </w:rPr>
            </w:pPr>
            <w:r>
              <w:rPr>
                <w:rFonts w:ascii="Arial" w:cs="Arial" w:eastAsia="Arial" w:hAnsi="Arial"/>
                <w:sz w:val="18"/>
                <w:szCs w:val="18"/>
                <w:color w:val="auto"/>
                <w:w w:val="90"/>
              </w:rPr>
              <w:t>Three Months Ended</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color w:val="auto"/>
                <w:w w:val="93"/>
              </w:rPr>
              <w:t>March 31</w:t>
            </w:r>
          </w:p>
        </w:tc>
        <w:tc>
          <w:tcPr>
            <w:tcW w:w="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480" w:type="dxa"/>
            <w:vAlign w:val="bottom"/>
            <w:gridSpan w:val="2"/>
          </w:tcPr>
          <w:p>
            <w:pPr>
              <w:spacing w:after="0"/>
              <w:rPr>
                <w:sz w:val="20"/>
                <w:szCs w:val="20"/>
                <w:color w:val="auto"/>
              </w:rPr>
            </w:pPr>
            <w:r>
              <w:rPr>
                <w:rFonts w:ascii="Arial" w:cs="Arial" w:eastAsia="Arial" w:hAnsi="Arial"/>
                <w:sz w:val="18"/>
                <w:szCs w:val="18"/>
                <w:color w:val="auto"/>
              </w:rPr>
              <w:t>Derivative</w:t>
            </w:r>
          </w:p>
        </w:tc>
        <w:tc>
          <w:tcPr>
            <w:tcW w:w="4480" w:type="dxa"/>
            <w:vAlign w:val="bottom"/>
          </w:tcPr>
          <w:p>
            <w:pPr>
              <w:ind w:left="1000"/>
              <w:spacing w:after="0"/>
              <w:rPr>
                <w:sz w:val="20"/>
                <w:szCs w:val="20"/>
                <w:color w:val="auto"/>
              </w:rPr>
            </w:pPr>
            <w:r>
              <w:rPr>
                <w:rFonts w:ascii="Arial" w:cs="Arial" w:eastAsia="Arial" w:hAnsi="Arial"/>
                <w:sz w:val="18"/>
                <w:szCs w:val="18"/>
                <w:color w:val="auto"/>
              </w:rPr>
              <w:t>Classification</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190"/>
              <w:spacing w:after="0"/>
              <w:rPr>
                <w:sz w:val="20"/>
                <w:szCs w:val="20"/>
                <w:color w:val="auto"/>
              </w:rPr>
            </w:pPr>
            <w:r>
              <w:rPr>
                <w:rFonts w:ascii="Arial" w:cs="Arial" w:eastAsia="Arial" w:hAnsi="Arial"/>
                <w:sz w:val="18"/>
                <w:szCs w:val="18"/>
                <w:color w:val="auto"/>
                <w:w w:val="84"/>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commitments</w:t>
            </w:r>
          </w:p>
        </w:tc>
        <w:tc>
          <w:tcPr>
            <w:tcW w:w="4480" w:type="dxa"/>
            <w:vAlign w:val="bottom"/>
            <w:tcBorders>
              <w:top w:val="single" w:sz="8" w:color="auto"/>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Mortgage fee income</w:t>
            </w:r>
          </w:p>
        </w:tc>
        <w:tc>
          <w:tcPr>
            <w:tcW w:w="1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932,527</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440,958</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Call and put options</w:t>
            </w:r>
          </w:p>
        </w:tc>
        <w:tc>
          <w:tcPr>
            <w:tcW w:w="44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Gains on investments and other assets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290,028</w:t>
            </w:r>
          </w:p>
        </w:tc>
        <w:tc>
          <w:tcPr>
            <w:tcW w:w="4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79,171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720" w:hanging="712"/>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Reinsurance, Commitments and Contingencies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Reinsurance</w:t>
      </w:r>
    </w:p>
    <w:p>
      <w:pPr>
        <w:spacing w:after="0" w:line="2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follows the procedure of reinsuring risks in excess of a specified limit, which ranges from $25,000 to $100,000. The Company is liable for these amounts in the event such reinsurers are unable to pay their portion of the claims. The Company has also assumed insurance from other companies.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Loss Settlements</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Future loan losses can be extremely difficult to estimate. However, management believes that the Company’s reserve methodology and its current practice of property preservation allow it to estimate its potential losses on loans sold. The estimated liability for indemnification losses is included in other liabilities and accrued expenses and, as of March 31, 2019 and December 31, 2018, the balances were $3,704,000 and $3,605,000,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Loan Loss Litigation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Lehman Brothers Holdings Litigation – Delaware and New York</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January 2014, Lehman Brothers Holdings, Inc. (“Lehman Holdings”) entered into a settlement with the Federal National Mortgage Association (Fannie Mae) concerning the mortgage loan claims that Fannie Mae had asserted against Lehman Holdings, which were based on alleged breaches of certain representations and warranties by Lehman Holdings in the mortgage loans it had sold to Fannie Mae. Lehman Holdings had acquired these loans from Aurora Bank, FSB, formerly known as Lehman Brothers Bank, FSB, which in turn purchased the loans from certain residential mortgage loan originators, including SecurityNational Mortgage. A settlement based on similar circumstances was entered into between Lehman Holdings and the Federal Home Loan Mortgage Corporation (Freddie Mac) in February 2014.</w:t>
      </w:r>
    </w:p>
    <w:p>
      <w:pPr>
        <w:spacing w:after="0" w:line="2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Lehman Holdings filed a motion in May 2014 with the U.S. Bankruptcy Court of the Southern District of New York to require the mortgage loan originators, including SecurityNational Mortgage, to engage in non-binding mediations of the alleged indemnification claims against the mortgage loan originators relative to the Fannie Mae and Freddie Mac settlements with Lehman Holdings. The mediation was not successful in resolving any issues between SecurityNational Mortgage and Lehman Holdings.</w:t>
      </w:r>
    </w:p>
    <w:p>
      <w:pPr>
        <w:spacing w:after="0" w:line="24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January 26, 2016, SecurityNational Mortgage filed a declaratory judgment action against Lehman Holdings in the Superior Court for the State of Delaware. In the Delaware action, SecurityNational Mortgage asserted its right</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to obtain a declaration of rights in that there are allegedly millions of dollars in dispute with Lehman Holdings pertaining to approximately 136 mortgage loans. SecurityNational Mortgage sought a declaratory judgment as to its rights as it contends that it has no liability to Lehman Holdings as a result of Lehman Holdings’ settlements with Fannie Mae and Freddie Mac. Lehman Holdings filed a motion in the Delaware court seeking to stay or dismiss the declaratory judgment action. On August 24, 2016, the Court ruled that it would exercise its discretion to decline jurisdiction over the action and granted Lehman Holdings’ motion to dismiss.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76" w:lineRule="exact"/>
        <w:rPr>
          <w:sz w:val="20"/>
          <w:szCs w:val="20"/>
          <w:color w:val="auto"/>
        </w:rPr>
      </w:pPr>
    </w:p>
    <w:p>
      <w:pPr>
        <w:ind w:left="400" w:hanging="392"/>
        <w:spacing w:after="0"/>
        <w:tabs>
          <w:tab w:leader="none" w:pos="40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Reinsurance, Commitments and Contingencies</w:t>
      </w:r>
      <w:r>
        <w:rPr>
          <w:rFonts w:ascii="Arial" w:cs="Arial" w:eastAsia="Arial" w:hAnsi="Arial"/>
          <w:sz w:val="18"/>
          <w:szCs w:val="18"/>
          <w:color w:val="auto"/>
        </w:rPr>
        <w:t xml:space="preserve"> (Continued)</w:t>
      </w:r>
    </w:p>
    <w:p>
      <w:pPr>
        <w:spacing w:after="0" w:line="2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3, 2016, Lehman Holdings filed an adversary proceeding against approximately 150 mortgage loan originators, including SecurityNational Mortgage, in the U.S. Bankruptcy Court of the Southern District of New York seeking a declaration of rights similar in nature to the declaratory judgment that SecurityNational Mortgage sought in its Delaware lawsuit, and for damages relating to the alleged obligations of the defendants under the indemnification provisions of the alleged agreements, in amounts to be determined at trial, including interest, attorneys’ fees and costs incurred by Lehman Holdings in enforcing the obligations of the defendants. No response was required to be filed relative to the Complaint or the Amended Complaint dated March 7, 2016. A Case Management Order was entered on November 1, 2016.</w:t>
      </w:r>
    </w:p>
    <w:p>
      <w:pPr>
        <w:spacing w:after="0" w:line="2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27, 2016, pursuant to the Case Management Order, Lehman Holdings filed a Second Amended Complaint against SecurityNational Mortgage, which eliminates the declaratory judgment claim but retains a similar claim for damages as in the Complaint. Many of the defendants, including SecurityNational Mortgage, filed a joint motion in the case asserting that the Bankruptcy Court does not have subject matter jurisdiction concerning the matter and that venue is improper. Lehman Holdings’ response memorandum was filed on May 31, 2017 and a reply memorandum of the defendants filing the motion was filed on July 14, 2017. A hearing on the motion was held on June 12, 2018.</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August 13, 2018, the Court issued its Memorandum Decision and Order (“Decision”) denying the motion. On August 27, 2018, a number of the defendants, including SecurityNational Mortgage, filed a joint motion with the United States District Court (Case No. 18-mc-00392(VEC)) requesting that the Bankruptcy Court’s Decision be treated as findings of fact and conclusions of law, and for the District Court to review the Decision </w:t>
      </w:r>
      <w:r>
        <w:rPr>
          <w:rFonts w:ascii="Arial" w:cs="Arial" w:eastAsia="Arial" w:hAnsi="Arial"/>
          <w:sz w:val="18"/>
          <w:szCs w:val="18"/>
          <w:i w:val="1"/>
          <w:iCs w:val="1"/>
          <w:color w:val="auto"/>
        </w:rPr>
        <w:t>de novo</w:t>
      </w:r>
      <w:r>
        <w:rPr>
          <w:rFonts w:ascii="Arial" w:cs="Arial" w:eastAsia="Arial" w:hAnsi="Arial"/>
          <w:sz w:val="18"/>
          <w:szCs w:val="18"/>
          <w:color w:val="auto"/>
        </w:rPr>
        <w:t xml:space="preserve"> as to jurisdiction. Included with the motion were proposed objections to the Bankruptcy Court’s Decision. On September 18, 2018, Lehman Holdings filed its response to the joint motion, and defendants’ reply was filed on October 2, 2018.</w:t>
      </w:r>
    </w:p>
    <w:p>
      <w:pPr>
        <w:spacing w:after="0" w:line="24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17, 2018, certain defendants, including SecurityNational Mortgage, also filed a notice of appeal, and thereafter a motion for leave to file an interlocutory appeal as to the Bankruptcy Court’s Decision pertaining to jurisdiction and improper venue as a “protective” appeal should the District Court decide not to treat the Decision as findings of fact and conclusions of law. Separately, certain other defendants also filed a notice of appeal and motion for leave to file an interlocutory appeal with respect to the Bankruptcy Court’s Decision concerning improper venue. Lehman Holdings filed its response on October 22, 2018, and defendants filed a joint reply to Lehman Holdings’ response on November 26, 2018. The motions to file appeals were consolidated before Valerie Caproni, U.S. District Court Judge, Case No. 18-cv-08986 (VEC). Case No. 18-mc-00392 (VEC) is also before Judge Caproni.</w:t>
      </w:r>
    </w:p>
    <w:p>
      <w:pPr>
        <w:spacing w:after="0" w:line="21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October 1, 2018, Lehman Holdings filed a motion for leave to file a Third Amended Complaint against numerous defendants including SecurityNational Mortgage. In addition to the Fannie Mae and Freddie Mac related loans, the amendments/supplements include additional mortgage loans sold to Lehman Holdings that were packaged for securitization (“RMBS loans”). The RMBS loans had allegedly been sold by defendants to Lehman Bank that, in turn, sold them to Lehman Holdings. The allegations pertaining to the RMBS loans include, e.g., purported breaches of representations and warranties made to the securitization trusts by Lehman Holdings. Lehman Holdings asserts that it made representations and warranties purportedly based in part by representations and warranties made to Lehman Bank by loan originators, including SecurityNational Mortgage.</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alleged RMBS loans in dispute with SecurityNational Mortgage allegedly involve millions of dollars pertaining to approximately 577 mortgage loans in addition to the Fannie Mae and Freddie Mac related loans. Lehman Holdings also moved the Court to simultaneously allow alternative dispute resolution procedures to take place, including potential mediation. Over objections, at a hearing on October 29, 2018, the Court granted Lehman Holdings’ motion to amend/supplement its complaints adding the RMBS loans, and also to mandate alternative dispute resolution procedures affecting many defendants, including SecurityNational Mortgage.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76" w:lineRule="exact"/>
        <w:rPr>
          <w:sz w:val="20"/>
          <w:szCs w:val="20"/>
          <w:color w:val="auto"/>
        </w:rPr>
      </w:pPr>
    </w:p>
    <w:p>
      <w:pPr>
        <w:ind w:left="400" w:hanging="392"/>
        <w:spacing w:after="0"/>
        <w:tabs>
          <w:tab w:leader="none" w:pos="40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Reinsurance, Commitments and Contingencies</w:t>
      </w:r>
      <w:r>
        <w:rPr>
          <w:rFonts w:ascii="Arial" w:cs="Arial" w:eastAsia="Arial" w:hAnsi="Arial"/>
          <w:sz w:val="18"/>
          <w:szCs w:val="18"/>
          <w:color w:val="auto"/>
        </w:rPr>
        <w:t xml:space="preserve"> (Continued)</w:t>
      </w:r>
    </w:p>
    <w:p>
      <w:pPr>
        <w:spacing w:after="0" w:line="2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Instead of filing a Third Amended Complaint to include the RMBS loans referenced above, Lehman Holdings filed the matter against SecurityNational Mortgage as a new complaint ("RMBS Complaint") (United States Bankruptcy Court, Southern District of New York, Adversary Proceeding 18-01819) pertaining to the approximately 577 RMBS loans, with the Second Amended Complaint remaining the same. The RMBS Complaint seeks alleged damages relating to obligations under alleged contractual indemnification provisions in an amount to be determined at trial, reasonable interest, costs and expenses incurred by LBHI in enforcing alleged obligations, including attorneys' fees and any expert witness fees incurred in litigation; and such other relief as the Court deems just and proper. SecurityNational Mortgage denies any liability to Lehman Holdings and intends to vigorously protect and defend its position.</w:t>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response to a Court order, certain defendants referenced in the Second Amended Complaint and the RMBS Complaints negotiated with Lehman Holdings concerning an amended case management order pertaining to certain case procedures and management for both lawsuits including, but not limited to, timing for filing motions and answering the complaints, and provisions concerning discovery such as document production, taking depositions, and use of experts. At a hearing held on March 7, 2019, the Court considered differences of the parties as to the content of an amended case management order, and thereafter signed an amended case management order dated March 13, 2019. Certain discovery has begun in the cases, and on or before May 13, 2019, answers to the complaints are to be filed or, in the case of RMBS litigation, certain motion filing may be done without requiring an answer at the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 for Mortgage Warehouse Lines of Credit</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through its subsidiary SecurityNational Mortgage, has a $100,000,000 line of credit with Wells Fargo Bank N.A. The agreement charges interest at the 1-Month LIBOR rate plus 3% and matures on June 16, 2019. SecurityNational Mortgage is required to maintain an adjusted tangible net worth of $19,000,000, unrestricted cash of $10,000,000, indebtedness to adjusted tangible net worth of 12:1, liquidity overhead coverage of 1.75:1, and a quarterly gross profit of at least $1.</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through its subsidiary SecurityNational Mortgage, also uses a line of credit with Texas Capital Bank N.A. This agreement with the bank allows SecurityNational Mortgage to borrow up to $100,000,000 for the sole purpose of funding mortgage loans. SecurityNational Mortgage is currently approved to borrow $30,000,000 of the $100,000,000 available. The agreement charges interest at the 1-Month LIBOR rate plus 3% and matures on September 7, 2019. The Company is required to maintain an adjusted tangible net worth of $70,000,000, unrestricted cash of $15,000,000, and no two consecutive quarters with a net loss. The Company is currently seeking to obtain a waiver from Texas Capital Bank as SecurityNational Mortgage did not meet the profitability covenant for the year with a loss at March 31, 2019.</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agreements for both warehouse lines include cross default provisions in that a covenant violation under one agreement constitutes a covenant violation under the other agreement. SecurityNational Mortgage has requested but not yet received a waiver from Wells Fargo in regard to its covenant violation with Texas Capital Bank. SecurityNational Mortgage anticipates that it will not meet the profitability covenant with Texas Capital Bank at the end of the second quarter of 2019, which will trigger a default with Wells Fargo under the cross default provisions, and will seek new waivers at that time. In the unlikely event the Company is required to repay both warehouse lines, the Company has sufficient cash and borrowing capacity to do so and to continue to fund its origination activities through the other internal funding sources.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SecurityNational Mortgage believes that it has taken appropriate actions to return to meeting all the covenant requirements of Texas Capital Bank and that it will continue to meet the financial covenant requirements of Wells Fargo. As of March 31, 2019, the Company had approximately $56,112,000 and $22,060,000 outstanding on the Texas Capital Bank Wells Fargo warehouse lines,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 and Commitments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entered into commitments to fund construction and land development loans and has also provided financing for land acquisition and development. As of March 31, 2019, the Company’s commitments were approximately $98,511,000 for these loans, of which $77,165,000 had been funded. The Company will advance funds once the work has been completed and an independent inspection is made. The maximum loan commitment ranges between 50% and 80% of appraised value. The Company receives fees and interest for these loans and the interest rate is generally fixed 5.50% to 8.00% per annum. Maturities range between six and eighteen months.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76" w:lineRule="exact"/>
        <w:rPr>
          <w:sz w:val="20"/>
          <w:szCs w:val="20"/>
          <w:color w:val="auto"/>
        </w:rPr>
      </w:pPr>
    </w:p>
    <w:p>
      <w:pPr>
        <w:ind w:left="400" w:hanging="392"/>
        <w:spacing w:after="0"/>
        <w:tabs>
          <w:tab w:leader="none" w:pos="4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Reinsurance, Commitments and Contingencies</w:t>
      </w:r>
      <w:r>
        <w:rPr>
          <w:rFonts w:ascii="Arial" w:cs="Arial" w:eastAsia="Arial" w:hAnsi="Arial"/>
          <w:sz w:val="18"/>
          <w:szCs w:val="18"/>
          <w:color w:val="auto"/>
        </w:rPr>
        <w:t xml:space="preserve"> (Continued)</w:t>
      </w:r>
    </w:p>
    <w:p>
      <w:pPr>
        <w:spacing w:after="0" w:line="2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belongs to a captive insurance group for certain casualty insurance, worker compensation and liability programs. Insurance reserves are maintained relative to these programs. The level of exposure from catastrophic events is limited by the purchase of stop-loss and aggregate liability reinsurance coverage. When estimating the insurance liabilities and related reserves, the captive insurance management considers a number of factors, which include historical claims experience, demographic factors, severity factors and valuations provided by independent third-party actuaries. If actual claims or adverse development of loss reserves occurs and exceed these estimates, additional reserves may be required. The estimation process contains uncertainty since captive insurance management must use judgment to estimate the ultimate cost that will be incurred to settle reported claims and unreported claims for incidents incurred but not reported as of the balance sheet date.</w:t>
      </w:r>
    </w:p>
    <w:p>
      <w:pPr>
        <w:spacing w:after="0" w:line="23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is a defendant in various other legal actions arising from the normal conduct of business. Management believes that none of the actions will have a material effect on the Company’s financial position or results of operations. Based on management’s assessment and legal counsel’s representations concerning the likelihood of unfavorable outcomes, no amounts have been accrued for the above claims in the consolidated financial statements.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operations.</w:t>
      </w:r>
    </w:p>
    <w:p>
      <w:pPr>
        <w:spacing w:after="0" w:line="238" w:lineRule="exact"/>
        <w:rPr>
          <w:sz w:val="20"/>
          <w:szCs w:val="20"/>
          <w:color w:val="auto"/>
        </w:rPr>
      </w:pPr>
    </w:p>
    <w:p>
      <w:pPr>
        <w:ind w:left="420" w:hanging="412"/>
        <w:spacing w:after="0"/>
        <w:tabs>
          <w:tab w:leader="none" w:pos="42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Mortgage Servicing Rights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Company initially records these MSRs at fair value as discussed in Note 8.</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being initially recorded at fair value, MSRs backed by mortgage loans are accounted for using the amortization method. Amortization expense is included in other expenses on the consolidated statements of earnings. MSR amortization is determined by amortizing the MSR balance in proportion to, and over the period of the estimated future net servicing income of the underlying financial assets.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periodically assesses MSRs for impairment. Impairment occurs when the current fair value of the MSR falls below the asset’s carrying value (carrying value is the amortized cost reduced by any related valuation allowance). If MSRs are impaired, the impairment is recognized in current-period earnings and the carrying value of the MSRs is adjusted through a valuation allowance.</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periodically reviews the various loan strata to determine whether the value of the MSRs in a given stratum is impaired and likely to recover. When management deems recovery of the value to be unlikely in the foreseeable future, a write-down of the cost of the MSRs for that stratum to its estimated recoverable value is charged to the valuation allowance.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gridSpan w:val="2"/>
          </w:tcPr>
          <w:p>
            <w:pPr>
              <w:spacing w:after="0"/>
              <w:rPr>
                <w:sz w:val="20"/>
                <w:szCs w:val="20"/>
                <w:color w:val="auto"/>
              </w:rPr>
            </w:pPr>
            <w:r>
              <w:rPr>
                <w:rFonts w:ascii="Arial" w:cs="Arial" w:eastAsia="Arial" w:hAnsi="Arial"/>
                <w:sz w:val="18"/>
                <w:szCs w:val="18"/>
                <w:color w:val="auto"/>
              </w:rPr>
              <w:t>The following is a summary of the MSR activity for the periods presented.</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2"/>
        </w:trPr>
        <w:tc>
          <w:tcPr>
            <w:tcW w:w="116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As of</w:t>
            </w:r>
          </w:p>
        </w:tc>
        <w:tc>
          <w:tcPr>
            <w:tcW w:w="980" w:type="dxa"/>
            <w:vAlign w:val="bottom"/>
            <w:gridSpan w:val="3"/>
          </w:tcPr>
          <w:p>
            <w:pPr>
              <w:jc w:val="right"/>
              <w:ind w:right="160"/>
              <w:spacing w:after="0"/>
              <w:rPr>
                <w:sz w:val="20"/>
                <w:szCs w:val="20"/>
                <w:color w:val="auto"/>
              </w:rPr>
            </w:pPr>
            <w:r>
              <w:rPr>
                <w:rFonts w:ascii="Arial" w:cs="Arial" w:eastAsia="Arial" w:hAnsi="Arial"/>
                <w:sz w:val="18"/>
                <w:szCs w:val="18"/>
                <w:color w:val="auto"/>
                <w:w w:val="96"/>
              </w:rPr>
              <w:t>December</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March 31</w:t>
            </w:r>
          </w:p>
        </w:tc>
        <w:tc>
          <w:tcPr>
            <w:tcW w:w="80" w:type="dxa"/>
            <w:vAlign w:val="bottom"/>
          </w:tcPr>
          <w:p>
            <w:pPr>
              <w:spacing w:after="0"/>
              <w:rPr>
                <w:sz w:val="18"/>
                <w:szCs w:val="18"/>
                <w:color w:val="auto"/>
              </w:rPr>
            </w:pPr>
          </w:p>
        </w:tc>
        <w:tc>
          <w:tcPr>
            <w:tcW w:w="820" w:type="dxa"/>
            <w:vAlign w:val="bottom"/>
          </w:tcPr>
          <w:p>
            <w:pPr>
              <w:jc w:val="right"/>
              <w:ind w:right="27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6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2019</w:t>
            </w:r>
          </w:p>
        </w:tc>
        <w:tc>
          <w:tcPr>
            <w:tcW w:w="1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100" w:type="dxa"/>
            <w:vAlign w:val="bottom"/>
            <w:gridSpan w:val="2"/>
          </w:tcPr>
          <w:p>
            <w:pPr>
              <w:ind w:left="1140"/>
              <w:spacing w:after="0"/>
              <w:rPr>
                <w:sz w:val="20"/>
                <w:szCs w:val="20"/>
                <w:color w:val="auto"/>
              </w:rPr>
            </w:pPr>
            <w:r>
              <w:rPr>
                <w:rFonts w:ascii="Arial" w:cs="Arial" w:eastAsia="Arial" w:hAnsi="Arial"/>
                <w:sz w:val="18"/>
                <w:szCs w:val="18"/>
                <w:color w:val="auto"/>
              </w:rPr>
              <w:t>Amortized cost: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Balance before valuation allowance at beginning of year</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20,016,822</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21,376,937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MSR additions resulting from loan sales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275,533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3,922,816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Amortization (1)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(1,243,342)</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(5,282,931)</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w w:val="93"/>
              </w:rPr>
              <w:t>Application of valuation allowance to write down MSRs with other than temporary impairment</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before valuation allowance at end of period</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19,049,013</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20,016,822</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 for impairment of MSRs: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w w:val="93"/>
              </w:rPr>
              <w:t>Application of valuation allowance to write down MSRs with other than temporary impairment</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69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160" w:type="dxa"/>
            <w:vAlign w:val="bottom"/>
            <w:vMerge w:val="continue"/>
          </w:tcPr>
          <w:p>
            <w:pPr>
              <w:spacing w:after="0"/>
              <w:rPr>
                <w:sz w:val="22"/>
                <w:szCs w:val="22"/>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Mortgage servicing rights, net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19,049,013</w:t>
            </w:r>
          </w:p>
        </w:tc>
        <w:tc>
          <w:tcPr>
            <w:tcW w:w="180" w:type="dxa"/>
            <w:vAlign w:val="bottom"/>
            <w:tcBorders>
              <w:right w:val="single" w:sz="8" w:color="CCEEFF"/>
            </w:tcBorders>
            <w:shd w:val="clear" w:color="auto" w:fill="CCEEFF"/>
          </w:tcPr>
          <w:p>
            <w:pPr>
              <w:spacing w:after="0"/>
              <w:rPr>
                <w:sz w:val="22"/>
                <w:szCs w:val="2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20,016,822</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69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160" w:type="dxa"/>
            <w:vAlign w:val="bottom"/>
            <w:vMerge w:val="continue"/>
          </w:tcPr>
          <w:p>
            <w:pPr>
              <w:spacing w:after="0"/>
              <w:rPr>
                <w:sz w:val="20"/>
                <w:szCs w:val="20"/>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of MSRs at end of period</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26,133,155</w:t>
            </w:r>
          </w:p>
        </w:tc>
        <w:tc>
          <w:tcPr>
            <w:tcW w:w="1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28,885,316</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100" w:type="dxa"/>
            <w:vAlign w:val="bottom"/>
            <w:gridSpan w:val="2"/>
          </w:tcPr>
          <w:p>
            <w:pPr>
              <w:ind w:left="1140"/>
              <w:spacing w:after="0"/>
              <w:rPr>
                <w:sz w:val="20"/>
                <w:szCs w:val="20"/>
                <w:color w:val="auto"/>
              </w:rPr>
            </w:pPr>
            <w:r>
              <w:rPr>
                <w:rFonts w:ascii="Arial" w:cs="Arial" w:eastAsia="Arial" w:hAnsi="Arial"/>
                <w:sz w:val="18"/>
                <w:szCs w:val="18"/>
                <w:color w:val="auto"/>
              </w:rPr>
              <w:t>_________________________</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100" w:type="dxa"/>
            <w:vAlign w:val="bottom"/>
            <w:gridSpan w:val="2"/>
          </w:tcPr>
          <w:p>
            <w:pPr>
              <w:ind w:left="1140"/>
              <w:spacing w:after="0"/>
              <w:rPr>
                <w:sz w:val="20"/>
                <w:szCs w:val="20"/>
                <w:color w:val="auto"/>
              </w:rPr>
            </w:pPr>
            <w:r>
              <w:rPr>
                <w:rFonts w:ascii="Arial" w:cs="Arial" w:eastAsia="Arial" w:hAnsi="Arial"/>
                <w:sz w:val="18"/>
                <w:szCs w:val="18"/>
                <w:color w:val="auto"/>
              </w:rPr>
              <w:t>(1) Included in other expenses on the condensed consolidated statements of earnings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11420"/>
          </w:cols>
          <w:pgMar w:left="240" w:top="125" w:right="239" w:bottom="1440" w:gutter="0" w:footer="0" w:header="0"/>
        </w:sect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41" w:name="page42"/>
    <w:bookmarkEnd w:id="41"/>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76" w:lineRule="exact"/>
        <w:rPr>
          <w:sz w:val="20"/>
          <w:szCs w:val="20"/>
          <w:color w:val="auto"/>
        </w:rPr>
      </w:pPr>
    </w:p>
    <w:p>
      <w:pPr>
        <w:ind w:left="420" w:hanging="412"/>
        <w:spacing w:after="0"/>
        <w:tabs>
          <w:tab w:leader="none" w:pos="42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Mortgage Servicing Rights</w:t>
      </w:r>
      <w:r>
        <w:rPr>
          <w:rFonts w:ascii="Arial" w:cs="Arial" w:eastAsia="Arial" w:hAnsi="Arial"/>
          <w:sz w:val="18"/>
          <w:szCs w:val="18"/>
          <w:color w:val="auto"/>
        </w:rPr>
        <w:t xml:space="preserve"> (Continued)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estimate of future amortization of its existing MSRs carried at amortized cost:</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Estimated</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MSR</w:t>
            </w:r>
          </w:p>
        </w:tc>
        <w:tc>
          <w:tcPr>
            <w:tcW w:w="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640" w:type="dxa"/>
            <w:vAlign w:val="bottom"/>
            <w:gridSpan w:val="2"/>
          </w:tcPr>
          <w:p>
            <w:pPr>
              <w:jc w:val="center"/>
              <w:ind w:left="3590"/>
              <w:spacing w:after="0"/>
              <w:rPr>
                <w:sz w:val="20"/>
                <w:szCs w:val="20"/>
                <w:color w:val="auto"/>
              </w:rPr>
            </w:pPr>
            <w:r>
              <w:rPr>
                <w:rFonts w:ascii="Arial" w:cs="Arial" w:eastAsia="Arial" w:hAnsi="Arial"/>
                <w:sz w:val="18"/>
                <w:szCs w:val="18"/>
                <w:color w:val="auto"/>
                <w:w w:val="95"/>
              </w:rPr>
              <w:t>Amortization</w:t>
            </w:r>
          </w:p>
        </w:tc>
        <w:tc>
          <w:tcPr>
            <w:tcW w:w="80" w:type="dxa"/>
            <w:vAlign w:val="bottom"/>
          </w:tcPr>
          <w:p>
            <w:pPr>
              <w:spacing w:after="0"/>
              <w:rPr>
                <w:sz w:val="20"/>
                <w:szCs w:val="20"/>
                <w:color w:val="auto"/>
              </w:rPr>
            </w:pPr>
          </w:p>
        </w:tc>
      </w:tr>
      <w:tr>
        <w:trPr>
          <w:trHeight w:val="202"/>
        </w:trPr>
        <w:tc>
          <w:tcPr>
            <w:tcW w:w="4420" w:type="dxa"/>
            <w:vAlign w:val="bottom"/>
            <w:gridSpan w:val="2"/>
          </w:tcPr>
          <w:p>
            <w:pPr>
              <w:spacing w:after="0" w:line="201" w:lineRule="exact"/>
              <w:rPr>
                <w:sz w:val="20"/>
                <w:szCs w:val="20"/>
                <w:color w:val="auto"/>
              </w:rPr>
            </w:pPr>
            <w:r>
              <w:rPr>
                <w:rFonts w:ascii="Arial" w:cs="Arial" w:eastAsia="Arial" w:hAnsi="Arial"/>
                <w:sz w:val="18"/>
                <w:szCs w:val="18"/>
                <w:color w:val="auto"/>
              </w:rPr>
              <w:t>2019</w:t>
            </w:r>
          </w:p>
        </w:tc>
        <w:tc>
          <w:tcPr>
            <w:tcW w:w="3680" w:type="dxa"/>
            <w:vAlign w:val="bottom"/>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2,117,384</w:t>
            </w:r>
          </w:p>
        </w:tc>
        <w:tc>
          <w:tcPr>
            <w:tcW w:w="80" w:type="dxa"/>
            <w:vAlign w:val="bottom"/>
          </w:tcPr>
          <w:p>
            <w:pPr>
              <w:spacing w:after="0"/>
              <w:rPr>
                <w:sz w:val="17"/>
                <w:szCs w:val="17"/>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2020</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2,437,671</w:t>
            </w:r>
          </w:p>
        </w:tc>
        <w:tc>
          <w:tcPr>
            <w:tcW w:w="8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2021</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2,103,851</w:t>
            </w:r>
          </w:p>
        </w:tc>
        <w:tc>
          <w:tcPr>
            <w:tcW w:w="8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2022</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1,802,199</w:t>
            </w:r>
          </w:p>
        </w:tc>
        <w:tc>
          <w:tcPr>
            <w:tcW w:w="80" w:type="dxa"/>
            <w:vAlign w:val="bottom"/>
          </w:tcPr>
          <w:p>
            <w:pPr>
              <w:spacing w:after="0"/>
              <w:rPr>
                <w:sz w:val="18"/>
                <w:szCs w:val="18"/>
                <w:color w:val="auto"/>
              </w:rPr>
            </w:pPr>
          </w:p>
        </w:tc>
      </w:tr>
      <w:tr>
        <w:trPr>
          <w:trHeight w:val="216"/>
        </w:trPr>
        <w:tc>
          <w:tcPr>
            <w:tcW w:w="4420" w:type="dxa"/>
            <w:vAlign w:val="bottom"/>
            <w:gridSpan w:val="2"/>
          </w:tcPr>
          <w:p>
            <w:pPr>
              <w:spacing w:after="0"/>
              <w:rPr>
                <w:sz w:val="20"/>
                <w:szCs w:val="20"/>
                <w:color w:val="auto"/>
              </w:rPr>
            </w:pPr>
            <w:r>
              <w:rPr>
                <w:rFonts w:ascii="Arial" w:cs="Arial" w:eastAsia="Arial" w:hAnsi="Arial"/>
                <w:sz w:val="18"/>
                <w:szCs w:val="18"/>
                <w:color w:val="auto"/>
              </w:rPr>
              <w:t>2023</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1,551,340</w:t>
            </w:r>
          </w:p>
        </w:tc>
        <w:tc>
          <w:tcPr>
            <w:tcW w:w="80" w:type="dxa"/>
            <w:vAlign w:val="bottom"/>
          </w:tcPr>
          <w:p>
            <w:pPr>
              <w:spacing w:after="0"/>
              <w:rPr>
                <w:sz w:val="18"/>
                <w:szCs w:val="18"/>
                <w:color w:val="auto"/>
              </w:rPr>
            </w:pPr>
          </w:p>
        </w:tc>
      </w:tr>
      <w:tr>
        <w:trPr>
          <w:trHeight w:val="237"/>
        </w:trPr>
        <w:tc>
          <w:tcPr>
            <w:tcW w:w="44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9,036,568</w:t>
            </w:r>
          </w:p>
        </w:tc>
        <w:tc>
          <w:tcPr>
            <w:tcW w:w="8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$ 19,049,013</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collected the following contractual servicing fee income and late fee income as reported in other revenues on the condensed consolidated statement of earnings: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4"/>
          </w:tcPr>
          <w:p>
            <w:pPr>
              <w:jc w:val="right"/>
              <w:ind w:right="150"/>
              <w:spacing w:after="0"/>
              <w:rPr>
                <w:sz w:val="20"/>
                <w:szCs w:val="20"/>
                <w:color w:val="auto"/>
              </w:rPr>
            </w:pPr>
            <w:r>
              <w:rPr>
                <w:rFonts w:ascii="Arial" w:cs="Arial" w:eastAsia="Arial" w:hAnsi="Arial"/>
                <w:sz w:val="18"/>
                <w:szCs w:val="18"/>
                <w:color w:val="auto"/>
                <w:w w:val="95"/>
              </w:rPr>
              <w:t>Three Months Ended</w:t>
            </w:r>
          </w:p>
        </w:tc>
        <w:tc>
          <w:tcPr>
            <w:tcW w:w="8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March 31</w:t>
            </w: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Contractual servicing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1,858,599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1,876,883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Late fees</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87,291</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111,748</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1,945,890</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1,988,631</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unpaid principal balances (“UPB”) of the servicing portfolio for the periods presented: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gridSpan w:val="2"/>
          </w:tcPr>
          <w:p>
            <w:pPr>
              <w:jc w:val="center"/>
              <w:ind w:right="150"/>
              <w:spacing w:after="0"/>
              <w:rPr>
                <w:sz w:val="20"/>
                <w:szCs w:val="20"/>
                <w:color w:val="auto"/>
              </w:rPr>
            </w:pPr>
            <w:r>
              <w:rPr>
                <w:rFonts w:ascii="Arial" w:cs="Arial" w:eastAsia="Arial" w:hAnsi="Arial"/>
                <w:sz w:val="18"/>
                <w:szCs w:val="18"/>
                <w:color w:val="auto"/>
                <w:w w:val="97"/>
              </w:rPr>
              <w:t>As of</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120"/>
              <w:spacing w:after="0"/>
              <w:rPr>
                <w:sz w:val="20"/>
                <w:szCs w:val="20"/>
                <w:color w:val="auto"/>
              </w:rPr>
            </w:pPr>
            <w:r>
              <w:rPr>
                <w:rFonts w:ascii="Arial" w:cs="Arial" w:eastAsia="Arial" w:hAnsi="Arial"/>
                <w:sz w:val="18"/>
                <w:szCs w:val="18"/>
                <w:color w:val="auto"/>
              </w:rPr>
              <w:t>As of</w:t>
            </w:r>
          </w:p>
        </w:tc>
        <w:tc>
          <w:tcPr>
            <w:tcW w:w="8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3"/>
              </w:rPr>
              <w:t>March 31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w w:val="88"/>
              </w:rPr>
              <w:t>December 31</w:t>
            </w:r>
          </w:p>
        </w:tc>
        <w:tc>
          <w:tcPr>
            <w:tcW w:w="80" w:type="dxa"/>
            <w:vAlign w:val="bottom"/>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800" w:type="dxa"/>
            <w:vAlign w:val="bottom"/>
            <w:gridSpan w:val="4"/>
          </w:tcPr>
          <w:p>
            <w:pPr>
              <w:jc w:val="center"/>
              <w:ind w:left="590"/>
              <w:spacing w:after="0"/>
              <w:rPr>
                <w:sz w:val="20"/>
                <w:szCs w:val="20"/>
                <w:color w:val="auto"/>
              </w:rPr>
            </w:pPr>
            <w:r>
              <w:rPr>
                <w:rFonts w:ascii="Arial" w:cs="Arial" w:eastAsia="Arial" w:hAnsi="Arial"/>
                <w:sz w:val="18"/>
                <w:szCs w:val="18"/>
                <w:color w:val="auto"/>
                <w:w w:val="89"/>
              </w:rPr>
              <w:t>2019</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3"/>
          </w:tcPr>
          <w:p>
            <w:pPr>
              <w:ind w:left="32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Servicing UPB</w:t>
            </w:r>
          </w:p>
        </w:tc>
        <w:tc>
          <w:tcPr>
            <w:tcW w:w="680" w:type="dxa"/>
            <w:vAlign w:val="bottom"/>
            <w:shd w:val="clear" w:color="auto" w:fill="CCEEFF"/>
          </w:tcPr>
          <w:p>
            <w:pPr>
              <w:spacing w:after="0"/>
              <w:rPr>
                <w:sz w:val="18"/>
                <w:szCs w:val="18"/>
                <w:color w:val="auto"/>
              </w:rPr>
            </w:pPr>
          </w:p>
        </w:tc>
        <w:tc>
          <w:tcPr>
            <w:tcW w:w="112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9"/>
              </w:rPr>
              <w:t>$2,902,805,249</w:t>
            </w:r>
          </w:p>
        </w:tc>
        <w:tc>
          <w:tcPr>
            <w:tcW w:w="180" w:type="dxa"/>
            <w:vAlign w:val="bottom"/>
            <w:shd w:val="clear" w:color="auto" w:fill="CCEEFF"/>
          </w:tcPr>
          <w:p>
            <w:pPr>
              <w:spacing w:after="0"/>
              <w:rPr>
                <w:sz w:val="18"/>
                <w:szCs w:val="18"/>
                <w:color w:val="auto"/>
              </w:rPr>
            </w:pPr>
          </w:p>
        </w:tc>
        <w:tc>
          <w:tcPr>
            <w:tcW w:w="11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w w:val="87"/>
              </w:rPr>
              <w:t>$2,941,231,563</w:t>
            </w:r>
          </w:p>
        </w:tc>
        <w:tc>
          <w:tcPr>
            <w:tcW w:w="80" w:type="dxa"/>
            <w:vAlign w:val="bottom"/>
            <w:shd w:val="clear" w:color="auto" w:fill="CCEEFF"/>
          </w:tcPr>
          <w:p>
            <w:pPr>
              <w:spacing w:after="0"/>
              <w:rPr>
                <w:sz w:val="18"/>
                <w:szCs w:val="18"/>
                <w:color w:val="auto"/>
              </w:rPr>
            </w:pPr>
          </w:p>
        </w:tc>
      </w:tr>
      <w:tr>
        <w:trPr>
          <w:trHeight w:val="486"/>
        </w:trPr>
        <w:tc>
          <w:tcPr>
            <w:tcW w:w="7100" w:type="dxa"/>
            <w:vAlign w:val="bottom"/>
            <w:gridSpan w:val="2"/>
          </w:tcPr>
          <w:p>
            <w:pPr>
              <w:spacing w:after="0"/>
              <w:rPr>
                <w:sz w:val="20"/>
                <w:szCs w:val="20"/>
                <w:color w:val="auto"/>
              </w:rPr>
            </w:pPr>
            <w:r>
              <w:rPr>
                <w:rFonts w:ascii="Arial" w:cs="Arial" w:eastAsia="Arial" w:hAnsi="Arial"/>
                <w:sz w:val="18"/>
                <w:szCs w:val="18"/>
                <w:color w:val="auto"/>
              </w:rPr>
              <w:t>The following key assumptions were used in determining MSR value:</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72"/>
        </w:trPr>
        <w:tc>
          <w:tcPr>
            <w:tcW w:w="11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160" w:type="dxa"/>
            <w:vAlign w:val="bottom"/>
            <w:gridSpan w:val="3"/>
          </w:tcPr>
          <w:p>
            <w:pPr>
              <w:jc w:val="center"/>
              <w:ind w:right="170"/>
              <w:spacing w:after="0"/>
              <w:rPr>
                <w:sz w:val="20"/>
                <w:szCs w:val="20"/>
                <w:color w:val="auto"/>
              </w:rPr>
            </w:pPr>
            <w:r>
              <w:rPr>
                <w:rFonts w:ascii="Arial" w:cs="Arial" w:eastAsia="Arial" w:hAnsi="Arial"/>
                <w:sz w:val="18"/>
                <w:szCs w:val="18"/>
                <w:color w:val="auto"/>
                <w:w w:val="88"/>
              </w:rPr>
              <w:t>Prepayment</w:t>
            </w:r>
          </w:p>
        </w:tc>
        <w:tc>
          <w:tcPr>
            <w:tcW w:w="880" w:type="dxa"/>
            <w:vAlign w:val="bottom"/>
            <w:gridSpan w:val="3"/>
          </w:tcPr>
          <w:p>
            <w:pPr>
              <w:jc w:val="right"/>
              <w:ind w:right="50"/>
              <w:spacing w:after="0"/>
              <w:rPr>
                <w:sz w:val="20"/>
                <w:szCs w:val="20"/>
                <w:color w:val="auto"/>
              </w:rPr>
            </w:pPr>
            <w:r>
              <w:rPr>
                <w:rFonts w:ascii="Arial" w:cs="Arial" w:eastAsia="Arial" w:hAnsi="Arial"/>
                <w:sz w:val="18"/>
                <w:szCs w:val="18"/>
                <w:color w:val="auto"/>
              </w:rPr>
              <w:t>Average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ind w:left="100"/>
              <w:spacing w:after="0"/>
              <w:rPr>
                <w:sz w:val="20"/>
                <w:szCs w:val="20"/>
                <w:color w:val="auto"/>
              </w:rPr>
            </w:pPr>
            <w:r>
              <w:rPr>
                <w:rFonts w:ascii="Arial" w:cs="Arial" w:eastAsia="Arial" w:hAnsi="Arial"/>
                <w:sz w:val="18"/>
                <w:szCs w:val="18"/>
                <w:color w:val="auto"/>
              </w:rPr>
              <w:t>Discount</w:t>
            </w:r>
          </w:p>
        </w:tc>
        <w:tc>
          <w:tcPr>
            <w:tcW w:w="80" w:type="dxa"/>
            <w:vAlign w:val="bottom"/>
          </w:tcPr>
          <w:p>
            <w:pPr>
              <w:spacing w:after="0"/>
              <w:rPr>
                <w:sz w:val="24"/>
                <w:szCs w:val="24"/>
                <w:color w:val="auto"/>
              </w:rPr>
            </w:pPr>
          </w:p>
        </w:tc>
      </w:tr>
      <w:tr>
        <w:trPr>
          <w:trHeight w:val="237"/>
        </w:trPr>
        <w:tc>
          <w:tcPr>
            <w:tcW w:w="116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1"/>
              </w:rPr>
              <w:t>Speeds</w:t>
            </w:r>
          </w:p>
        </w:tc>
        <w:tc>
          <w:tcPr>
            <w:tcW w:w="240" w:type="dxa"/>
            <w:vAlign w:val="bottom"/>
          </w:tcPr>
          <w:p>
            <w:pPr>
              <w:spacing w:after="0"/>
              <w:rPr>
                <w:sz w:val="20"/>
                <w:szCs w:val="20"/>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Life (Years)</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Rate</w:t>
            </w:r>
          </w:p>
        </w:tc>
        <w:tc>
          <w:tcPr>
            <w:tcW w:w="8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March 31, 2019</w:t>
            </w:r>
          </w:p>
        </w:tc>
        <w:tc>
          <w:tcPr>
            <w:tcW w:w="11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6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80" w:type="dxa"/>
            <w:vAlign w:val="bottom"/>
            <w:shd w:val="clear" w:color="auto" w:fill="CCEEFF"/>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December 31, 2018</w:t>
            </w:r>
          </w:p>
        </w:tc>
        <w:tc>
          <w:tcPr>
            <w:tcW w:w="1160" w:type="dxa"/>
            <w:vAlign w:val="bottom"/>
            <w:gridSpan w:val="3"/>
          </w:tcPr>
          <w:p>
            <w:pPr>
              <w:jc w:val="right"/>
              <w:ind w:right="10"/>
              <w:spacing w:after="0"/>
              <w:rPr>
                <w:sz w:val="20"/>
                <w:szCs w:val="20"/>
                <w:color w:val="auto"/>
              </w:rPr>
            </w:pPr>
            <w:r>
              <w:rPr>
                <w:rFonts w:ascii="Arial" w:cs="Arial" w:eastAsia="Arial" w:hAnsi="Arial"/>
                <w:sz w:val="18"/>
                <w:szCs w:val="18"/>
                <w:color w:val="auto"/>
              </w:rPr>
              <w:t>3.86%</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6.33</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9.51</w:t>
            </w:r>
          </w:p>
        </w:tc>
        <w:tc>
          <w:tcPr>
            <w:tcW w:w="80" w:type="dxa"/>
            <w:vAlign w:val="bottom"/>
          </w:tcPr>
          <w:p>
            <w:pPr>
              <w:spacing w:after="0"/>
              <w:rPr>
                <w:sz w:val="20"/>
                <w:szCs w:val="20"/>
                <w:color w:val="auto"/>
              </w:rPr>
            </w:pPr>
          </w:p>
        </w:tc>
      </w:tr>
    </w:tbl>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Income Taxes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overall effective tax rate for the three months ended March 31, 2019 and 2018 was 20.6% and 20.1%, respectively, which resulted in a provision for income taxes of $502,000 and $4,261,000, respectively. The Company's effective tax rates differ from the U.S. federal statutory rate of 21% partially due to its provision for state income taxes. The effective tax rate in the current period increased when compared to the prior year period partly due to the Company’s provision for state income taxes.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35" w:lineRule="exact"/>
        <w:rPr>
          <w:sz w:val="20"/>
          <w:szCs w:val="20"/>
          <w:color w:val="auto"/>
        </w:rPr>
      </w:pPr>
    </w:p>
    <w:p>
      <w:pPr>
        <w:ind w:left="300" w:hanging="292"/>
        <w:spacing w:after="0"/>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Revenues from Contracts with Customers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 reports revenues from contracts with customers pursuant to ASC No. 606, Revenue from Contracts with Customers.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Performance Obligations and Contract Balances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cemetery and mortuary segment sells a variety of goods and services to customers in both at-need and pre-need situations. Due to the timing of the fulfillment of the obligation, revenue is deferred until that obligation is fulfilled.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Company’s three types of future obligations are as follows:</w:t>
      </w:r>
    </w:p>
    <w:p>
      <w:pPr>
        <w:spacing w:after="0" w:line="27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u w:val="single" w:color="auto"/>
          <w:color w:val="auto"/>
        </w:rPr>
        <w:t>Pre-need Merchandise and Service Revenue</w:t>
      </w:r>
      <w:r>
        <w:rPr>
          <w:rFonts w:ascii="Arial" w:cs="Arial" w:eastAsia="Arial" w:hAnsi="Arial"/>
          <w:sz w:val="17"/>
          <w:szCs w:val="17"/>
          <w:color w:val="auto"/>
        </w:rPr>
        <w:t>: All pre-need merchandise and service revenue is deferred and the funds are placed in trust until the need arises,</w:t>
      </w:r>
      <w:r>
        <w:rPr>
          <w:rFonts w:ascii="Arial" w:cs="Arial" w:eastAsia="Arial" w:hAnsi="Arial"/>
          <w:sz w:val="17"/>
          <w:szCs w:val="17"/>
          <w:i w:val="1"/>
          <w:iCs w:val="1"/>
          <w:color w:val="auto"/>
        </w:rPr>
        <w:t xml:space="preserve"> </w:t>
      </w:r>
      <w:r>
        <w:rPr>
          <w:rFonts w:ascii="Arial" w:cs="Arial" w:eastAsia="Arial" w:hAnsi="Arial"/>
          <w:sz w:val="17"/>
          <w:szCs w:val="17"/>
          <w:color w:val="auto"/>
        </w:rPr>
        <w:t>the merchandise is received or the service is performed. The trust is then relieved, and the revenue and commissions are recognized.</w:t>
      </w:r>
    </w:p>
    <w:p>
      <w:pPr>
        <w:spacing w:after="0" w:line="2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At-need Specialty Merchandise Revenue</w:t>
      </w:r>
      <w:r>
        <w:rPr>
          <w:rFonts w:ascii="Arial" w:cs="Arial" w:eastAsia="Arial" w:hAnsi="Arial"/>
          <w:sz w:val="18"/>
          <w:szCs w:val="18"/>
          <w:color w:val="auto"/>
        </w:rPr>
        <w:t>: At-need specialty merchandise revenue consists of customizable merchandise ordered from a manufacturer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markers and bases. When specialty merchandise is ordered, it can take time to manufacture and deliver the product. Revenue is deferred until the at-need merchandise is received.</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u w:val="single" w:color="auto"/>
          <w:color w:val="auto"/>
        </w:rPr>
        <w:t>Deferred Pre-need Land Revenue</w:t>
      </w:r>
      <w:r>
        <w:rPr>
          <w:rFonts w:ascii="Arial" w:cs="Arial" w:eastAsia="Arial" w:hAnsi="Arial"/>
          <w:sz w:val="18"/>
          <w:szCs w:val="18"/>
          <w:color w:val="auto"/>
        </w:rPr>
        <w:t>: Deferred pre-need revenue and corresponding commissions are deferred until 10% of the funds are received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 through regular monthly payments. Deferred pre-need land revenue is not placed in trust.</w:t>
      </w:r>
    </w:p>
    <w:p>
      <w:pPr>
        <w:spacing w:after="0" w:line="22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Complete payment of the contract does not constitute fulfillment of the performance obligation. Goods or services are deferred until such time the service is performed or merchandise is received. Pre-need contracts are required to be paid in full prior to a customer using a good or service from a pre-need contract. Goods and services from pre-need contracts can be transferred when paid in full from one owner to another. In such cases, the Company will act as an agent in transferring the requested goods and services. A transfer of goods and services does not fulfill an obligation and revenue remains deferred.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opening and closing balances of the Company’s receivables, contract assets and contract liabilities are as follows:</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3100" w:type="dxa"/>
            <w:vAlign w:val="bottom"/>
            <w:tcBorders>
              <w:bottom w:val="single" w:sz="8" w:color="auto"/>
            </w:tcBorders>
            <w:gridSpan w:val="6"/>
          </w:tcPr>
          <w:p>
            <w:pPr>
              <w:jc w:val="right"/>
              <w:ind w:right="810"/>
              <w:spacing w:after="0"/>
              <w:rPr>
                <w:sz w:val="20"/>
                <w:szCs w:val="20"/>
                <w:color w:val="auto"/>
              </w:rPr>
            </w:pPr>
            <w:r>
              <w:rPr>
                <w:rFonts w:ascii="Arial" w:cs="Arial" w:eastAsia="Arial" w:hAnsi="Arial"/>
                <w:sz w:val="18"/>
                <w:szCs w:val="18"/>
                <w:color w:val="auto"/>
              </w:rPr>
              <w:t>Contract Balances</w:t>
            </w: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w w:val="89"/>
              </w:rPr>
              <w:t>Receivables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70"/>
              <w:spacing w:after="0" w:line="201" w:lineRule="exact"/>
              <w:rPr>
                <w:sz w:val="20"/>
                <w:szCs w:val="20"/>
                <w:color w:val="auto"/>
              </w:rPr>
            </w:pPr>
            <w:r>
              <w:rPr>
                <w:rFonts w:ascii="Arial" w:cs="Arial" w:eastAsia="Arial" w:hAnsi="Arial"/>
                <w:sz w:val="18"/>
                <w:szCs w:val="18"/>
                <w:color w:val="auto"/>
                <w:w w:val="91"/>
              </w:rPr>
              <w:t>Contract</w:t>
            </w:r>
          </w:p>
        </w:tc>
        <w:tc>
          <w:tcPr>
            <w:tcW w:w="160" w:type="dxa"/>
            <w:vAlign w:val="bottom"/>
          </w:tcPr>
          <w:p>
            <w:pPr>
              <w:spacing w:after="0"/>
              <w:rPr>
                <w:sz w:val="17"/>
                <w:szCs w:val="17"/>
                <w:color w:val="auto"/>
              </w:rPr>
            </w:pPr>
          </w:p>
        </w:tc>
        <w:tc>
          <w:tcPr>
            <w:tcW w:w="900" w:type="dxa"/>
            <w:vAlign w:val="bottom"/>
          </w:tcPr>
          <w:p>
            <w:pPr>
              <w:jc w:val="right"/>
              <w:ind w:right="50"/>
              <w:spacing w:after="0" w:line="201" w:lineRule="exact"/>
              <w:rPr>
                <w:sz w:val="20"/>
                <w:szCs w:val="20"/>
                <w:color w:val="auto"/>
              </w:rPr>
            </w:pPr>
            <w:r>
              <w:rPr>
                <w:rFonts w:ascii="Arial" w:cs="Arial" w:eastAsia="Arial" w:hAnsi="Arial"/>
                <w:sz w:val="18"/>
                <w:szCs w:val="18"/>
                <w:color w:val="auto"/>
              </w:rPr>
              <w:t>Contract</w:t>
            </w:r>
          </w:p>
        </w:tc>
        <w:tc>
          <w:tcPr>
            <w:tcW w:w="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3200" w:type="dxa"/>
            <w:vAlign w:val="bottom"/>
            <w:gridSpan w:val="2"/>
          </w:tcPr>
          <w:p>
            <w:pPr>
              <w:jc w:val="right"/>
              <w:ind w:right="29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170"/>
              <w:spacing w:after="0"/>
              <w:rPr>
                <w:sz w:val="20"/>
                <w:szCs w:val="20"/>
                <w:color w:val="auto"/>
              </w:rPr>
            </w:pPr>
            <w:r>
              <w:rPr>
                <w:rFonts w:ascii="Arial" w:cs="Arial" w:eastAsia="Arial" w:hAnsi="Arial"/>
                <w:sz w:val="18"/>
                <w:szCs w:val="18"/>
                <w:color w:val="auto"/>
              </w:rPr>
              <w:t>Asset</w:t>
            </w:r>
          </w:p>
        </w:tc>
        <w:tc>
          <w:tcPr>
            <w:tcW w:w="1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Liability</w:t>
            </w:r>
          </w:p>
        </w:tc>
        <w:tc>
          <w:tcPr>
            <w:tcW w:w="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Opening (1/1/2019)</w:t>
            </w:r>
          </w:p>
        </w:tc>
        <w:tc>
          <w:tcPr>
            <w:tcW w:w="226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2,816,225</w:t>
            </w: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$12,508,625</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Closing (3/31/2019)</w:t>
            </w:r>
          </w:p>
        </w:tc>
        <w:tc>
          <w:tcPr>
            <w:tcW w:w="3200" w:type="dxa"/>
            <w:vAlign w:val="bottom"/>
            <w:gridSpan w:val="2"/>
          </w:tcPr>
          <w:p>
            <w:pPr>
              <w:jc w:val="right"/>
              <w:spacing w:after="0"/>
              <w:rPr>
                <w:sz w:val="20"/>
                <w:szCs w:val="20"/>
                <w:color w:val="auto"/>
              </w:rPr>
            </w:pPr>
            <w:r>
              <w:rPr>
                <w:rFonts w:ascii="Arial" w:cs="Arial" w:eastAsia="Arial" w:hAnsi="Arial"/>
                <w:sz w:val="18"/>
                <w:szCs w:val="18"/>
                <w:color w:val="auto"/>
              </w:rPr>
              <w:t>2,913,958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12,650,552</w:t>
            </w:r>
          </w:p>
        </w:tc>
        <w:tc>
          <w:tcPr>
            <w:tcW w:w="8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Increase/(decrease)</w:t>
            </w:r>
          </w:p>
        </w:tc>
        <w:tc>
          <w:tcPr>
            <w:tcW w:w="2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97,733</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141,927</w:t>
            </w:r>
          </w:p>
        </w:tc>
        <w:tc>
          <w:tcPr>
            <w:tcW w:w="80" w:type="dxa"/>
            <w:vAlign w:val="bottom"/>
            <w:tcBorders>
              <w:bottom w:val="single" w:sz="8" w:color="CCEEFF"/>
            </w:tcBorders>
            <w:shd w:val="clear" w:color="auto" w:fill="CCEEFF"/>
          </w:tcPr>
          <w:p>
            <w:pPr>
              <w:spacing w:after="0"/>
              <w:rPr>
                <w:sz w:val="22"/>
                <w:szCs w:val="22"/>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 Included in Receivables, net on the condensed consolidated balance sheets</w:t>
      </w:r>
    </w:p>
    <w:p>
      <w:pPr>
        <w:spacing w:after="0" w:line="26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amount of revenue recognized for the three months ended March 31, 2019 and 2018 that was included in the opening contract liability balance was $741,520 and $724,097, respectively.</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difference between the opening and closing balances of the Company’s contract assets and contract liabilities primarily results from the timing difference between the Company’s performance and the customer’s payment.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35" w:lineRule="exact"/>
        <w:rPr>
          <w:sz w:val="20"/>
          <w:szCs w:val="20"/>
          <w:color w:val="auto"/>
        </w:rPr>
      </w:pPr>
    </w:p>
    <w:p>
      <w:pPr>
        <w:ind w:left="300" w:hanging="292"/>
        <w:spacing w:after="0"/>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Revenues from Contracts with Customers</w:t>
      </w:r>
      <w:r>
        <w:rPr>
          <w:rFonts w:ascii="Arial" w:cs="Arial" w:eastAsia="Arial" w:hAnsi="Arial"/>
          <w:sz w:val="18"/>
          <w:szCs w:val="18"/>
          <w:color w:val="auto"/>
        </w:rPr>
        <w:t xml:space="preserve"> (Continued)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disaggregates revenue for the Company’s cemetery and mortuary contracts for the periods presented:</w:t>
      </w:r>
    </w:p>
    <w:p>
      <w:pPr>
        <w:spacing w:after="0" w:line="27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4"/>
          </w:tcPr>
          <w:p>
            <w:pPr>
              <w:jc w:val="right"/>
              <w:ind w:right="150"/>
              <w:spacing w:after="0"/>
              <w:rPr>
                <w:sz w:val="20"/>
                <w:szCs w:val="20"/>
                <w:color w:val="auto"/>
              </w:rPr>
            </w:pPr>
            <w:r>
              <w:rPr>
                <w:rFonts w:ascii="Arial" w:cs="Arial" w:eastAsia="Arial" w:hAnsi="Arial"/>
                <w:sz w:val="18"/>
                <w:szCs w:val="18"/>
                <w:color w:val="auto"/>
                <w:w w:val="95"/>
              </w:rPr>
              <w:t>Three Months Ended</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color w:val="auto"/>
              </w:rPr>
              <w:t>March 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04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Major goods/service lines</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94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At-need</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2,969,067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2,737,625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Pre-need</w:t>
            </w: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709,561</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495,104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46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3,678,628</w:t>
            </w: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3,232,729</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24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8"/>
              </w:rPr>
              <w:t>Timing of Revenue Recognition</w:t>
            </w:r>
          </w:p>
        </w:tc>
        <w:tc>
          <w:tcPr>
            <w:tcW w:w="46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Arial" w:cs="Arial" w:eastAsia="Arial" w:hAnsi="Arial"/>
                <w:sz w:val="18"/>
                <w:szCs w:val="18"/>
                <w:color w:val="auto"/>
              </w:rPr>
              <w:t>Goods transferred at a point in time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2,390,609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2,072,481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Services transferred at a point in time</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1,288,019</w:t>
            </w:r>
          </w:p>
        </w:tc>
        <w:tc>
          <w:tcPr>
            <w:tcW w:w="1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1,160,248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3,678,628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3,232,729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reconciles revenues from cemetery and mortuary contracts to Note 7 – Business Segment Information for the Cemetery/Mortuary Segment for the periods presented: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000" w:type="dxa"/>
            <w:vAlign w:val="bottom"/>
            <w:gridSpan w:val="3"/>
          </w:tcPr>
          <w:p>
            <w:pPr>
              <w:jc w:val="right"/>
              <w:ind w:right="15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0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March 31</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2019</w:t>
            </w:r>
          </w:p>
        </w:tc>
        <w:tc>
          <w:tcPr>
            <w:tcW w:w="1080" w:type="dxa"/>
            <w:vAlign w:val="bottom"/>
            <w:gridSpan w:val="2"/>
          </w:tcPr>
          <w:p>
            <w:pPr>
              <w:jc w:val="right"/>
              <w:ind w:right="190"/>
              <w:spacing w:after="0"/>
              <w:rPr>
                <w:sz w:val="20"/>
                <w:szCs w:val="20"/>
                <w:color w:val="auto"/>
              </w:rPr>
            </w:pPr>
            <w:r>
              <w:rPr>
                <w:rFonts w:ascii="Arial" w:cs="Arial" w:eastAsia="Arial" w:hAnsi="Arial"/>
                <w:sz w:val="18"/>
                <w:szCs w:val="18"/>
                <w:color w:val="auto"/>
              </w:rPr>
              <w:t>2018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mortuary and cemetery sales</w:t>
            </w:r>
          </w:p>
        </w:tc>
        <w:tc>
          <w:tcPr>
            <w:tcW w:w="34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3,678,628</w:t>
            </w:r>
          </w:p>
        </w:tc>
        <w:tc>
          <w:tcPr>
            <w:tcW w:w="18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$ 3,232,729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Gains on investments and other assets</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498,597</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409,088</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112,809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88,078</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Other revenues</w:t>
            </w:r>
          </w:p>
        </w:tc>
        <w:tc>
          <w:tcPr>
            <w:tcW w:w="4360" w:type="dxa"/>
            <w:vAlign w:val="bottom"/>
            <w:gridSpan w:val="2"/>
          </w:tcPr>
          <w:p>
            <w:pPr>
              <w:jc w:val="right"/>
              <w:spacing w:after="0"/>
              <w:rPr>
                <w:sz w:val="20"/>
                <w:szCs w:val="20"/>
                <w:color w:val="auto"/>
              </w:rPr>
            </w:pPr>
            <w:r>
              <w:rPr>
                <w:rFonts w:ascii="Arial" w:cs="Arial" w:eastAsia="Arial" w:hAnsi="Arial"/>
                <w:sz w:val="18"/>
                <w:szCs w:val="18"/>
                <w:color w:val="auto"/>
              </w:rPr>
              <w:t>69,251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45,850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57"/>
        </w:trPr>
        <w:tc>
          <w:tcPr>
            <w:tcW w:w="1160" w:type="dxa"/>
            <w:vAlign w:val="bottom"/>
          </w:tcPr>
          <w:p>
            <w:pPr>
              <w:spacing w:after="0"/>
              <w:rPr>
                <w:sz w:val="22"/>
                <w:szCs w:val="22"/>
                <w:color w:val="auto"/>
              </w:rPr>
            </w:pPr>
          </w:p>
        </w:tc>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3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4,359,285</w:t>
            </w:r>
          </w:p>
        </w:tc>
        <w:tc>
          <w:tcPr>
            <w:tcW w:w="1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3,775,745</w:t>
            </w:r>
          </w:p>
        </w:tc>
        <w:tc>
          <w:tcPr>
            <w:tcW w:w="80" w:type="dxa"/>
            <w:vAlign w:val="bottom"/>
            <w:tcBorders>
              <w:bottom w:val="single" w:sz="8" w:color="CCEEFF"/>
            </w:tcBorders>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603"/>
        </w:trPr>
        <w:tc>
          <w:tcPr>
            <w:tcW w:w="11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440" w:type="dxa"/>
            <w:vAlign w:val="bottom"/>
          </w:tcPr>
          <w:p>
            <w:pPr>
              <w:jc w:val="right"/>
              <w:ind w:right="2334"/>
              <w:spacing w:after="0"/>
              <w:rPr>
                <w:sz w:val="20"/>
                <w:szCs w:val="20"/>
                <w:color w:val="auto"/>
              </w:rPr>
            </w:pPr>
            <w:r>
              <w:rPr>
                <w:rFonts w:ascii="Arial" w:cs="Arial" w:eastAsia="Arial" w:hAnsi="Arial"/>
                <w:sz w:val="14"/>
                <w:szCs w:val="14"/>
                <w:color w:val="auto"/>
              </w:rPr>
              <w:t>44</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sectPr>
      </w:pPr>
    </w:p>
    <w:bookmarkStart w:id="44" w:name="page45"/>
    <w:bookmarkEnd w:id="44"/>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00" w:lineRule="exact"/>
        <w:rPr>
          <w:sz w:val="20"/>
          <w:szCs w:val="20"/>
          <w:color w:val="auto"/>
        </w:rPr>
      </w:pPr>
    </w:p>
    <w:p>
      <w:pPr>
        <w:spacing w:after="0" w:line="305" w:lineRule="exact"/>
        <w:rPr>
          <w:sz w:val="20"/>
          <w:szCs w:val="20"/>
          <w:color w:val="auto"/>
        </w:rPr>
      </w:pPr>
    </w:p>
    <w:p>
      <w:pPr>
        <w:ind w:left="340" w:hanging="332"/>
        <w:spacing w:after="0"/>
        <w:tabs>
          <w:tab w:leader="none" w:pos="340"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Acquisitions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Probst Family Funerals and Cremations and Heber Valley Funeral Home</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15, 2019, the Company, through its wholly-owned subsidiary, Memorial Mortuary Inc., completed an asset purchase transaction with Probst Family Funerals and Cremations, LLC. (“Probst Family Funerals”) and Heber Valley Funeral Home, Inc. (“Heber Valley Funeral Home”). These funeral homes are both located in Heber Valley, a community situated about 45 miles southeast of Salt Lake City. For the year ended December 31, 2018, Probst Family Funerals and Heber Valley Funeral Home had combined revenues of $1,055,634 and a combined net pre-tax income of $179,613. As of December 31, 2018, Probst Family Funerals and Heber Valley Funeral Home had combined assets of $1,161,029 and a combined total equity of $18,052.</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transaction, as set forth in the Asset Purchase Agreement, dated February 15, 2019, by and among SN Probst, a wholly owned subsidiary of Memorial Mortuary, and Probst Family Funerals, Heber Valley Funeral Home, Joe T. Probst, Clinton Wayne Probst, Calle J. Probst, and Marsha L. Probst, Memorial Mortuary, through its wholly owned subsidiary SN Probst, paid a net purchase price of $3,315,647 for the business and assets of Probst Family Funerals and Heber Valley Funeral Home, subject to a $150,000 holdback. At the closing, Probst Funeral Homes and Heber Valley Funeral Home paid off the $907,407 principal balance and $4,340 in interest on a loan at Zions Bank that was secured by the Heber Valley Funeral Home. Also, at the closing, Probst Funeral Homes and Heber Valley Funeral Home paid off the $157,148 loan with Utah Community Credit Union and the $32,987 line of credit with Zions Bank.</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The estimated fair values of the assets acquired and liabilities assumed as of the date of acquisition were as follows: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160" w:type="dxa"/>
            <w:vAlign w:val="bottom"/>
            <w:vMerge w:val="restart"/>
          </w:tcPr>
          <w:p>
            <w:pPr>
              <w:spacing w:after="0"/>
              <w:rPr>
                <w:sz w:val="23"/>
                <w:szCs w:val="23"/>
                <w:color w:val="auto"/>
              </w:rPr>
            </w:pPr>
          </w:p>
        </w:tc>
        <w:tc>
          <w:tcPr>
            <w:tcW w:w="8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2,475,526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Receivables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750,745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25,073</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Total assets acquired</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3,318,823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8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Bank and other loans payable</w:t>
            </w:r>
          </w:p>
        </w:tc>
        <w:tc>
          <w:tcPr>
            <w:tcW w:w="14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(3,176)</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8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assumed</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Fair value of net assets acquired/consideration paid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3,315,647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estimated fair values of buildings, land and warehouses included in property and equipment are based on independent appraisals using a sales comparison approach which are considered to be Level 3 under the fair value hierarchy. The Company determined that the estimated fair value of the remaining assets and liabilities acquired approximated their book values. The fair value of assets acquired and liabilities assumed are subject to adjustment during the first twelve months after the acquisition date if additional information becomes available to indicate a more accurate or appropriate value for an asset or liability.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35" w:lineRule="exact"/>
        <w:rPr>
          <w:sz w:val="20"/>
          <w:szCs w:val="20"/>
          <w:color w:val="auto"/>
        </w:rPr>
      </w:pPr>
    </w:p>
    <w:p>
      <w:pPr>
        <w:ind w:left="300" w:hanging="292"/>
        <w:spacing w:after="0"/>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Acquisitions</w:t>
      </w:r>
      <w:r>
        <w:rPr>
          <w:rFonts w:ascii="Arial" w:cs="Arial" w:eastAsia="Arial" w:hAnsi="Arial"/>
          <w:sz w:val="18"/>
          <w:szCs w:val="18"/>
          <w:color w:val="auto"/>
        </w:rPr>
        <w:t xml:space="preserve"> (Continued)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Beta Capital Corp</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1, 2018, the Company completed a stock purchase transaction with Beta Capital Corp. ("Beta Capital") and Ronald D. Maxson ("Maxson"), the sole owner of all the outstanding shares of common stock of Beta Capital, to purchase all of the outstanding shares of common stock of Beta Capital. Beta Capital is engaged in the operation of a factoring business with the principal purpose of providing funding for funeral homes and mortuaries.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transaction, as set forth in the Stock Purchase Agreement dated June 1, 2018, by and among the Company, Beta Capital and Maxson, the Company paid Maxson the purchase consideration at the closing of the transaction equal to the sum of (i) $890,000 in cash plus (ii) the accounts receivable value of $2,515,783, representing the total amount of the Company's outstanding receivables as of the closing date of June 1, 2018, for a total closing payment of $3,405,783. From the $3,405,783 closing payment, a holdback amount equal to $175,000 was deposited into an interest bearing escrow account to be held for a period of eighteen months from the closing date to pay off any uncollected accounts receivable and other liabilities of Beta Capital as of the closing date.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the assets acquired as of the date of acquisition were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 - insurance assignments</w:t>
            </w:r>
          </w:p>
        </w:tc>
        <w:tc>
          <w:tcPr>
            <w:tcW w:w="4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2,515,783</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 customer list intangible asset</w:t>
            </w:r>
          </w:p>
        </w:tc>
        <w:tc>
          <w:tcPr>
            <w:tcW w:w="40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890,000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40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3,405,783</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8"/>
              </w:rPr>
              <w:t>Fair value of net assets acquired/consideration paid</w:t>
            </w:r>
          </w:p>
        </w:tc>
        <w:tc>
          <w:tcPr>
            <w:tcW w:w="41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3,405,783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6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4040" w:type="dxa"/>
            <w:vAlign w:val="bottom"/>
            <w:vMerge w:val="restart"/>
          </w:tcPr>
          <w:p>
            <w:pPr>
              <w:jc w:val="right"/>
              <w:ind w:right="3416"/>
              <w:spacing w:after="0"/>
              <w:rPr>
                <w:sz w:val="20"/>
                <w:szCs w:val="20"/>
                <w:color w:val="auto"/>
              </w:rPr>
            </w:pPr>
            <w:r>
              <w:rPr>
                <w:rFonts w:ascii="Arial" w:cs="Arial" w:eastAsia="Arial" w:hAnsi="Arial"/>
                <w:sz w:val="14"/>
                <w:szCs w:val="14"/>
                <w:color w:val="auto"/>
              </w:rPr>
              <w:t>46</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6"/>
        </w:trPr>
        <w:tc>
          <w:tcPr>
            <w:tcW w:w="11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408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46" w:name="page47"/>
    <w:bookmarkEnd w:id="46"/>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35" w:lineRule="exact"/>
        <w:rPr>
          <w:sz w:val="20"/>
          <w:szCs w:val="20"/>
          <w:color w:val="auto"/>
        </w:rPr>
      </w:pPr>
    </w:p>
    <w:p>
      <w:pPr>
        <w:ind w:left="380" w:hanging="372"/>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 2019, the Company adopted Accounting Standards Update No. 2016-02 regarding Leases ASC Topic 842. See Note 2 of the Notes to Condensed Consolidated Financial Statements regarding the adoption of this standard.</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lease is defined as a contract, or part of a contract, that conveys the right to control the use of identified property, plant, or equipment (an identified asset) for a period of time in exchange for consideration. The Company determines if a contract is a lease at the inception of the contract. At the commencement date of a lease, the Company measures the lease liability at the present value of the lease payments over the lease term, discounted using the discount rate for the lease. The Company uses the rate implicit in the lease, if available, otherwise the Company uses its incremental borrowing rate. Also, at the commencement date of a lease, the Company measures the cost of the related right-of-use asset which consists of the amount of the initial measurement of the lease liability, any lease payments made to the lessor at or before the commencement date, minus any lease incentives received and any initial direct costs incurred by the Company.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the Nature of Leases and Subleases</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leases office space and equipment from third-parties under various non-cancelable agreements. The Company has operating leases for office space for its segments in areas where it conducts business. The Company subleases some of this office space. The Company also has finance leases for certain equipment, such as copy machines and postage machines. The Company does not have any lease agreements with variable lease payments. The Company has not included any options to extend or terminate leases in the recognition of the right-of-use assets or lease liabilities because of the uncertainty that they will be exercised. No residual value guarantees have been provided to the Company. The Company does not have any restrictions or covenants imposed by leases.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 that have not Commenced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leases that have not commenced that create significant rights or obligations for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Lease Transactions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related party lease transactions that require disclosure as of March 31,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Leases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made an accounting policy election not to apply the recognition requirements of ASC 842 to short-term leases, which are leases that, at the commencement date, have a lease term of 12 months or less and do not include an option to purchase the underlying assets that the lessee is reasonably certain to exercise.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Judgments and Assumptions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use any significant judgments or assumptions regarding the determination of whether a contract contains a lease; the allocation of the consideration in a contract between lease and nonlease components; or the determination of the discount rates for the leases.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Leases</w:t>
      </w:r>
      <w:r>
        <w:rPr>
          <w:rFonts w:ascii="Arial" w:cs="Arial" w:eastAsia="Arial" w:hAnsi="Arial"/>
          <w:sz w:val="18"/>
          <w:szCs w:val="18"/>
          <w:color w:val="auto"/>
        </w:rPr>
        <w:t xml:space="preserve"> (Continued)</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the Company’s total lease cost recognized in earnings, amounts capitalized as right-of- use assets and cash flows from lease transactions for the period presented:</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Three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2019</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60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Lease Cost</w:t>
            </w: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Finance lease cost:</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right-of-use assets (1)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20"/>
              <w:spacing w:after="0"/>
              <w:rPr>
                <w:sz w:val="20"/>
                <w:szCs w:val="20"/>
                <w:color w:val="auto"/>
              </w:rPr>
            </w:pPr>
            <w:r>
              <w:rPr>
                <w:rFonts w:ascii="Arial" w:cs="Arial" w:eastAsia="Arial" w:hAnsi="Arial"/>
                <w:sz w:val="18"/>
                <w:szCs w:val="18"/>
                <w:color w:val="auto"/>
              </w:rPr>
              <w:t>Interest on lease liabilities (2)</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 (3)</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1,532,256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Short-term lease cost (3)(4)</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40,676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Sublease income (3)</w:t>
            </w: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(167,071)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w:t>
            </w:r>
          </w:p>
        </w:tc>
        <w:tc>
          <w:tcPr>
            <w:tcW w:w="14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1,440,569</w:t>
            </w:r>
          </w:p>
        </w:tc>
        <w:tc>
          <w:tcPr>
            <w:tcW w:w="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1,472,852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20"/>
              <w:spacing w:after="0"/>
              <w:rPr>
                <w:sz w:val="20"/>
                <w:szCs w:val="20"/>
                <w:color w:val="auto"/>
              </w:rPr>
            </w:pPr>
            <w:r>
              <w:rPr>
                <w:rFonts w:ascii="Arial" w:cs="Arial" w:eastAsia="Arial" w:hAnsi="Arial"/>
                <w:sz w:val="18"/>
                <w:szCs w:val="18"/>
                <w:color w:val="auto"/>
              </w:rPr>
              <w:t>Operating leases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11,931,889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Finance leases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remaining lease term (in years)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discount rate</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20"/>
              <w:spacing w:after="0"/>
              <w:rPr>
                <w:sz w:val="20"/>
                <w:szCs w:val="20"/>
                <w:color w:val="auto"/>
              </w:rPr>
            </w:pPr>
            <w:r>
              <w:rPr>
                <w:rFonts w:ascii="Arial" w:cs="Arial" w:eastAsia="Arial" w:hAnsi="Arial"/>
                <w:sz w:val="18"/>
                <w:szCs w:val="18"/>
                <w:color w:val="auto"/>
              </w:rPr>
              <w:t>Finance leases</w:t>
            </w: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1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________________________________</w:t>
      </w:r>
    </w:p>
    <w:p>
      <w:pPr>
        <w:spacing w:after="0" w:line="23" w:lineRule="exact"/>
        <w:rPr>
          <w:sz w:val="20"/>
          <w:szCs w:val="20"/>
          <w:color w:val="auto"/>
        </w:rPr>
      </w:pPr>
    </w:p>
    <w:p>
      <w:pPr>
        <w:ind w:left="1400" w:hanging="251"/>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Included in Depreciation on property and equipment on the condensed consolidated statements of earnings</w:t>
      </w:r>
    </w:p>
    <w:p>
      <w:pPr>
        <w:spacing w:after="0" w:line="9" w:lineRule="exact"/>
        <w:rPr>
          <w:rFonts w:ascii="Arial" w:cs="Arial" w:eastAsia="Arial" w:hAnsi="Arial"/>
          <w:sz w:val="18"/>
          <w:szCs w:val="18"/>
          <w:color w:val="auto"/>
        </w:rPr>
      </w:pPr>
    </w:p>
    <w:p>
      <w:pPr>
        <w:ind w:left="1400" w:hanging="251"/>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Included in Interest expense on the condensed consolidated statements of earnings</w:t>
      </w:r>
    </w:p>
    <w:p>
      <w:pPr>
        <w:spacing w:after="0" w:line="9" w:lineRule="exact"/>
        <w:rPr>
          <w:rFonts w:ascii="Arial" w:cs="Arial" w:eastAsia="Arial" w:hAnsi="Arial"/>
          <w:sz w:val="18"/>
          <w:szCs w:val="18"/>
          <w:color w:val="auto"/>
        </w:rPr>
      </w:pPr>
    </w:p>
    <w:p>
      <w:pPr>
        <w:ind w:left="1400" w:hanging="251"/>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Included in Rent and rent related expenses on the condensed consolidated statements of earnings</w:t>
      </w:r>
    </w:p>
    <w:p>
      <w:pPr>
        <w:spacing w:after="0" w:line="9" w:lineRule="exact"/>
        <w:rPr>
          <w:rFonts w:ascii="Arial" w:cs="Arial" w:eastAsia="Arial" w:hAnsi="Arial"/>
          <w:sz w:val="18"/>
          <w:szCs w:val="18"/>
          <w:color w:val="auto"/>
        </w:rPr>
      </w:pPr>
    </w:p>
    <w:p>
      <w:pPr>
        <w:ind w:left="1400" w:hanging="251"/>
        <w:spacing w:after="0"/>
        <w:tabs>
          <w:tab w:leader="none" w:pos="14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leases with a term of 12 months or less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8" w:name="page49"/>
    <w:bookmarkEnd w:id="48"/>
    <w:p>
      <w:pPr>
        <w:jc w:val="center"/>
        <w:spacing w:after="0" w:line="264" w:lineRule="auto"/>
        <w:rPr>
          <w:sz w:val="20"/>
          <w:szCs w:val="20"/>
          <w:color w:val="auto"/>
        </w:rPr>
      </w:pPr>
      <w:r>
        <w:rPr>
          <w:rFonts w:ascii="Arial" w:cs="Arial" w:eastAsia="Arial" w:hAnsi="Arial"/>
          <w:sz w:val="18"/>
          <w:szCs w:val="18"/>
          <w:color w:val="auto"/>
        </w:rPr>
        <w:t>SECURITY NATIONAL FINANCIAL CORPORATION AND SUBSIDIARIES Notes to Condensed Consolidated Financial Statements March 31, 2019 (Unaudited)</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Leases</w:t>
      </w:r>
      <w:r>
        <w:rPr>
          <w:rFonts w:ascii="Arial" w:cs="Arial" w:eastAsia="Arial" w:hAnsi="Arial"/>
          <w:sz w:val="18"/>
          <w:szCs w:val="18"/>
          <w:color w:val="auto"/>
        </w:rPr>
        <w:t xml:space="preserve">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maturity analysis of the Company’s lease liabilities.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5"/>
          </w:tcPr>
          <w:p>
            <w:pPr>
              <w:ind w:left="1140"/>
              <w:spacing w:after="0"/>
              <w:rPr>
                <w:sz w:val="20"/>
                <w:szCs w:val="20"/>
                <w:color w:val="auto"/>
              </w:rPr>
            </w:pPr>
            <w:r>
              <w:rPr>
                <w:rFonts w:ascii="Arial" w:cs="Arial" w:eastAsia="Arial" w:hAnsi="Arial"/>
                <w:sz w:val="18"/>
                <w:szCs w:val="18"/>
                <w:b w:val="1"/>
                <w:bCs w:val="1"/>
                <w:color w:val="auto"/>
              </w:rPr>
              <w:t>Maturity Analysis of Lease Liabilities</w:t>
            </w:r>
          </w:p>
        </w:tc>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w w:val="93"/>
              </w:rPr>
              <w:t>Finance</w:t>
            </w:r>
          </w:p>
        </w:tc>
        <w:tc>
          <w:tcPr>
            <w:tcW w:w="180" w:type="dxa"/>
            <w:vAlign w:val="bottom"/>
          </w:tcPr>
          <w:p>
            <w:pPr>
              <w:spacing w:after="0"/>
              <w:rPr>
                <w:sz w:val="20"/>
                <w:szCs w:val="20"/>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1"/>
              </w:rPr>
              <w:t>Operating</w:t>
            </w: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6"/>
              </w:rPr>
              <w:t>Leases</w:t>
            </w:r>
          </w:p>
        </w:tc>
        <w:tc>
          <w:tcPr>
            <w:tcW w:w="18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Leases</w:t>
            </w:r>
          </w:p>
        </w:tc>
        <w:tc>
          <w:tcPr>
            <w:tcW w:w="0" w:type="dxa"/>
            <w:vAlign w:val="bottom"/>
          </w:tcPr>
          <w:p>
            <w:pPr>
              <w:spacing w:after="0"/>
              <w:rPr>
                <w:sz w:val="1"/>
                <w:szCs w:val="1"/>
                <w:color w:val="auto"/>
              </w:rPr>
            </w:pPr>
          </w:p>
        </w:tc>
      </w:tr>
      <w:tr>
        <w:trPr>
          <w:trHeight w:val="216"/>
        </w:trPr>
        <w:tc>
          <w:tcPr>
            <w:tcW w:w="4600" w:type="dxa"/>
            <w:vAlign w:val="bottom"/>
            <w:gridSpan w:val="5"/>
          </w:tcPr>
          <w:p>
            <w:pPr>
              <w:ind w:left="1140"/>
              <w:spacing w:after="0"/>
              <w:rPr>
                <w:sz w:val="20"/>
                <w:szCs w:val="20"/>
                <w:color w:val="auto"/>
              </w:rPr>
            </w:pPr>
            <w:r>
              <w:rPr>
                <w:rFonts w:ascii="Arial" w:cs="Arial" w:eastAsia="Arial" w:hAnsi="Arial"/>
                <w:sz w:val="18"/>
                <w:szCs w:val="18"/>
                <w:color w:val="auto"/>
              </w:rPr>
              <w:t>Lease payments due in:</w:t>
            </w:r>
          </w:p>
        </w:tc>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Remainder of 2019</w:t>
            </w:r>
          </w:p>
        </w:tc>
        <w:tc>
          <w:tcPr>
            <w:tcW w:w="3720" w:type="dxa"/>
            <w:vAlign w:val="bottom"/>
            <w:gridSpan w:val="3"/>
            <w:shd w:val="clear" w:color="auto" w:fill="CCEEFF"/>
          </w:tcPr>
          <w:p>
            <w:pPr>
              <w:ind w:left="35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71,007</w:t>
            </w: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3,978,317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62,357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3,401,717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41,235</w:t>
            </w: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1,841,369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27,474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806,858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22,566</w:t>
            </w: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5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2,339,369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undiscounted lease payments</w:t>
            </w:r>
          </w:p>
        </w:tc>
        <w:tc>
          <w:tcPr>
            <w:tcW w:w="580" w:type="dxa"/>
            <w:vAlign w:val="bottom"/>
            <w:tcBorders>
              <w:bottom w:val="single" w:sz="8" w:color="CCEEFF"/>
            </w:tcBorders>
            <w:shd w:val="clear" w:color="auto" w:fill="CCEEFF"/>
          </w:tcPr>
          <w:p>
            <w:pPr>
              <w:spacing w:after="0"/>
              <w:rPr>
                <w:sz w:val="19"/>
                <w:szCs w:val="19"/>
                <w:color w:val="auto"/>
              </w:rPr>
            </w:pPr>
          </w:p>
        </w:tc>
        <w:tc>
          <w:tcPr>
            <w:tcW w:w="30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225,795</w:t>
            </w: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right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13,054,328</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Less: Discount on cash flows</w:t>
            </w:r>
          </w:p>
        </w:tc>
        <w:tc>
          <w:tcPr>
            <w:tcW w:w="5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(19,749)</w:t>
            </w:r>
          </w:p>
        </w:tc>
        <w:tc>
          <w:tcPr>
            <w:tcW w:w="1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(2,504,322)</w:t>
            </w:r>
          </w:p>
        </w:tc>
        <w:tc>
          <w:tcPr>
            <w:tcW w:w="0" w:type="dxa"/>
            <w:vAlign w:val="bottom"/>
          </w:tcPr>
          <w:p>
            <w:pPr>
              <w:spacing w:after="0"/>
              <w:rPr>
                <w:sz w:val="1"/>
                <w:szCs w:val="1"/>
                <w:color w:val="auto"/>
              </w:rPr>
            </w:pPr>
          </w:p>
        </w:tc>
      </w:tr>
      <w:tr>
        <w:trPr>
          <w:trHeight w:val="257"/>
        </w:trPr>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580" w:type="dxa"/>
            <w:vAlign w:val="bottom"/>
            <w:tcBorders>
              <w:bottom w:val="single" w:sz="8" w:color="CCEEFF"/>
            </w:tcBorders>
            <w:shd w:val="clear" w:color="auto" w:fill="CCEEFF"/>
          </w:tcPr>
          <w:p>
            <w:pPr>
              <w:spacing w:after="0"/>
              <w:rPr>
                <w:sz w:val="22"/>
                <w:szCs w:val="22"/>
                <w:color w:val="auto"/>
              </w:rPr>
            </w:pPr>
          </w:p>
        </w:tc>
        <w:tc>
          <w:tcPr>
            <w:tcW w:w="30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206,046</w:t>
            </w:r>
          </w:p>
        </w:tc>
        <w:tc>
          <w:tcPr>
            <w:tcW w:w="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10,550,006</w:t>
            </w: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8320" w:type="dxa"/>
            <w:vAlign w:val="bottom"/>
            <w:gridSpan w:val="8"/>
          </w:tcPr>
          <w:p>
            <w:pPr>
              <w:spacing w:after="0"/>
              <w:rPr>
                <w:sz w:val="20"/>
                <w:szCs w:val="20"/>
                <w:color w:val="auto"/>
              </w:rPr>
            </w:pPr>
            <w:r>
              <w:rPr>
                <w:rFonts w:ascii="Arial" w:cs="Arial" w:eastAsia="Arial" w:hAnsi="Arial"/>
                <w:sz w:val="18"/>
                <w:szCs w:val="18"/>
                <w:color w:val="auto"/>
                <w:w w:val="96"/>
              </w:rPr>
              <w:t>The following table presents the Company’s right-of-use assets and lease liabilities for the period presented:</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As of</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March 31</w:t>
            </w: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3720" w:type="dxa"/>
            <w:vAlign w:val="bottom"/>
            <w:gridSpan w:val="3"/>
          </w:tcPr>
          <w:p>
            <w:pPr>
              <w:ind w:left="580"/>
              <w:spacing w:after="0"/>
              <w:rPr>
                <w:sz w:val="20"/>
                <w:szCs w:val="20"/>
                <w:color w:val="auto"/>
              </w:rPr>
            </w:pPr>
            <w:r>
              <w:rPr>
                <w:rFonts w:ascii="Arial" w:cs="Arial" w:eastAsia="Arial" w:hAnsi="Arial"/>
                <w:sz w:val="18"/>
                <w:szCs w:val="18"/>
                <w:color w:val="auto"/>
              </w:rPr>
              <w:t>Balance Sheet Location</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center"/>
              <w:ind w:right="10"/>
              <w:spacing w:after="0"/>
              <w:rPr>
                <w:sz w:val="20"/>
                <w:szCs w:val="20"/>
                <w:color w:val="auto"/>
              </w:rPr>
            </w:pPr>
            <w:r>
              <w:rPr>
                <w:rFonts w:ascii="Arial" w:cs="Arial" w:eastAsia="Arial" w:hAnsi="Arial"/>
                <w:sz w:val="18"/>
                <w:szCs w:val="18"/>
                <w:color w:val="auto"/>
                <w:w w:val="89"/>
              </w:rPr>
              <w:t>2019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600" w:type="dxa"/>
            <w:vAlign w:val="bottom"/>
            <w:gridSpan w:val="5"/>
          </w:tcPr>
          <w:p>
            <w:pPr>
              <w:ind w:left="1140"/>
              <w:spacing w:after="0" w:line="176" w:lineRule="exact"/>
              <w:rPr>
                <w:sz w:val="20"/>
                <w:szCs w:val="20"/>
                <w:color w:val="auto"/>
              </w:rPr>
            </w:pPr>
            <w:r>
              <w:rPr>
                <w:rFonts w:ascii="Arial" w:cs="Arial" w:eastAsia="Arial" w:hAnsi="Arial"/>
                <w:sz w:val="18"/>
                <w:szCs w:val="18"/>
                <w:b w:val="1"/>
                <w:bCs w:val="1"/>
                <w:color w:val="auto"/>
              </w:rPr>
              <w:t>Operating Leases</w:t>
            </w:r>
          </w:p>
        </w:tc>
        <w:tc>
          <w:tcPr>
            <w:tcW w:w="580" w:type="dxa"/>
            <w:vAlign w:val="bottom"/>
          </w:tcPr>
          <w:p>
            <w:pPr>
              <w:spacing w:after="0"/>
              <w:rPr>
                <w:sz w:val="15"/>
                <w:szCs w:val="15"/>
                <w:color w:val="auto"/>
              </w:rPr>
            </w:pPr>
          </w:p>
        </w:tc>
        <w:tc>
          <w:tcPr>
            <w:tcW w:w="30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16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37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Other assets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10,494,641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3720" w:type="dxa"/>
            <w:vAlign w:val="bottom"/>
            <w:gridSpan w:val="3"/>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372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Other liabilities and accrued expenses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10,550,006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1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4"/>
              </w:rPr>
              <w:t>Finance Leases</w:t>
            </w:r>
          </w:p>
        </w:tc>
        <w:tc>
          <w:tcPr>
            <w:tcW w:w="2280" w:type="dxa"/>
            <w:vAlign w:val="bottom"/>
            <w:tcBorders>
              <w:bottom w:val="single" w:sz="8" w:color="CCEEFF"/>
            </w:tcBorders>
            <w:gridSpan w:val="2"/>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right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Right-of-use assets</w:t>
            </w:r>
          </w:p>
        </w:tc>
        <w:tc>
          <w:tcPr>
            <w:tcW w:w="5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238,336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amortization</w:t>
            </w:r>
          </w:p>
        </w:tc>
        <w:tc>
          <w:tcPr>
            <w:tcW w:w="5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(32,835)</w:t>
            </w: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Right-of-use assets, net</w:t>
            </w:r>
          </w:p>
        </w:tc>
        <w:tc>
          <w:tcPr>
            <w:tcW w:w="3720" w:type="dxa"/>
            <w:vAlign w:val="bottom"/>
            <w:gridSpan w:val="3"/>
          </w:tcPr>
          <w:p>
            <w:pPr>
              <w:ind w:left="580"/>
              <w:spacing w:after="0"/>
              <w:rPr>
                <w:sz w:val="20"/>
                <w:szCs w:val="20"/>
                <w:color w:val="auto"/>
              </w:rPr>
            </w:pPr>
            <w:r>
              <w:rPr>
                <w:rFonts w:ascii="Arial" w:cs="Arial" w:eastAsia="Arial" w:hAnsi="Arial"/>
                <w:sz w:val="18"/>
                <w:szCs w:val="18"/>
                <w:color w:val="auto"/>
              </w:rPr>
              <w:t>Property and equipment, net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205,501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3720" w:type="dxa"/>
            <w:vAlign w:val="bottom"/>
            <w:gridSpan w:val="3"/>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3440" w:type="dxa"/>
            <w:vAlign w:val="bottom"/>
            <w:gridSpan w:val="3"/>
          </w:tcPr>
          <w:p>
            <w:pPr>
              <w:spacing w:after="0"/>
              <w:rPr>
                <w:sz w:val="20"/>
                <w:szCs w:val="20"/>
                <w:color w:val="auto"/>
              </w:rPr>
            </w:pPr>
            <w:r>
              <w:rPr>
                <w:rFonts w:ascii="Arial" w:cs="Arial" w:eastAsia="Arial" w:hAnsi="Arial"/>
                <w:sz w:val="18"/>
                <w:szCs w:val="18"/>
                <w:color w:val="auto"/>
              </w:rPr>
              <w:t>Lease liabilities</w:t>
            </w:r>
          </w:p>
        </w:tc>
        <w:tc>
          <w:tcPr>
            <w:tcW w:w="3720" w:type="dxa"/>
            <w:vAlign w:val="bottom"/>
            <w:gridSpan w:val="3"/>
          </w:tcPr>
          <w:p>
            <w:pPr>
              <w:ind w:left="580"/>
              <w:spacing w:after="0"/>
              <w:rPr>
                <w:sz w:val="20"/>
                <w:szCs w:val="20"/>
                <w:color w:val="auto"/>
              </w:rPr>
            </w:pPr>
            <w:r>
              <w:rPr>
                <w:rFonts w:ascii="Arial" w:cs="Arial" w:eastAsia="Arial" w:hAnsi="Arial"/>
                <w:sz w:val="18"/>
                <w:szCs w:val="18"/>
                <w:color w:val="auto"/>
              </w:rPr>
              <w:t>Bank and other loans payable</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206,046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also a lessor and has operating lease agreements with various tenants that lease its commercial and residential properties. See Note 3 of the Notes to Condensed Consolidated Financial Statements for information about the Company’s real estate held for investment.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operations over the last several years generally reflect three trends or events which the Company expects to continue: (i) increased attention to “niche” insurance products, such as the Company’s funeral plan policies and traditional whole life products; (ii) emphasis on cemetery and mortuary business; and (iii) capitalizing on an improving housing market by originating mortgage loans.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Operations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life insurance business includes funeral plans and interest-sensitive life insurance, as well as other traditional life, accident and health insurance products. The Company places specific marketing emphasis on funeral plans through pre-need planning.</w:t>
      </w:r>
    </w:p>
    <w:p>
      <w:pPr>
        <w:spacing w:after="0" w:line="2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funeral plan is a small face value life insurance policy that generally has face coverage of up to $25,000. The Company believes that funeral plans represent a marketing niche that is less competitive because most insurance companies do not offer similar coverage. The purpose of the funeral plan policy is to pay the costs and expenses incurred at the time of a person’s death. On a per thousand-dollar cost of insurance basis, these policies can be more expensive to the policyholder than many types of non-burial insurance due to their low face amount, requiring the fixed cost of the policy administration to be distributed over a smaller policy size, and the simplified underwriting practices that result in higher mortality costs.</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shows the condensed financial results of the insurance operations for three months ended March 31, 2019 and 2018. See Note 7 to the condensed consolidated financial statements.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7"/>
          </w:tcPr>
          <w:p>
            <w:pPr>
              <w:jc w:val="center"/>
              <w:ind w:right="400"/>
              <w:spacing w:after="0"/>
              <w:rPr>
                <w:sz w:val="20"/>
                <w:szCs w:val="20"/>
                <w:color w:val="auto"/>
              </w:rPr>
            </w:pPr>
            <w:r>
              <w:rPr>
                <w:rFonts w:ascii="Arial" w:cs="Arial" w:eastAsia="Arial" w:hAnsi="Arial"/>
                <w:sz w:val="18"/>
                <w:szCs w:val="18"/>
                <w:color w:val="auto"/>
                <w:w w:val="90"/>
              </w:rPr>
              <w:t>Three months 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7"/>
          </w:tcPr>
          <w:p>
            <w:pPr>
              <w:jc w:val="center"/>
              <w:ind w:right="400"/>
              <w:spacing w:after="0"/>
              <w:rPr>
                <w:sz w:val="20"/>
                <w:szCs w:val="20"/>
                <w:color w:val="auto"/>
              </w:rPr>
            </w:pPr>
            <w:r>
              <w:rPr>
                <w:rFonts w:ascii="Arial" w:cs="Arial" w:eastAsia="Arial" w:hAnsi="Arial"/>
                <w:sz w:val="18"/>
                <w:szCs w:val="18"/>
                <w:color w:val="auto"/>
                <w:w w:val="90"/>
              </w:rPr>
              <w:t>(in thousands of dollars)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1"/>
              </w:rPr>
              <w:t>% Increase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center"/>
              <w:ind w:right="90"/>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(Decrease)</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Insurance premiums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19,027</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18,810</w:t>
            </w:r>
          </w:p>
        </w:tc>
        <w:tc>
          <w:tcPr>
            <w:tcW w:w="12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9,778</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Gains on investments and other assets</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412</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30,505</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50,860</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Intersegment revenue</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895</w:t>
            </w:r>
          </w:p>
        </w:tc>
        <w:tc>
          <w:tcPr>
            <w:tcW w:w="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819</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23,712</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Intersegment revenues are primarily interest income from the warehouse line provided to SecurityNational Mortgage Company (“SecurityNational Mortgage”). Profitability in the three months ended March 31, 2019 has decreased due to the $22,252,000 gain that was realized on the sale of Dry Creek at East Village Apartments in the first quarter of 2018.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Cemetery and Mortuary Operations</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sells mortuary services and products through its eight mortuaries in Utah. The Company also sells cemetery products and services through its five cemeteries in Utah and one cemetery in San Diego County, California. At-need product sales and services are recognized as revenue when the services are performed or when the products are delivered. Pre-need cemetery product sales are deferred until the merchandise is delivered and services performed. Recognition of revenue for cemetery land sales occurs when 10% of the purchase price is received.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8"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color w:val="auto"/>
        </w:rPr>
        <w:t>The following table shows the condensed financial results of the cemetery and mortuary operations for the three months ended March 31, 2019 and 2018. See Note 7 to the condensed consolidated financial statements.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7"/>
          </w:tcPr>
          <w:p>
            <w:pPr>
              <w:jc w:val="center"/>
              <w:ind w:right="360"/>
              <w:spacing w:after="0"/>
              <w:rPr>
                <w:sz w:val="20"/>
                <w:szCs w:val="20"/>
                <w:color w:val="auto"/>
              </w:rPr>
            </w:pPr>
            <w:r>
              <w:rPr>
                <w:rFonts w:ascii="Arial" w:cs="Arial" w:eastAsia="Arial" w:hAnsi="Arial"/>
                <w:sz w:val="18"/>
                <w:szCs w:val="18"/>
                <w:color w:val="auto"/>
                <w:w w:val="89"/>
              </w:rPr>
              <w:t>Three months 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gridSpan w:val="7"/>
          </w:tcPr>
          <w:p>
            <w:pPr>
              <w:jc w:val="center"/>
              <w:ind w:right="360"/>
              <w:spacing w:after="0"/>
              <w:rPr>
                <w:sz w:val="20"/>
                <w:szCs w:val="20"/>
                <w:color w:val="auto"/>
              </w:rPr>
            </w:pPr>
            <w:r>
              <w:rPr>
                <w:rFonts w:ascii="Arial" w:cs="Arial" w:eastAsia="Arial" w:hAnsi="Arial"/>
                <w:sz w:val="18"/>
                <w:szCs w:val="18"/>
                <w:color w:val="auto"/>
                <w:w w:val="91"/>
              </w:rPr>
              <w:t>(in thousands of dollars)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8"/>
              </w:rPr>
              <w:t>% Increase</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center"/>
              <w:ind w:right="90"/>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(Decrease)</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Mortuary revenues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Cemetery revenues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1,842</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Gains on investments and other assets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409</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6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160"/>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4,359</w:t>
            </w:r>
          </w:p>
        </w:tc>
        <w:tc>
          <w:tcPr>
            <w:tcW w:w="34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3,776</w:t>
            </w:r>
          </w:p>
        </w:tc>
        <w:tc>
          <w:tcPr>
            <w:tcW w:w="120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Net investment income was rental income from residential and commercial properties purchased from Security National Life. Memorial Estates purchased these properties from financing provided by Security National Life. The rental income is offset by property insurance, taxes, maintenance expenses and depreciation. Memorial Estates has recorded depreciation on these properties of $134,000 and $154,000 for the three months ended March 31, 2019 and 2018, respectively. Profitability in the three months ended March 31, 2019 has increased due to increases in cemetery preneed sales and mortuary at-need sales.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Mortgage Operations</w:t>
      </w:r>
    </w:p>
    <w:p>
      <w:pPr>
        <w:spacing w:after="0" w:line="28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wholly owned subsidiaries, SecurityNational Mortgage and EverLEND Mortgage Company (formerly known as Green Street Mortgage Services, Inc.), are mortgage lenders incorporated under the laws of the State of Utah and approved and regulated by the Federal Housing Administration (FHA), a department of the U.S. Department of Housing and Urban Development (HUD), which originate mortgage loans that qualify for government insurance in the event of default by the borrower, in addition to various conventional mortgage loan products. SecurityNational Mortgage and EverLEND Mortgage originate and refinance mortgage loans on a retail basis. Mortgage loans originated or refinanced by the Company’s mortgage subsidiaries are funded through loan purchase agreements with Security National Life and unaffiliated financial institutions.</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mortgage subsidiaries receive fees from borrowers that are involved in mortgage loan originations and refinancings, and secondary fees earned from third party investors that purchase the mortgage loans originated by the mortgage subsidiaries. Mortgage loans originated by the mortgage subsidiaries are generally sold with mortgage servicing rights released to third-party investors or retained by SecurityNational Mortgage. SecurityNational Mortgage currently retains the mortgage servicing rights on approximately 19% of its loan origination volume. These mortgage loans are serviced by either SecurityNational Mortgage or an approved third-party sub-servicer.</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three months ended March 31, 2019 and 2018, SecurityNational Mortgage originated 1,953 loans ($419,493,000 total volume) and 2,368 loans ($471,508,000 total volume), respectively. For the three months ended March 31, 2019 and 2018, EverLEND Mortgage originated 40 loans ($9,008,000 total volume) and 31 loans ($8,446,000 total volume), respectively.</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The following table shows the condensed financial results of the mortgage operations for the three months ended March 31, 2019 and 2018. See Note 7 to the condensed consolidated financial statements.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60" w:type="dxa"/>
            <w:vAlign w:val="bottom"/>
            <w:gridSpan w:val="7"/>
          </w:tcPr>
          <w:p>
            <w:pPr>
              <w:jc w:val="center"/>
              <w:ind w:right="400"/>
              <w:spacing w:after="0"/>
              <w:rPr>
                <w:sz w:val="20"/>
                <w:szCs w:val="20"/>
                <w:color w:val="auto"/>
              </w:rPr>
            </w:pPr>
            <w:r>
              <w:rPr>
                <w:rFonts w:ascii="Arial" w:cs="Arial" w:eastAsia="Arial" w:hAnsi="Arial"/>
                <w:sz w:val="18"/>
                <w:szCs w:val="18"/>
                <w:color w:val="auto"/>
                <w:w w:val="90"/>
              </w:rPr>
              <w:t>Three months 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7"/>
          </w:tcPr>
          <w:p>
            <w:pPr>
              <w:jc w:val="center"/>
              <w:ind w:right="400"/>
              <w:spacing w:after="0"/>
              <w:rPr>
                <w:sz w:val="20"/>
                <w:szCs w:val="20"/>
                <w:color w:val="auto"/>
              </w:rPr>
            </w:pPr>
            <w:r>
              <w:rPr>
                <w:rFonts w:ascii="Arial" w:cs="Arial" w:eastAsia="Arial" w:hAnsi="Arial"/>
                <w:sz w:val="18"/>
                <w:szCs w:val="18"/>
                <w:color w:val="auto"/>
                <w:w w:val="90"/>
              </w:rPr>
              <w:t>(in thousands of dollars)</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1"/>
              </w:rPr>
              <w:t>% Increase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center"/>
              <w:ind w:right="90"/>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(Decrease)</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from loan originations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8,114</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60"/>
              <w:spacing w:after="0"/>
              <w:rPr>
                <w:sz w:val="20"/>
                <w:szCs w:val="20"/>
                <w:color w:val="auto"/>
              </w:rPr>
            </w:pPr>
            <w:r>
              <w:rPr>
                <w:rFonts w:ascii="Arial" w:cs="Arial" w:eastAsia="Arial" w:hAnsi="Arial"/>
                <w:sz w:val="18"/>
                <w:szCs w:val="18"/>
                <w:color w:val="auto"/>
              </w:rPr>
              <w:t>Secondary gains from investors</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16,365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15,578</w:t>
            </w:r>
          </w:p>
        </w:tc>
        <w:tc>
          <w:tcPr>
            <w:tcW w:w="16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Gains on investments and other assets</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(248)</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26,629</w:t>
            </w:r>
          </w:p>
        </w:tc>
        <w:tc>
          <w:tcPr>
            <w:tcW w:w="18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27,439</w:t>
            </w:r>
          </w:p>
        </w:tc>
        <w:tc>
          <w:tcPr>
            <w:tcW w:w="1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9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Earnings before income taxes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18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Included in other revenues is service fee income. The decrease in losses for the three months ended March 31, 2019 was due to the efforts to reduce costs and restructure internal processes.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 Loss Settlements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Future mortgage loan losses can be extremely difficult to estimate. However, management believes that the Company’s reserve methodology and its current practice of property preservation allow it to estimate its potential losses on mortgage loans sold. The estimated liability for indemnification losses was included in other liabilities and accrued expenses and, as of March 31, 2019 and December 31, 2018, the balances were $3,704,000 and $3,605,000, respectively.</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 Loss Litigation</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description of the litigation involving SecurityNational Mortgage and Lehman Brothers Holdings, see Part I, Item 1. Notes to Condensed Consolidated Financial Statements (unaudited) in Note 11.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2019 Compared to Three Months Ended March 31, 2018</w:t>
      </w:r>
    </w:p>
    <w:p>
      <w:pPr>
        <w:spacing w:after="0" w:line="2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Total revenues decreased by $20,582,000, or 25.1%, to $61,494,000 for the three months ended March 31, 2019, from $82,076,000 for the comparable period in 2018. Contributing to this decrease in total revenues was a $20,214,000 decrease in gains on investments and other assets, a $981,000 decrease in mortgage fee income, a $33,000 decrease in net investment income, and a $17,000 decrease in other revenues. This decrease in total revenues was partially offset by a $446,000 increase in net mortuary and cemetery sales and a $217,000 increase in insurance premiums and other considerations.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Insurance premiums and other considerations increased by $217,000, or 1.2%, to $19,027,000 for the three months ended March 31, 2019, from $18,810,000 for the comparable period in 2018. This increase was primarily due to an increase in renewal premiums due to the growth of the Company in recent years, particularly in whole life products, which resulted in more premium paying business in force.</w:t>
      </w:r>
    </w:p>
    <w:p>
      <w:pPr>
        <w:spacing w:after="0" w:line="2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investment income decreased by $33,000, or 0.3%, to $10,042,000 for the three months ended March 31, 2019, from $10,075,000 for the comparable period in 2018. This decrease was primarily attributable to a $760,000 decrease in rental income from real estate held for investment, a $428,000 decrease in mortgage loan interest, a $26,000 decrease in fixed maturity securities income, and a $15,000 decrease in policy loan income. This decrease was partially offset by a $463,000 decrease in investment expenses, a $362,000 increase interest on cash and cash equivalents, a $351,000 increase in insurance assignment income, and a $20,000 increase in equity securities income.</w:t>
      </w:r>
    </w:p>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mortuary and cemetery sales increased by $446,000, or 13.8%, to $3,679,000 for the three months ended March 31, 2019, from $3,233,000 for the comparable period in 2018. This increase was primarily due to a $214,000 increase in cemetery preneed sales and a $242,000 increase in mortuary at-need sales.</w:t>
      </w:r>
    </w:p>
    <w:p>
      <w:pPr>
        <w:spacing w:after="0" w:line="2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Gains on investments and other assets decreased by $20,214,000, or 91.8%, to $1,807,000 for the three months ended March 31, 2019, from $22,021,000 for the comparable period in 2018. This decrease in gains on investments and other assets was primarily attributable to a $21,675,000 decrease in gains on other assets due to the $22,252,000 gain that was realized on the sale of Dry Creek at East Village Apartments in the first quarter 2018. This decrease was partially offset by a $331,000 increase in gains on fixed maturity securities and a $1,130,000 increase in gains on equity securities mostly attributable to increases in the fair value of these securities. Due to the adoption of Accounting Standards Update (“ASU”) 2016-01 on January 1, 2018, these changes in fair value are now recognized in earnings instead of other comprehensive income.</w:t>
      </w:r>
    </w:p>
    <w:p>
      <w:pPr>
        <w:sectPr>
          <w:pgSz w:w="11900" w:h="16838" w:orient="portrait"/>
          <w:cols w:equalWidth="0" w:num="1">
            <w:col w:w="11420"/>
          </w:cols>
          <w:pgMar w:left="240" w:top="125" w:right="239" w:bottom="1440" w:gutter="0" w:footer="0" w:header="0"/>
        </w:sectPr>
      </w:pP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52" w:name="page53"/>
    <w:bookmarkEnd w:id="52"/>
    <w:p>
      <w:pPr>
        <w:jc w:val="both"/>
        <w:spacing w:after="0" w:line="255" w:lineRule="auto"/>
        <w:rPr>
          <w:sz w:val="20"/>
          <w:szCs w:val="20"/>
          <w:color w:val="auto"/>
        </w:rPr>
      </w:pPr>
      <w:r>
        <w:rPr>
          <w:rFonts w:ascii="Arial" w:cs="Arial" w:eastAsia="Arial" w:hAnsi="Arial"/>
          <w:sz w:val="18"/>
          <w:szCs w:val="18"/>
          <w:color w:val="auto"/>
        </w:rPr>
        <w:t>Mortgage fee income decreased by $981,000, or 3.9%, to $24,479,000, for the three months ended March 31, 2019, from $25,460,000 for the comparable period in 2018. This decrease was primarily due to a net decrease of $2,110,000 in the fair value of loans held for sale and loan commitments. This decrease was partially offset by a $786,000 increase in secondary gains, a $249,000 decrease in the provision for loan loss reserve, and an $94,000 increase in other loan fees and interest income. It should be noted that the recent overall decline in mortgage fee income was due to a reduction in mortgage loan originations that was indicative of the mortgage loan industry as a whole. This reduction was primarily caused by a national shortage of available new housing for mortgage loan origination transactions. The reduction was also caused by a decline in mortgage loan refinancings, which was due to recent increases in interest rates on mortgage loans.</w:t>
      </w:r>
    </w:p>
    <w:p>
      <w:pPr>
        <w:spacing w:after="0" w:line="24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revenues increased by $16,000, or 0.7%, to $2,461,000 for the three months ended March 31, 2019, from $2,477,000 for the comparable period in 2018. This increase was primarily attributable to an increase in the cemetery and mortuary segment primarily due to the acquisition of Probst Family Funerals and Cremations and Heber Valley Funeral Home. This was partially offset by a decrease in servicing fee revenue.</w:t>
      </w:r>
    </w:p>
    <w:p>
      <w:pPr>
        <w:spacing w:after="0" w:line="2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Total benefits and expenses were $59,062,000, or 96.0% of total revenues, for the three months ended March 31, 2019, as compared to $60,889,000, or 74.2% of total revenues, for the comparable period in 2018.</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Death benefits, surrenders and other policy benefits, and future policy benefits increased by an aggregate of $692,000 or 4.3%, to $16,695,000 for the three months ended March 31, 2019, from $16,003,000 for the comparable period in 2018. This increase was primarily the result of a $470,000 increase in death benefits, a $166,000 increase in future policy benefits, and a $56,000 increase in surrender and other policy benefits.</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Amortization of deferred policy and pre-need acquisition costs and value of business acquired increased by $18,000, or 0.6%, to $3,128,000 for the three months ended March 31, 2019, from $3,110,000 for the comparable period in 2018. This increase was primarily due to an increase in the average outstanding balance of deferred policy and pre-need acquisition costs.</w:t>
      </w:r>
    </w:p>
    <w:p>
      <w:pPr>
        <w:spacing w:after="0" w:line="23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Selling, general and administrative expenses decreased by $2,405,000, or 6.1%, to $37,094,000 for the three months ended March 31, 2019, from $39,499,000 for the comparable period in 2018. This decrease was primarily the result of a $1,607,000 decrease in commissions, a $1,535,000 decrease in personnel expenses, a $59,000 decrease in rent and rent related expenses, a $27,000 decrease in depreciation on property and equipment, and a $14,000 decrease in costs related to funding mortgage loans. This decrease was partially offset by a $835,000 increase in other expenses. The decreases in commissions and personnel expenses are primarily a result of the efforts of the Mortgage segment to reduce costs and restructure internal processes in order to offset the reductions in mortgage fee income that resulted from a reduction in mortgage loan originations that was indicative of the mortgage loan industry as a whole and a reduction in mortgage loan refinancings, which was due to recent increases in interest rates on mortgage loans.</w:t>
      </w:r>
    </w:p>
    <w:p>
      <w:pPr>
        <w:spacing w:after="0" w:line="2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decreased by $270,000, or 15.3%, to $1,492,000 for the three months ended March 31, 2019, from $1,762,000 for the comparable period in 2018. This decrease was primarily due to a decrease in interest expense on bank loans for real estate held for investment due to the sale of the Dry Creek Apartments at East Village in the first quarter 2018.</w:t>
      </w:r>
    </w:p>
    <w:p>
      <w:pPr>
        <w:spacing w:after="0" w:line="23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Cost of goods and services sold-mortuaries and cemeteries increased by $137,000, or 26.7%, to $653,000 for the three months ended March 31, 2019, from $515,000 for the comparable period in 2018. This increase was primarily due to increases in both mortuary at-need and cemetery preneed sales.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life insurance subsidiaries and cemetery and mortuary subsidiaries realize cash flow from premiums, contract payments and sales on personal services rendered for cemetery and mortuary business, from interest and dividends on invested assets, and from the proceeds from the maturity of held to maturity investments or sale of other investments. The mortgage subsidiaries realize cash flow from fees generated by originating and refinancing mortgage loans, and fees earned from mortgage loans held for sale that are sold to investors. The Company considers these sources of cash flow to be adequate to fund future policyholder and cemetery and mortuary liabilities, which generally are long-term and adequate to pay current policyholder claims, annuity payments, expenses related to the issuance of new policies, the maintenance of existing policies, and debt service, and to meet current operating expenses.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color w:val="auto"/>
        </w:rPr>
        <w:t>During the three months ended March 31, 2019 and 2018, the Company's operations provided cash of $19,519,000 and $8,713,000, respectively. This increase was due primarily to an increase in cash collected from mortgage loans held for sale.</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liability for future policy benefits is expected to be paid out over the long-term due to the Company’s market niche of selling funeral plans. Funeral plans are small face value life insurance that will pay the costs and expenses incurred at the time of a person’s death. A person generally will keep these policies in force and will not surrender them prior to a person’s death. Because of the long-term nature of these liabilities, the Company is able to hold to maturity its bonds, real estate, and mortgage loans, thus reducing the risk of having to liquidate these long-term investments as a result of any sudden changes in their fair values.</w:t>
      </w:r>
    </w:p>
    <w:p>
      <w:pPr>
        <w:spacing w:after="0" w:line="24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attempts to match the duration of invested assets with its policyholder and cemetery and mortuary liabilities. The Company may sell investments other than those held to maturity in the portfolio to help in this timing. The Company purchases short-term investments on a temporary basis to meet the expectations of short-term requirements of the Company’s products. The Company’s investment philosophy is intended to provide a rate of return that will persist during the expected duration of policyholder and cemetery and mortuary liabilities regardless of future interest rate movements.</w:t>
      </w:r>
    </w:p>
    <w:p>
      <w:pPr>
        <w:spacing w:after="0" w:line="208" w:lineRule="exact"/>
        <w:rPr>
          <w:sz w:val="20"/>
          <w:szCs w:val="20"/>
          <w:color w:val="auto"/>
        </w:rPr>
      </w:pPr>
    </w:p>
    <w:p>
      <w:pPr>
        <w:jc w:val="both"/>
        <w:spacing w:after="0" w:line="218" w:lineRule="exact"/>
        <w:rPr>
          <w:sz w:val="20"/>
          <w:szCs w:val="20"/>
          <w:color w:val="auto"/>
        </w:rPr>
      </w:pPr>
      <w:r>
        <w:rPr>
          <w:rFonts w:ascii="Arial" w:cs="Arial" w:eastAsia="Arial" w:hAnsi="Arial"/>
          <w:sz w:val="17"/>
          <w:szCs w:val="17"/>
          <w:color w:val="auto"/>
        </w:rPr>
        <w:t>The Company’s investment policy is to invest predominantly in fixed maturity securities, real estate, mortgage loans, and warehousing of mortgage loans on a short-term basis before selling the loans to investors in accordance with the requirements and laws governing the life insurance subsidiaries. Bonds owned by the insurance subsidiaries amounted to $231,275,000 and $231,976,000 as of March 31, 2019 and December 31, 2018, respectively. This represents 37.9% and 38.9% of the total investments as of March 31, 2019 and December 31, 2018, respectively. Generally, all bonds owned by the life insurance subsidiaries are rated by the National Association of Insurance Commissioners. Under this rating system, there are nine categories used for rating bonds. At March 31, 2019, 3.68% (or $8,513,000) and at December 31, 2018, 3.6% (or $8,413,000) of the Company’s total bond investments were invested in bonds in rating categories three through nine, which were considered non</w:t>
      </w:r>
      <w:r>
        <w:rPr>
          <w:rFonts w:ascii="MS PGothic" w:cs="MS PGothic" w:eastAsia="MS PGothic" w:hAnsi="MS PGothic"/>
          <w:sz w:val="17"/>
          <w:szCs w:val="17"/>
          <w:color w:val="auto"/>
        </w:rPr>
        <w:t>‑</w:t>
      </w:r>
      <w:r>
        <w:rPr>
          <w:rFonts w:ascii="Arial" w:cs="Arial" w:eastAsia="Arial" w:hAnsi="Arial"/>
          <w:sz w:val="17"/>
          <w:szCs w:val="17"/>
          <w:color w:val="auto"/>
        </w:rPr>
        <w:t>investment grade.</w:t>
      </w:r>
    </w:p>
    <w:p>
      <w:pPr>
        <w:spacing w:after="0" w:line="26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has classified its fixed income securities as held to maturity. Notwithstanding, business conditions may develop in the future which may indicate a need for a higher level of liquidity in the investment portfolio. In that event, the Company believes it could sell short-term investment grade securities before liquidating higher yielding longer-term securities.</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is subject to risk-based capital guidelines established by statutory regulators requiring minimum capital levels based on the perceived risk of assets, liabilities, disintermediation, and business risk. At March 31, 2019 and December 31, 2018, the life insurance subsidiaries were in compliance with the regulatory criteria.</w:t>
      </w:r>
    </w:p>
    <w:p>
      <w:pPr>
        <w:spacing w:after="0" w:line="2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total capitalization of stockholders’ equity, bank and other loans payable was $349,274,000 as of March 31, 2019, as compared to $359,172,000 as of December 31, 2018. Stockholders’ equity as a percent of total capitalization was 49.9% and 47.8% as of March 31, 2019 and December 31, 2018, respectively.</w:t>
      </w:r>
    </w:p>
    <w:p>
      <w:pPr>
        <w:spacing w:after="0" w:line="23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Lapse rates measure the amount of insurance terminated during a particular period. The Company’s lapse rate for life insurance in 2018 was 9.9% as compared to a rate of 10.6% for 2017. The 2019 lapse rate to date has been approximately the same as 2018.</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2019, the combined statutory capital and surplus of the Company’s life insurance subsidiaries was $56,810,000. The life insurance subsidiaries cannot pay a dividend to its parent company without approval of state insurance regulatory authorities.</w:t>
      </w:r>
    </w:p>
    <w:p>
      <w:pPr>
        <w:spacing w:after="0" w:line="26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the Company is not required to provide information typically disclosed under this item.</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4" w:name="page55"/>
    <w:bookmarkEnd w:id="54"/>
    <w:p>
      <w:pPr>
        <w:spacing w:after="0"/>
        <w:tabs>
          <w:tab w:leader="none" w:pos="6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2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31, 2019, the Company carried out an evaluation under the supervision and with the participation of its Chief Executive Officer (CEO) and Chief Financial Officer (CFO), of the effectiveness of the Company’s disclosure controls and procedures (as defined in Rules 13a-15(e) and 15d-15(e) under the Securities Exchange Act of 1934, as amended (the “Exchange Act”). The Company’s disclosure controls and procedures are designed to ensure that information required to be disclosed in the Securities and Exchange Commission (SEC) reports that the Company files or submits under the Exchange Act is recorded, processed, summarized and reported within the time period specified by the SEC’s rules and forms and that such information is accumulated and communicated to management, including the Company’s CEO and CFO, as appropriate, to allow timely decisions regarding required disclosure. The executive officers have concluded that the Company’s disclosure controls and procedures were effective as of March 31, 2019, and that the unaudited condensed consolidated financial statements included in this Quarterly Report on Form 10-Q fairly present, in all material respects, the Company’s financial condition, results of operations, and cash flows for the periods presented in conformity with United States Generally Accepted Accounting Principles (GAAP).</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most recently completed fiscal quarter that have materially affected, or are reasonably likely to materially affect, the Company’s internal control over financial reporting.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r>
        <w:rPr>
          <w:rFonts w:ascii="Arial" w:cs="Arial" w:eastAsia="Arial" w:hAnsi="Arial"/>
          <w:sz w:val="18"/>
          <w:szCs w:val="18"/>
          <w:color w:val="auto"/>
        </w:rPr>
        <w:t>.</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 description of the litigation involving SecurityNational Mortgage and Lehman Brothers Holdings, see Part I, Item 1. Notes to Condensed Consolidated Financial Statements (unaudited) in Note 11.</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not a party to any other material legal proceedings outside the ordinary course of business or to any other legal proceedings, which if adversely determined, would have a material adverse effect on its financial condition or results of operation.</w:t>
      </w:r>
    </w:p>
    <w:p>
      <w:pPr>
        <w:spacing w:after="0" w:line="26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As a smaller reporting company, the Company is not required to provide information typically disclosed under this item.</w:t>
      </w:r>
    </w:p>
    <w:p>
      <w:pPr>
        <w:spacing w:after="0" w:line="31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 and Use of Proceeds from Registered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7, 2018, the Board of Directors of the Company approved a Stock Repurchase Plan that authorized the repurchase of 300,000 shares of the Company's Class A Common Stock in the open market. The repurchased shares of Class A common stock will be held as treasury shares to be used as the Company's employer matching contribution to the Employee 401(k) Retirement Savings Plan.</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shows the Company's repurchase activity during the three months ended March 31, 2019 under the Stock Repurchase Plan.</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Maximum</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Number (or</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(c) Total</w:t>
            </w:r>
          </w:p>
        </w:tc>
        <w:tc>
          <w:tcPr>
            <w:tcW w:w="1100" w:type="dxa"/>
            <w:vAlign w:val="bottom"/>
            <w:gridSpan w:val="2"/>
          </w:tcPr>
          <w:p>
            <w:pPr>
              <w:jc w:val="center"/>
              <w:ind w:left="70"/>
              <w:spacing w:after="0"/>
              <w:rPr>
                <w:sz w:val="20"/>
                <w:szCs w:val="20"/>
                <w:color w:val="auto"/>
              </w:rPr>
            </w:pPr>
            <w:r>
              <w:rPr>
                <w:rFonts w:ascii="Arial" w:cs="Arial" w:eastAsia="Arial" w:hAnsi="Arial"/>
                <w:sz w:val="18"/>
                <w:szCs w:val="18"/>
                <w:color w:val="auto"/>
                <w:w w:val="92"/>
              </w:rPr>
              <w:t>Approximate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7"/>
              </w:rPr>
              <w:t>Dollar</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Class A</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Value)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of Class A</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6"/>
              </w:rPr>
              <w:t>Shares that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(a) Total</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as Part of</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May Yet Be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2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1"/>
              </w:rPr>
              <w:t>(b) Average</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Publicly</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5"/>
              </w:rPr>
              <w:t>Purchased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Class A</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90"/>
              </w:rPr>
              <w:t>Price Paid</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Announced</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Under the</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200" w:type="dxa"/>
            <w:vAlign w:val="bottom"/>
          </w:tcPr>
          <w:p>
            <w:pPr>
              <w:spacing w:after="0"/>
              <w:rPr>
                <w:sz w:val="18"/>
                <w:szCs w:val="18"/>
                <w:color w:val="auto"/>
              </w:rPr>
            </w:pP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90"/>
              </w:rPr>
              <w:t>per Class A</w:t>
            </w:r>
          </w:p>
        </w:tc>
        <w:tc>
          <w:tcPr>
            <w:tcW w:w="16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Plan or</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1"/>
              </w:rPr>
              <w:t>Plan or</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7"/>
        </w:trPr>
        <w:tc>
          <w:tcPr>
            <w:tcW w:w="1160" w:type="dxa"/>
            <w:vAlign w:val="bottom"/>
          </w:tcPr>
          <w:p>
            <w:pPr>
              <w:spacing w:after="0"/>
              <w:rPr>
                <w:sz w:val="20"/>
                <w:szCs w:val="20"/>
                <w:color w:val="auto"/>
              </w:rPr>
            </w:pPr>
          </w:p>
        </w:tc>
        <w:tc>
          <w:tcPr>
            <w:tcW w:w="3780" w:type="dxa"/>
            <w:vAlign w:val="bottom"/>
            <w:tcBorders>
              <w:bottom w:val="single" w:sz="8" w:color="auto"/>
            </w:tcBorders>
          </w:tcPr>
          <w:p>
            <w:pPr>
              <w:jc w:val="center"/>
              <w:ind w:left="870"/>
              <w:spacing w:after="0"/>
              <w:rPr>
                <w:sz w:val="20"/>
                <w:szCs w:val="20"/>
                <w:color w:val="auto"/>
              </w:rPr>
            </w:pPr>
            <w:r>
              <w:rPr>
                <w:rFonts w:ascii="Arial" w:cs="Arial" w:eastAsia="Arial" w:hAnsi="Arial"/>
                <w:sz w:val="18"/>
                <w:szCs w:val="18"/>
                <w:color w:val="auto"/>
                <w:w w:val="88"/>
              </w:rPr>
              <w:t>Period</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Purchased</w:t>
            </w:r>
          </w:p>
        </w:tc>
        <w:tc>
          <w:tcPr>
            <w:tcW w:w="2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7"/>
              </w:rPr>
              <w:t>Share</w:t>
            </w:r>
          </w:p>
        </w:tc>
        <w:tc>
          <w:tcPr>
            <w:tcW w:w="16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w:t>
            </w:r>
          </w:p>
        </w:tc>
        <w:tc>
          <w:tcPr>
            <w:tcW w:w="16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Program</w:t>
            </w: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16"/>
        </w:trPr>
        <w:tc>
          <w:tcPr>
            <w:tcW w:w="1160" w:type="dxa"/>
            <w:vAlign w:val="bottom"/>
          </w:tcPr>
          <w:p>
            <w:pPr>
              <w:spacing w:after="0"/>
              <w:rPr>
                <w:sz w:val="18"/>
                <w:szCs w:val="18"/>
                <w:color w:val="auto"/>
              </w:rPr>
            </w:pPr>
          </w:p>
        </w:tc>
        <w:tc>
          <w:tcPr>
            <w:tcW w:w="3780" w:type="dxa"/>
            <w:vAlign w:val="bottom"/>
            <w:shd w:val="clear" w:color="auto" w:fill="CCEEFF"/>
          </w:tcPr>
          <w:p>
            <w:pPr>
              <w:jc w:val="center"/>
              <w:ind w:left="870"/>
              <w:spacing w:after="0"/>
              <w:rPr>
                <w:sz w:val="20"/>
                <w:szCs w:val="20"/>
                <w:color w:val="auto"/>
              </w:rPr>
            </w:pPr>
            <w:r>
              <w:rPr>
                <w:rFonts w:ascii="Arial" w:cs="Arial" w:eastAsia="Arial" w:hAnsi="Arial"/>
                <w:sz w:val="18"/>
                <w:szCs w:val="18"/>
                <w:color w:val="auto"/>
                <w:w w:val="90"/>
              </w:rPr>
              <w:t>1/1/2019-1/31/2019</w:t>
            </w: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251,220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jc w:val="center"/>
              <w:ind w:left="870"/>
              <w:spacing w:after="0"/>
              <w:rPr>
                <w:sz w:val="20"/>
                <w:szCs w:val="20"/>
                <w:color w:val="auto"/>
              </w:rPr>
            </w:pPr>
            <w:r>
              <w:rPr>
                <w:rFonts w:ascii="Arial" w:cs="Arial" w:eastAsia="Arial" w:hAnsi="Arial"/>
                <w:sz w:val="18"/>
                <w:szCs w:val="18"/>
                <w:color w:val="auto"/>
                <w:w w:val="90"/>
              </w:rPr>
              <w:t>2/1/2019-2/28/2019</w:t>
            </w:r>
          </w:p>
        </w:tc>
        <w:tc>
          <w:tcPr>
            <w:tcW w:w="1980" w:type="dxa"/>
            <w:vAlign w:val="bottom"/>
            <w:gridSpan w:val="3"/>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241,220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3"/>
        </w:trPr>
        <w:tc>
          <w:tcPr>
            <w:tcW w:w="1160" w:type="dxa"/>
            <w:vAlign w:val="bottom"/>
          </w:tcPr>
          <w:p>
            <w:pPr>
              <w:spacing w:after="0"/>
              <w:rPr>
                <w:sz w:val="19"/>
                <w:szCs w:val="19"/>
                <w:color w:val="auto"/>
              </w:rPr>
            </w:pPr>
          </w:p>
        </w:tc>
        <w:tc>
          <w:tcPr>
            <w:tcW w:w="3780" w:type="dxa"/>
            <w:vAlign w:val="bottom"/>
            <w:tcBorders>
              <w:bottom w:val="single" w:sz="8" w:color="CCEEFF"/>
            </w:tcBorders>
            <w:shd w:val="clear" w:color="auto" w:fill="CCEEFF"/>
          </w:tcPr>
          <w:p>
            <w:pPr>
              <w:jc w:val="center"/>
              <w:ind w:left="870"/>
              <w:spacing w:after="0"/>
              <w:rPr>
                <w:sz w:val="20"/>
                <w:szCs w:val="20"/>
                <w:color w:val="auto"/>
              </w:rPr>
            </w:pPr>
            <w:r>
              <w:rPr>
                <w:rFonts w:ascii="Arial" w:cs="Arial" w:eastAsia="Arial" w:hAnsi="Arial"/>
                <w:sz w:val="18"/>
                <w:szCs w:val="18"/>
                <w:color w:val="auto"/>
                <w:w w:val="90"/>
              </w:rPr>
              <w:t>3/1/2019-3/31/2019</w:t>
            </w:r>
          </w:p>
        </w:tc>
        <w:tc>
          <w:tcPr>
            <w:tcW w:w="1060" w:type="dxa"/>
            <w:vAlign w:val="bottom"/>
            <w:tcBorders>
              <w:bottom w:val="single" w:sz="8" w:color="CCEEFF"/>
            </w:tcBorders>
            <w:gridSpan w:val="2"/>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240,620</w:t>
            </w:r>
          </w:p>
        </w:tc>
        <w:tc>
          <w:tcPr>
            <w:tcW w:w="80" w:type="dxa"/>
            <w:vAlign w:val="bottom"/>
            <w:tcBorders>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980" w:type="dxa"/>
            <w:vAlign w:val="bottom"/>
            <w:gridSpan w:val="3"/>
          </w:tcPr>
          <w:p>
            <w:pPr>
              <w:spacing w:after="0"/>
              <w:rPr>
                <w:sz w:val="18"/>
                <w:szCs w:val="18"/>
                <w:color w:val="auto"/>
              </w:rPr>
            </w:pPr>
          </w:p>
        </w:tc>
        <w:tc>
          <w:tcPr>
            <w:tcW w:w="2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3780" w:type="dxa"/>
            <w:vAlign w:val="bottom"/>
            <w:shd w:val="clear" w:color="auto" w:fill="CCEEFF"/>
          </w:tcPr>
          <w:p>
            <w:pPr>
              <w:jc w:val="center"/>
              <w:ind w:left="850"/>
              <w:spacing w:after="0"/>
              <w:rPr>
                <w:sz w:val="20"/>
                <w:szCs w:val="20"/>
                <w:color w:val="auto"/>
              </w:rPr>
            </w:pPr>
            <w:r>
              <w:rPr>
                <w:rFonts w:ascii="Arial" w:cs="Arial" w:eastAsia="Arial" w:hAnsi="Arial"/>
                <w:sz w:val="18"/>
                <w:szCs w:val="18"/>
                <w:color w:val="auto"/>
                <w:w w:val="89"/>
              </w:rPr>
              <w:t>Total</w:t>
            </w:r>
          </w:p>
        </w:tc>
        <w:tc>
          <w:tcPr>
            <w:tcW w:w="1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20,680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240,620</w:t>
            </w:r>
          </w:p>
        </w:tc>
        <w:tc>
          <w:tcPr>
            <w:tcW w:w="8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603"/>
        </w:trPr>
        <w:tc>
          <w:tcPr>
            <w:tcW w:w="1160" w:type="dxa"/>
            <w:vAlign w:val="bottom"/>
          </w:tcPr>
          <w:p>
            <w:pPr>
              <w:spacing w:after="0"/>
              <w:rPr>
                <w:sz w:val="24"/>
                <w:szCs w:val="24"/>
                <w:color w:val="auto"/>
              </w:rPr>
            </w:pPr>
          </w:p>
        </w:tc>
        <w:tc>
          <w:tcPr>
            <w:tcW w:w="378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jc w:val="right"/>
              <w:ind w:right="36"/>
              <w:spacing w:after="0"/>
              <w:rPr>
                <w:sz w:val="20"/>
                <w:szCs w:val="20"/>
                <w:color w:val="auto"/>
              </w:rPr>
            </w:pPr>
            <w:r>
              <w:rPr>
                <w:rFonts w:ascii="Arial" w:cs="Arial" w:eastAsia="Arial" w:hAnsi="Arial"/>
                <w:sz w:val="14"/>
                <w:szCs w:val="14"/>
                <w:color w:val="auto"/>
              </w:rPr>
              <w:t>55</w:t>
            </w:r>
          </w:p>
        </w:tc>
        <w:tc>
          <w:tcPr>
            <w:tcW w:w="10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40" w:type="dxa"/>
            <w:vAlign w:val="bottom"/>
          </w:tcPr>
          <w:p>
            <w:pPr>
              <w:spacing w:after="0"/>
              <w:rPr>
                <w:sz w:val="24"/>
                <w:szCs w:val="24"/>
                <w:color w:val="auto"/>
              </w:rPr>
            </w:pPr>
          </w:p>
        </w:tc>
      </w:tr>
      <w:tr>
        <w:trPr>
          <w:trHeight w:val="46"/>
        </w:trPr>
        <w:tc>
          <w:tcPr>
            <w:tcW w:w="116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62" w:right="239" w:bottom="9" w:gutter="0" w:footer="0" w:header="0"/>
        </w:sectPr>
      </w:pPr>
    </w:p>
    <w:bookmarkStart w:id="55" w:name="page56"/>
    <w:bookmarkEnd w:id="55"/>
    <w:p>
      <w:pPr>
        <w:spacing w:after="0"/>
        <w:tabs>
          <w:tab w:leader="none" w:pos="12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Probst Family Funerals and Cremations and Heber Valley Funeral Home</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15, 2019, the Company, through its wholly-owned subsidiary, Memorial Mortuary Inc., completed an asset purchase transaction with Probst Family Funerals and Cremations, LLC. (“Probst Family Funerals”) and Heber Valley Funeral Home, Inc. (“Heber Valley Funeral Home”). These funeral homes are both located in Heber Valley, a community situated about 45 miles southeast of Salt Lake City. For the year ended December 31, 2018, Probst Family Funerals and Heber Valley Funeral Home had combined revenues of $1,055,634 and a combined net pre-tax income of $179,613. As of December 31, 2018, Probst Family Funerals and Heber Valley Funeral Home had combined assets of $1,161,029 and a combined total equity of $18,052.</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transaction, as set forth in the Asset Purchase Agreement, dated February 15, 2019, by and among SN Probst, a wholly owned subsidiary of Memorial Mortuary, and Probst Family Funerals, Heber Valley Funeral Home, Joe T. Probst, Clinton Wayne Probst, Calle J. Probst, and Marsha L. Probst, Memorial Mortuary, through its wholly owned subsidiary SN Probst, paid a net purchase price of $3,315,647 for the business and assets of Probst Family Funerals and Heber Valley Funeral Home, subject to a $150,000 holdback. At the closing, Probst Funeral Homes and Heber Valley Funeral Home paid off the $907,407 principal balance and $4,340 in interest on a loan at Zions Bank that was secured by the Heber Valley Funeral Home. Also, at the closing, Probst Funeral Homes and Heber Valley Funeral Home paid off the $157,148 loan with Utah Community Credit Union and the $32,987 line of credit with Zions Bank.</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Beta Capital Corp.</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 2018, the Company completed a stock purchase transaction with Beta Capital Corp. ("Beta Capital") and Ronald D. Maxson ("Maxson"), the sole owner of all the outstanding shares of common stock of Beta Capital, to purchase all of the outstanding shares of common stock of Beta Capital. Beta Capital is engaged in the operation of a factoring business with the principal purpose of providing funding for funeral homes and mortuaries. For the year ended December 31, 2017, Beta Capital had revenues of $1,208,000 with a net pre-tax income of $204,000. As of December 31, 2017, the total assets of Beta Capital were $3,270,000 and total equity was $1,832,000.</w:t>
      </w:r>
    </w:p>
    <w:p>
      <w:pPr>
        <w:spacing w:after="0" w:line="2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terms of the transaction, as set forth in the Stock Purchase Agreement dated September 1, 2018 (the "Purchase Agreement"), by and among the Company, Beta Capital and Maxson, the Company paid Maxson the purchase consideration at the closing of the transaction equal to the sum of (i) $890,000 in cash plus (ii) the accounts receivable value of $2,515,783, representing the total amount of the Company's outstanding receivables as of the closing date of September 1, 2018, for a total closing payment of $3,405,783. From the $3,405,783 closing payment, a holdback amount equal to $175,000 was deposited into an interest bearing escrow account to be held for a period of eighteen months from the closing date to pay off any uncollected accounts receivable and other liabilities of Beta Capital as of the closing date.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Dry Creek at East Village Apartments</w:t>
      </w:r>
    </w:p>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March 29, 2018, the Company through its wholly owned subsidiary, Security National Life Insurance Company (“Security National Life”), completed the sale of the Dry Creek at East Village (“Dry Creek”) apartments to a subsidiary of Dinapoli Capital Partners, LLC (“Dinapoli Capital”) pursuant to the terms of the Purchase and Sale Agreement, dated February 14, 2018, between Security National Life and Dinapoli Capital. The purchase price paid for the Dry Creek apartments was $57,000,000. From the proceeds that Security National Life received from the sale of the apartment complex, $26,802,904 was used to pay off an existing loan at Zions First National Bank, N.A., which was secured by a security interest in the apartment complex. A brokerage commission of $285,000 and legal fees and related costs were also paid from the purchase proceeds. The Company’s book basis in Dry Creek was approximately $34,400,000, and the Company recognized the gain net of tax effects from the sale in the first quarter of 2018.</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6" w:name="page57"/>
    <w:bookmarkEnd w:id="56"/>
    <w:p>
      <w:pPr>
        <w:jc w:val="both"/>
        <w:spacing w:after="0" w:line="302" w:lineRule="auto"/>
        <w:rPr>
          <w:sz w:val="20"/>
          <w:szCs w:val="20"/>
          <w:color w:val="auto"/>
        </w:rPr>
      </w:pPr>
      <w:r>
        <w:rPr>
          <w:rFonts w:ascii="Arial" w:cs="Arial" w:eastAsia="Arial" w:hAnsi="Arial"/>
          <w:sz w:val="16"/>
          <w:szCs w:val="16"/>
          <w:color w:val="auto"/>
        </w:rPr>
        <w:t>The Dry Creek apartments consist of 282 units, with a mixture of one, two, and three-bedroom units. The construction of Dry Creek was completed in December 2015. As of December 31, 2017, the apartments were 95% leased. Also, rental rates in the market had increased by 9.8% over pro forma rents, and effective (achieved) rates net of concessions increased. The Company had owned the land for the development since 1991, when the Company purchased the land, along with the cemetery and mortuary that are adjacent to the property. The Company continues to operate the cemetery and mortuary.</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 Financial Statements Schedules and Reports on Form 8-K.</w:t>
      </w:r>
    </w:p>
    <w:p>
      <w:pPr>
        <w:spacing w:after="0" w:line="29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6"/>
          <w:szCs w:val="16"/>
          <w:u w:val="single" w:color="auto"/>
          <w:color w:val="auto"/>
        </w:rPr>
        <w:t>Financial Statements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“Table of Contents – Part I – Financial Information” under page 2 above</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6"/>
          <w:szCs w:val="16"/>
          <w:u w:val="single" w:color="auto"/>
          <w:color w:val="auto"/>
        </w:rPr>
        <w:t>Financial Statement Schedules</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580" w:right="120"/>
        <w:spacing w:after="0" w:line="223" w:lineRule="exact"/>
        <w:rPr>
          <w:sz w:val="20"/>
          <w:szCs w:val="20"/>
          <w:color w:val="auto"/>
        </w:rPr>
      </w:pPr>
      <w:r>
        <w:rPr>
          <w:rFonts w:ascii="Arial" w:cs="Arial" w:eastAsia="Arial" w:hAnsi="Arial"/>
          <w:sz w:val="18"/>
          <w:szCs w:val="18"/>
          <w:color w:val="auto"/>
        </w:rPr>
        <w:t>All other schedules to the consolidated financial statements required by Article 7 of Regulation S</w:t>
      </w:r>
      <w:r>
        <w:rPr>
          <w:rFonts w:ascii="MS PGothic" w:cs="MS PGothic" w:eastAsia="MS PGothic" w:hAnsi="MS PGothic"/>
          <w:sz w:val="18"/>
          <w:szCs w:val="18"/>
          <w:color w:val="auto"/>
        </w:rPr>
        <w:t>‑</w:t>
      </w:r>
      <w:r>
        <w:rPr>
          <w:rFonts w:ascii="Arial" w:cs="Arial" w:eastAsia="Arial" w:hAnsi="Arial"/>
          <w:sz w:val="18"/>
          <w:szCs w:val="18"/>
          <w:color w:val="auto"/>
        </w:rPr>
        <w:t>X are not required under the related instructions or are inapplicable and therefore have been omitted.</w:t>
      </w:r>
    </w:p>
    <w:p>
      <w:pPr>
        <w:spacing w:after="0" w:line="20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7"/>
          <w:szCs w:val="17"/>
          <w:u w:val="single" w:color="auto"/>
          <w:color w:val="auto"/>
        </w:rPr>
        <w:t>Exhibits</w:t>
      </w:r>
    </w:p>
    <w:p>
      <w:pPr>
        <w:spacing w:after="0" w:line="225" w:lineRule="exact"/>
        <w:rPr>
          <w:sz w:val="20"/>
          <w:szCs w:val="20"/>
          <w:color w:val="auto"/>
        </w:rPr>
      </w:pPr>
    </w:p>
    <w:p>
      <w:pPr>
        <w:ind w:left="580"/>
        <w:spacing w:after="0" w:line="207" w:lineRule="exact"/>
        <w:rPr>
          <w:sz w:val="20"/>
          <w:szCs w:val="20"/>
          <w:color w:val="auto"/>
        </w:rPr>
      </w:pPr>
      <w:r>
        <w:rPr>
          <w:rFonts w:ascii="Arial" w:cs="Arial" w:eastAsia="Arial" w:hAnsi="Arial"/>
          <w:sz w:val="18"/>
          <w:szCs w:val="18"/>
          <w:color w:val="auto"/>
        </w:rPr>
        <w:t>The following Exhibits are filed herewith pursuant to Rule 601 of Regulation S</w:t>
      </w:r>
      <w:r>
        <w:rPr>
          <w:rFonts w:ascii="MS PGothic" w:cs="MS PGothic" w:eastAsia="MS PGothic" w:hAnsi="MS PGothic"/>
          <w:sz w:val="18"/>
          <w:szCs w:val="18"/>
          <w:color w:val="auto"/>
        </w:rPr>
        <w:t>‑</w:t>
      </w:r>
      <w:r>
        <w:rPr>
          <w:rFonts w:ascii="Arial" w:cs="Arial" w:eastAsia="Arial" w:hAnsi="Arial"/>
          <w:sz w:val="18"/>
          <w:szCs w:val="18"/>
          <w:color w:val="auto"/>
        </w:rPr>
        <w:t>K or are incorporated by reference to previous filings.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3.1</w:t>
            </w:r>
          </w:p>
        </w:tc>
        <w:tc>
          <w:tcPr>
            <w:tcW w:w="10040" w:type="dxa"/>
            <w:vAlign w:val="bottom"/>
            <w:gridSpan w:val="9"/>
            <w:shd w:val="clear" w:color="auto" w:fill="CCEEFF"/>
          </w:tcPr>
          <w:p>
            <w:pPr>
              <w:spacing w:after="0"/>
              <w:rPr>
                <w:rFonts w:ascii="Arial" w:cs="Arial" w:eastAsia="Arial" w:hAnsi="Arial"/>
                <w:sz w:val="18"/>
                <w:szCs w:val="18"/>
                <w:color w:val="0000EE"/>
              </w:rPr>
            </w:pPr>
            <w:hyperlink r:id="rId57">
              <w:r>
                <w:rPr>
                  <w:rFonts w:ascii="Arial" w:cs="Arial" w:eastAsia="Arial" w:hAnsi="Arial"/>
                  <w:sz w:val="18"/>
                  <w:szCs w:val="18"/>
                  <w:color w:val="0000EE"/>
                </w:rPr>
                <w:t>Articles of Amendment and Restatement to Articles of Incorporation (6)</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10040" w:type="dxa"/>
            <w:vAlign w:val="bottom"/>
            <w:gridSpan w:val="9"/>
            <w:shd w:val="clear" w:color="auto" w:fill="CCEEFF"/>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Amended and Restated Bylaws</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4.1</w:t>
            </w:r>
          </w:p>
        </w:tc>
        <w:tc>
          <w:tcPr>
            <w:tcW w:w="100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Specimen Class A Stock Certificate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4.2</w:t>
            </w:r>
          </w:p>
        </w:tc>
        <w:tc>
          <w:tcPr>
            <w:tcW w:w="100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Specimen Class C Stock Certificate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4.3</w:t>
            </w:r>
          </w:p>
        </w:tc>
        <w:tc>
          <w:tcPr>
            <w:tcW w:w="100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Specimen Preferred Stock Certificate and Certificate of Designation of Preferred Stock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10.1</w:t>
            </w:r>
          </w:p>
        </w:tc>
        <w:tc>
          <w:tcPr>
            <w:tcW w:w="1004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Amended and Restated Employee Stock Ownership Plan (ESOP) and Trust Agreement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0040" w:type="dxa"/>
            <w:vAlign w:val="bottom"/>
            <w:gridSpan w:val="9"/>
            <w:shd w:val="clear" w:color="auto" w:fill="CCEEFF"/>
          </w:tcPr>
          <w:p>
            <w:pPr>
              <w:spacing w:after="0" w:line="176" w:lineRule="exact"/>
              <w:rPr>
                <w:rFonts w:ascii="Arial" w:cs="Arial" w:eastAsia="Arial" w:hAnsi="Arial"/>
                <w:sz w:val="18"/>
                <w:szCs w:val="18"/>
                <w:color w:val="0000EE"/>
              </w:rPr>
            </w:pPr>
            <w:hyperlink r:id="rId58">
              <w:r>
                <w:rPr>
                  <w:rFonts w:ascii="Arial" w:cs="Arial" w:eastAsia="Arial" w:hAnsi="Arial"/>
                  <w:sz w:val="18"/>
                  <w:szCs w:val="18"/>
                  <w:color w:val="0000EE"/>
                </w:rPr>
                <w:t>2013 Amended and Restated Stock Option and Other Equity Incentive Awards Plan (2)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10.3</w:t>
            </w:r>
          </w:p>
        </w:tc>
        <w:tc>
          <w:tcPr>
            <w:tcW w:w="10040" w:type="dxa"/>
            <w:vAlign w:val="bottom"/>
            <w:gridSpan w:val="9"/>
            <w:shd w:val="clear" w:color="auto" w:fill="CCEEFF"/>
          </w:tcPr>
          <w:p>
            <w:pPr>
              <w:spacing w:after="0" w:line="176" w:lineRule="exact"/>
              <w:rPr>
                <w:rFonts w:ascii="Arial" w:cs="Arial" w:eastAsia="Arial" w:hAnsi="Arial"/>
                <w:sz w:val="18"/>
                <w:szCs w:val="18"/>
                <w:color w:val="0000EE"/>
              </w:rPr>
            </w:pPr>
            <w:hyperlink r:id="rId59">
              <w:r>
                <w:rPr>
                  <w:rFonts w:ascii="Arial" w:cs="Arial" w:eastAsia="Arial" w:hAnsi="Arial"/>
                  <w:sz w:val="18"/>
                  <w:szCs w:val="18"/>
                  <w:color w:val="0000EE"/>
                </w:rPr>
                <w:t>2014 Director Stock Option Plan (3)</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0040" w:type="dxa"/>
            <w:vAlign w:val="bottom"/>
            <w:gridSpan w:val="9"/>
            <w:shd w:val="clear" w:color="auto" w:fill="CCEEFF"/>
          </w:tcPr>
          <w:p>
            <w:pPr>
              <w:spacing w:after="0" w:line="176" w:lineRule="exact"/>
              <w:rPr>
                <w:rFonts w:ascii="Arial" w:cs="Arial" w:eastAsia="Arial" w:hAnsi="Arial"/>
                <w:sz w:val="18"/>
                <w:szCs w:val="18"/>
                <w:color w:val="0000EE"/>
              </w:rPr>
            </w:pPr>
            <w:hyperlink r:id="rId60">
              <w:r>
                <w:rPr>
                  <w:rFonts w:ascii="Arial" w:cs="Arial" w:eastAsia="Arial" w:hAnsi="Arial"/>
                  <w:sz w:val="18"/>
                  <w:szCs w:val="18"/>
                  <w:color w:val="0000EE"/>
                </w:rPr>
                <w:t>Employment Agreement with Scott M. Quist (4)</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10.5</w:t>
            </w:r>
          </w:p>
        </w:tc>
        <w:tc>
          <w:tcPr>
            <w:tcW w:w="10040" w:type="dxa"/>
            <w:vAlign w:val="bottom"/>
            <w:gridSpan w:val="9"/>
            <w:shd w:val="clear" w:color="auto" w:fill="CCEEFF"/>
          </w:tcPr>
          <w:p>
            <w:pPr>
              <w:spacing w:after="0" w:line="176" w:lineRule="exact"/>
              <w:rPr>
                <w:rFonts w:ascii="Arial" w:cs="Arial" w:eastAsia="Arial" w:hAnsi="Arial"/>
                <w:sz w:val="18"/>
                <w:szCs w:val="18"/>
                <w:color w:val="0000EE"/>
              </w:rPr>
            </w:pPr>
            <w:hyperlink r:id="rId61">
              <w:r>
                <w:rPr>
                  <w:rFonts w:ascii="Arial" w:cs="Arial" w:eastAsia="Arial" w:hAnsi="Arial"/>
                  <w:sz w:val="18"/>
                  <w:szCs w:val="18"/>
                  <w:color w:val="0000EE"/>
                </w:rPr>
                <w:t>Stock Purchase Agreement among Security National Financial Corporation, Beta Capital Corp., and Ronald D. Maxson (7)</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2600" w:type="dxa"/>
            <w:vAlign w:val="bottom"/>
            <w:tcBorders>
              <w:top w:val="single" w:sz="8" w:color="0000EE"/>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0040" w:type="dxa"/>
            <w:vAlign w:val="bottom"/>
            <w:gridSpan w:val="9"/>
            <w:shd w:val="clear" w:color="auto" w:fill="CCEEFF"/>
          </w:tcPr>
          <w:p>
            <w:pPr>
              <w:spacing w:after="0" w:line="176" w:lineRule="exact"/>
              <w:rPr>
                <w:rFonts w:ascii="Arial" w:cs="Arial" w:eastAsia="Arial" w:hAnsi="Arial"/>
                <w:sz w:val="18"/>
                <w:szCs w:val="18"/>
                <w:color w:val="0000EE"/>
              </w:rPr>
            </w:pPr>
            <w:hyperlink r:id="rId62">
              <w:r>
                <w:rPr>
                  <w:rFonts w:ascii="Arial" w:cs="Arial" w:eastAsia="Arial" w:hAnsi="Arial"/>
                  <w:sz w:val="18"/>
                  <w:szCs w:val="18"/>
                  <w:color w:val="0000EE"/>
                </w:rPr>
                <w:t>Stock Repurchase Plan (8)</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92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26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10.7</w:t>
            </w:r>
          </w:p>
        </w:tc>
        <w:tc>
          <w:tcPr>
            <w:tcW w:w="1004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Asset Purchase Agreement among SN Probst LLC, Probst Family Funerals and Cremations, L.L.C, Heber Valley Funeral Home, Inc., Joe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40" w:type="dxa"/>
            <w:vAlign w:val="bottom"/>
            <w:gridSpan w:val="9"/>
            <w:shd w:val="clear" w:color="auto" w:fill="CCEEFF"/>
          </w:tcPr>
          <w:p>
            <w:pPr>
              <w:spacing w:after="0" w:line="196" w:lineRule="exact"/>
              <w:rPr>
                <w:rFonts w:ascii="Arial" w:cs="Arial" w:eastAsia="Arial" w:hAnsi="Arial"/>
                <w:sz w:val="18"/>
                <w:szCs w:val="18"/>
                <w:color w:val="0000EE"/>
              </w:rPr>
            </w:pPr>
            <w:hyperlink r:id="rId63">
              <w:r>
                <w:rPr>
                  <w:rFonts w:ascii="Arial" w:cs="Arial" w:eastAsia="Arial" w:hAnsi="Arial"/>
                  <w:sz w:val="18"/>
                  <w:szCs w:val="18"/>
                  <w:color w:val="0000EE"/>
                </w:rPr>
                <w:t>T. Probst, Clinton Wayne Probst, Calle J. Probst, and Marsha J. Probst (9)</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17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6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80" w:hanging="1372"/>
        <w:spacing w:after="0"/>
        <w:tabs>
          <w:tab w:leader="none" w:pos="1380" w:val="left"/>
        </w:tabs>
        <w:numPr>
          <w:ilvl w:val="0"/>
          <w:numId w:val="50"/>
        </w:numPr>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Code of Business Conduct and Ethics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380" w:hanging="1372"/>
        <w:spacing w:after="0"/>
        <w:tabs>
          <w:tab w:leader="none" w:pos="1380" w:val="left"/>
        </w:tabs>
        <w:numPr>
          <w:ilvl w:val="0"/>
          <w:numId w:val="51"/>
        </w:numPr>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Subsidiaries of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23.1</w:t>
            </w:r>
          </w:p>
        </w:tc>
        <w:tc>
          <w:tcPr>
            <w:tcW w:w="10040" w:type="dxa"/>
            <w:vAlign w:val="bottom"/>
            <w:gridSpan w:val="6"/>
            <w:shd w:val="clear" w:color="auto" w:fill="CCEEFF"/>
          </w:tcPr>
          <w:p>
            <w:pPr>
              <w:spacing w:after="0"/>
              <w:rPr>
                <w:rFonts w:ascii="Arial" w:cs="Arial" w:eastAsia="Arial" w:hAnsi="Arial"/>
                <w:sz w:val="18"/>
                <w:szCs w:val="18"/>
                <w:color w:val="0000EE"/>
              </w:rPr>
            </w:pPr>
            <w:hyperlink r:id="rId66">
              <w:r>
                <w:rPr>
                  <w:rFonts w:ascii="Arial" w:cs="Arial" w:eastAsia="Arial" w:hAnsi="Arial"/>
                  <w:sz w:val="18"/>
                  <w:szCs w:val="18"/>
                  <w:color w:val="0000EE"/>
                </w:rPr>
                <w:t>Consent of Eide Bailly LLP (5)</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280" w:type="dxa"/>
            <w:vAlign w:val="bottom"/>
            <w:tcBorders>
              <w:top w:val="single" w:sz="8" w:color="0000EE"/>
            </w:tcBorders>
            <w:gridSpan w:val="2"/>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50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23.2</w:t>
            </w:r>
          </w:p>
        </w:tc>
        <w:tc>
          <w:tcPr>
            <w:tcW w:w="10040" w:type="dxa"/>
            <w:vAlign w:val="bottom"/>
            <w:gridSpan w:val="6"/>
            <w:shd w:val="clear" w:color="auto" w:fill="CCEEFF"/>
          </w:tcPr>
          <w:p>
            <w:pPr>
              <w:spacing w:after="0" w:line="176" w:lineRule="exact"/>
              <w:rPr>
                <w:rFonts w:ascii="Arial" w:cs="Arial" w:eastAsia="Arial" w:hAnsi="Arial"/>
                <w:sz w:val="18"/>
                <w:szCs w:val="18"/>
                <w:color w:val="0000EE"/>
              </w:rPr>
            </w:pPr>
            <w:hyperlink r:id="rId67">
              <w:r>
                <w:rPr>
                  <w:rFonts w:ascii="Arial" w:cs="Arial" w:eastAsia="Arial" w:hAnsi="Arial"/>
                  <w:sz w:val="18"/>
                  <w:szCs w:val="18"/>
                  <w:color w:val="0000EE"/>
                </w:rPr>
                <w:t>Consent of Mackey Price &amp; Mecham (5)</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280" w:type="dxa"/>
            <w:vAlign w:val="bottom"/>
            <w:tcBorders>
              <w:top w:val="single" w:sz="8" w:color="0000EE"/>
            </w:tcBorders>
            <w:gridSpan w:val="2"/>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31.1</w:t>
            </w:r>
          </w:p>
        </w:tc>
        <w:tc>
          <w:tcPr>
            <w:tcW w:w="10040" w:type="dxa"/>
            <w:vAlign w:val="bottom"/>
            <w:gridSpan w:val="6"/>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Certification pursuant to 18 U.S.C. Section 1350, as enacted by Section 302 of the Sarbanes-Oxley Act of 2002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8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2020" w:type="dxa"/>
            <w:vAlign w:val="bottom"/>
            <w:shd w:val="clear" w:color="auto" w:fill="CCEEFF"/>
          </w:tcPr>
          <w:p>
            <w:pPr>
              <w:spacing w:after="0" w:line="176" w:lineRule="exact"/>
              <w:rPr>
                <w:rFonts w:ascii="Arial" w:cs="Arial" w:eastAsia="Arial" w:hAnsi="Arial"/>
                <w:sz w:val="18"/>
                <w:szCs w:val="18"/>
                <w:color w:val="0000EE"/>
                <w:w w:val="92"/>
              </w:rPr>
            </w:pPr>
            <w:hyperlink w:anchor="page74">
              <w:r>
                <w:rPr>
                  <w:rFonts w:ascii="Arial" w:cs="Arial" w:eastAsia="Arial" w:hAnsi="Arial"/>
                  <w:sz w:val="18"/>
                  <w:szCs w:val="18"/>
                  <w:color w:val="0000EE"/>
                  <w:w w:val="92"/>
                </w:rPr>
                <w:t>Certification pursuant to 18</w:t>
              </w:r>
            </w:hyperlink>
          </w:p>
        </w:tc>
        <w:tc>
          <w:tcPr>
            <w:tcW w:w="8020" w:type="dxa"/>
            <w:vAlign w:val="bottom"/>
            <w:gridSpan w:val="5"/>
            <w:shd w:val="clear" w:color="auto" w:fill="CCEEFF"/>
          </w:tcPr>
          <w:p>
            <w:pPr>
              <w:ind w:left="20"/>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U.S.C. Section 1350, as enacted by Section 302 of the Sarbanes-Oxley Act of 2002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8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32.1</w:t>
            </w:r>
          </w:p>
        </w:tc>
        <w:tc>
          <w:tcPr>
            <w:tcW w:w="2020" w:type="dxa"/>
            <w:vAlign w:val="bottom"/>
            <w:shd w:val="clear" w:color="auto" w:fill="CCEEFF"/>
          </w:tcPr>
          <w:p>
            <w:pPr>
              <w:spacing w:after="0" w:line="176" w:lineRule="exact"/>
              <w:rPr>
                <w:rFonts w:ascii="Arial" w:cs="Arial" w:eastAsia="Arial" w:hAnsi="Arial"/>
                <w:sz w:val="18"/>
                <w:szCs w:val="18"/>
                <w:color w:val="0000EE"/>
                <w:w w:val="92"/>
              </w:rPr>
            </w:pPr>
            <w:hyperlink w:anchor="page75">
              <w:r>
                <w:rPr>
                  <w:rFonts w:ascii="Arial" w:cs="Arial" w:eastAsia="Arial" w:hAnsi="Arial"/>
                  <w:sz w:val="18"/>
                  <w:szCs w:val="18"/>
                  <w:color w:val="0000EE"/>
                  <w:w w:val="92"/>
                </w:rPr>
                <w:t>Certification pursuant to 18</w:t>
              </w:r>
            </w:hyperlink>
          </w:p>
        </w:tc>
        <w:tc>
          <w:tcPr>
            <w:tcW w:w="8020" w:type="dxa"/>
            <w:vAlign w:val="bottom"/>
            <w:gridSpan w:val="5"/>
            <w:shd w:val="clear" w:color="auto" w:fill="CCEEFF"/>
          </w:tcPr>
          <w:p>
            <w:pPr>
              <w:ind w:left="20"/>
              <w:spacing w:after="0" w:line="176" w:lineRule="exact"/>
              <w:rPr>
                <w:rFonts w:ascii="Arial" w:cs="Arial" w:eastAsia="Arial" w:hAnsi="Arial"/>
                <w:sz w:val="18"/>
                <w:szCs w:val="18"/>
                <w:color w:val="0000EE"/>
              </w:rPr>
            </w:pPr>
            <w:hyperlink w:anchor="page75">
              <w:r>
                <w:rPr>
                  <w:rFonts w:ascii="Arial" w:cs="Arial" w:eastAsia="Arial" w:hAnsi="Arial"/>
                  <w:sz w:val="18"/>
                  <w:szCs w:val="18"/>
                  <w:color w:val="0000EE"/>
                </w:rPr>
                <w:t>U.S.C. Section 1350, as adopted pursuant to Section 906 of the Sarbanes-Oxley Act of 2002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2020" w:type="dxa"/>
            <w:vAlign w:val="bottom"/>
            <w:shd w:val="clear" w:color="auto" w:fill="CCEEFF"/>
          </w:tcPr>
          <w:p>
            <w:pPr>
              <w:spacing w:after="0" w:line="176" w:lineRule="exact"/>
              <w:rPr>
                <w:rFonts w:ascii="Arial" w:cs="Arial" w:eastAsia="Arial" w:hAnsi="Arial"/>
                <w:sz w:val="18"/>
                <w:szCs w:val="18"/>
                <w:color w:val="0000EE"/>
                <w:w w:val="92"/>
              </w:rPr>
            </w:pPr>
            <w:hyperlink w:anchor="page76">
              <w:r>
                <w:rPr>
                  <w:rFonts w:ascii="Arial" w:cs="Arial" w:eastAsia="Arial" w:hAnsi="Arial"/>
                  <w:sz w:val="18"/>
                  <w:szCs w:val="18"/>
                  <w:color w:val="0000EE"/>
                  <w:w w:val="92"/>
                </w:rPr>
                <w:t>Certification pursuant to 18</w:t>
              </w:r>
            </w:hyperlink>
          </w:p>
        </w:tc>
        <w:tc>
          <w:tcPr>
            <w:tcW w:w="8020" w:type="dxa"/>
            <w:vAlign w:val="bottom"/>
            <w:gridSpan w:val="5"/>
            <w:shd w:val="clear" w:color="auto" w:fill="CCEEFF"/>
          </w:tcPr>
          <w:p>
            <w:pPr>
              <w:ind w:left="20"/>
              <w:spacing w:after="0" w:line="176" w:lineRule="exact"/>
              <w:rPr>
                <w:rFonts w:ascii="Arial" w:cs="Arial" w:eastAsia="Arial" w:hAnsi="Arial"/>
                <w:sz w:val="18"/>
                <w:szCs w:val="18"/>
                <w:color w:val="0000EE"/>
              </w:rPr>
            </w:pPr>
            <w:hyperlink w:anchor="page76">
              <w:r>
                <w:rPr>
                  <w:rFonts w:ascii="Arial" w:cs="Arial" w:eastAsia="Arial" w:hAnsi="Arial"/>
                  <w:sz w:val="18"/>
                  <w:szCs w:val="18"/>
                  <w:color w:val="0000EE"/>
                </w:rPr>
                <w:t>U.S.C. Section 1350, as adopted pursuant to Section 906 of the Sarbanes-Oxley Act of 2002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20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508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101.xml</w:t>
            </w: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Instance Document</w:t>
            </w: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101.xsd</w:t>
            </w:r>
          </w:p>
        </w:tc>
        <w:tc>
          <w:tcPr>
            <w:tcW w:w="10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Taxonomy Extension Schema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101.cal</w:t>
            </w:r>
          </w:p>
        </w:tc>
        <w:tc>
          <w:tcPr>
            <w:tcW w:w="10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10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101.lab</w:t>
            </w:r>
          </w:p>
        </w:tc>
        <w:tc>
          <w:tcPr>
            <w:tcW w:w="10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6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66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100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Taxonomy Extension Presentation Linkbase Document</w:t>
            </w:r>
          </w:p>
        </w:tc>
        <w:tc>
          <w:tcPr>
            <w:tcW w:w="0" w:type="dxa"/>
            <w:vAlign w:val="bottom"/>
          </w:tcPr>
          <w:p>
            <w:pPr>
              <w:spacing w:after="0"/>
              <w:rPr>
                <w:sz w:val="1"/>
                <w:szCs w:val="1"/>
                <w:color w:val="auto"/>
              </w:rPr>
            </w:pPr>
          </w:p>
        </w:tc>
      </w:tr>
      <w:tr>
        <w:trPr>
          <w:trHeight w:val="582"/>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00" w:type="dxa"/>
            <w:vAlign w:val="bottom"/>
            <w:gridSpan w:val="3"/>
          </w:tcPr>
          <w:p>
            <w:pPr>
              <w:jc w:val="right"/>
              <w:ind w:right="3620"/>
              <w:spacing w:after="0"/>
              <w:rPr>
                <w:sz w:val="20"/>
                <w:szCs w:val="20"/>
                <w:color w:val="auto"/>
              </w:rPr>
            </w:pPr>
            <w:r>
              <w:rPr>
                <w:rFonts w:ascii="Arial" w:cs="Arial" w:eastAsia="Arial" w:hAnsi="Arial"/>
                <w:sz w:val="14"/>
                <w:szCs w:val="14"/>
                <w:color w:val="auto"/>
              </w:rPr>
              <w:t>58</w:t>
            </w:r>
          </w:p>
        </w:tc>
        <w:tc>
          <w:tcPr>
            <w:tcW w:w="6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0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58" w:name="page59"/>
    <w:bookmarkEnd w:id="58"/>
    <w:p>
      <w:pPr>
        <w:ind w:left="1372" w:hanging="1372"/>
        <w:spacing w:after="0" w:line="207" w:lineRule="exact"/>
        <w:tabs>
          <w:tab w:leader="none" w:pos="13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as filed on September 29, 1987</w:t>
      </w:r>
    </w:p>
    <w:p>
      <w:pPr>
        <w:spacing w:after="0" w:line="225" w:lineRule="exact"/>
        <w:rPr>
          <w:rFonts w:ascii="Arial" w:cs="Arial" w:eastAsia="Arial" w:hAnsi="Arial"/>
          <w:sz w:val="18"/>
          <w:szCs w:val="18"/>
          <w:color w:val="auto"/>
        </w:rPr>
      </w:pPr>
    </w:p>
    <w:p>
      <w:pPr>
        <w:ind w:left="1372" w:hanging="1372"/>
        <w:spacing w:after="0"/>
        <w:tabs>
          <w:tab w:leader="none" w:pos="13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August 15, 2016</w:t>
      </w:r>
    </w:p>
    <w:p>
      <w:pPr>
        <w:spacing w:after="0" w:line="225" w:lineRule="exact"/>
        <w:rPr>
          <w:rFonts w:ascii="Arial" w:cs="Arial" w:eastAsia="Arial" w:hAnsi="Arial"/>
          <w:sz w:val="18"/>
          <w:szCs w:val="18"/>
          <w:color w:val="auto"/>
        </w:rPr>
      </w:pPr>
    </w:p>
    <w:p>
      <w:pPr>
        <w:ind w:left="1372" w:hanging="1372"/>
        <w:spacing w:after="0" w:line="277" w:lineRule="auto"/>
        <w:tabs>
          <w:tab w:leader="none" w:pos="13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Schedule 14A Definitive Proxy Statement, as filed on September 2, 2014, related to Company’s Annual Meeting of Stockholders</w:t>
      </w:r>
    </w:p>
    <w:p>
      <w:pPr>
        <w:spacing w:after="0" w:line="170" w:lineRule="exact"/>
        <w:rPr>
          <w:rFonts w:ascii="Arial" w:cs="Arial" w:eastAsia="Arial" w:hAnsi="Arial"/>
          <w:sz w:val="18"/>
          <w:szCs w:val="18"/>
          <w:color w:val="auto"/>
        </w:rPr>
      </w:pPr>
    </w:p>
    <w:p>
      <w:pPr>
        <w:ind w:left="1372" w:hanging="1372"/>
        <w:spacing w:after="0"/>
        <w:tabs>
          <w:tab w:leader="none" w:pos="13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November 15, 2015</w:t>
      </w:r>
    </w:p>
    <w:p>
      <w:pPr>
        <w:spacing w:after="0" w:line="225" w:lineRule="exact"/>
        <w:rPr>
          <w:rFonts w:ascii="Arial" w:cs="Arial" w:eastAsia="Arial" w:hAnsi="Arial"/>
          <w:sz w:val="18"/>
          <w:szCs w:val="18"/>
          <w:color w:val="auto"/>
        </w:rPr>
      </w:pPr>
    </w:p>
    <w:p>
      <w:pPr>
        <w:ind w:left="1372" w:hanging="1372"/>
        <w:spacing w:after="0"/>
        <w:tabs>
          <w:tab w:leader="none" w:pos="13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Registration Statement on Form S-8, as filed on October 20, 2015</w:t>
      </w:r>
    </w:p>
    <w:p>
      <w:pPr>
        <w:spacing w:after="0" w:line="225" w:lineRule="exact"/>
        <w:rPr>
          <w:rFonts w:ascii="Arial" w:cs="Arial" w:eastAsia="Arial" w:hAnsi="Arial"/>
          <w:sz w:val="18"/>
          <w:szCs w:val="18"/>
          <w:color w:val="auto"/>
        </w:rPr>
      </w:pPr>
    </w:p>
    <w:p>
      <w:pPr>
        <w:ind w:left="1372" w:hanging="1372"/>
        <w:spacing w:after="0"/>
        <w:tabs>
          <w:tab w:leader="none" w:pos="13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Report on Form 10-K, as filed on March 31, 2017</w:t>
      </w:r>
    </w:p>
    <w:p>
      <w:pPr>
        <w:spacing w:after="0" w:line="225" w:lineRule="exact"/>
        <w:rPr>
          <w:rFonts w:ascii="Arial" w:cs="Arial" w:eastAsia="Arial" w:hAnsi="Arial"/>
          <w:sz w:val="18"/>
          <w:szCs w:val="18"/>
          <w:color w:val="auto"/>
        </w:rPr>
      </w:pPr>
    </w:p>
    <w:p>
      <w:pPr>
        <w:ind w:left="1372" w:hanging="1372"/>
        <w:spacing w:after="0"/>
        <w:tabs>
          <w:tab w:leader="none" w:pos="13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Report on Form 8-K, as filed on June 6, 2018</w:t>
      </w:r>
    </w:p>
    <w:p>
      <w:pPr>
        <w:spacing w:after="0" w:line="225" w:lineRule="exact"/>
        <w:rPr>
          <w:rFonts w:ascii="Arial" w:cs="Arial" w:eastAsia="Arial" w:hAnsi="Arial"/>
          <w:sz w:val="18"/>
          <w:szCs w:val="18"/>
          <w:color w:val="auto"/>
        </w:rPr>
      </w:pPr>
    </w:p>
    <w:p>
      <w:pPr>
        <w:ind w:left="1372" w:hanging="1372"/>
        <w:spacing w:after="0"/>
        <w:tabs>
          <w:tab w:leader="none" w:pos="13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Report on Form 10-Q, as filed on November 13, 2018</w:t>
      </w:r>
    </w:p>
    <w:p>
      <w:pPr>
        <w:spacing w:after="0" w:line="225" w:lineRule="exact"/>
        <w:rPr>
          <w:rFonts w:ascii="Arial" w:cs="Arial" w:eastAsia="Arial" w:hAnsi="Arial"/>
          <w:sz w:val="18"/>
          <w:szCs w:val="18"/>
          <w:color w:val="auto"/>
        </w:rPr>
      </w:pPr>
    </w:p>
    <w:p>
      <w:pPr>
        <w:ind w:left="1372" w:hanging="1372"/>
        <w:spacing w:after="0"/>
        <w:tabs>
          <w:tab w:leader="none" w:pos="137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Incorporated by reference from Report on Form 8-K, as filed on February 28,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-2454275</wp:posOffset>
            </wp:positionV>
            <wp:extent cx="72466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-2179955</wp:posOffset>
            </wp:positionV>
            <wp:extent cx="72466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-1905635</wp:posOffset>
            </wp:positionV>
            <wp:extent cx="7246620" cy="274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-1493520</wp:posOffset>
            </wp:positionV>
            <wp:extent cx="72466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-1219200</wp:posOffset>
            </wp:positionV>
            <wp:extent cx="72466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-944880</wp:posOffset>
            </wp:positionV>
            <wp:extent cx="72466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-670560</wp:posOffset>
            </wp:positionV>
            <wp:extent cx="7246620" cy="1371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-396240</wp:posOffset>
            </wp:positionV>
            <wp:extent cx="724662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-121920</wp:posOffset>
            </wp:positionV>
            <wp:extent cx="72466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125"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REGISTRANT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SECURITY NATIONAL FINANCIAL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ind w:left="2000"/>
              <w:spacing w:after="0"/>
              <w:rPr>
                <w:sz w:val="20"/>
                <w:szCs w:val="20"/>
                <w:color w:val="auto"/>
              </w:rPr>
            </w:pPr>
            <w:r>
              <w:rPr>
                <w:rFonts w:ascii="Arial" w:cs="Arial" w:eastAsia="Arial" w:hAnsi="Arial"/>
                <w:sz w:val="18"/>
                <w:szCs w:val="18"/>
                <w:color w:val="auto"/>
              </w:rPr>
              <w:t>Dated: May 15, 2019</w:t>
            </w:r>
          </w:p>
        </w:tc>
        <w:tc>
          <w:tcPr>
            <w:tcW w:w="1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1"/>
              </w:rPr>
              <w:t>/s/ Scott M. Quist</w:t>
            </w:r>
          </w:p>
        </w:tc>
        <w:tc>
          <w:tcPr>
            <w:tcW w:w="5120" w:type="dxa"/>
            <w:vAlign w:val="bottom"/>
          </w:tcPr>
          <w:p>
            <w:pPr>
              <w:spacing w:after="0"/>
              <w:rPr>
                <w:sz w:val="17"/>
                <w:szCs w:val="17"/>
                <w:color w:val="auto"/>
              </w:rPr>
            </w:pPr>
          </w:p>
        </w:tc>
      </w:tr>
      <w:tr>
        <w:trPr>
          <w:trHeight w:val="222"/>
        </w:trPr>
        <w:tc>
          <w:tcPr>
            <w:tcW w:w="500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Scott M. Quist</w:t>
            </w:r>
          </w:p>
        </w:tc>
      </w:tr>
      <w:tr>
        <w:trPr>
          <w:trHeight w:val="216"/>
        </w:trPr>
        <w:tc>
          <w:tcPr>
            <w:tcW w:w="500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5000" w:type="dxa"/>
            <w:vAlign w:val="bottom"/>
          </w:tcPr>
          <w:p>
            <w:pPr>
              <w:spacing w:after="0"/>
              <w:rPr>
                <w:sz w:val="20"/>
                <w:szCs w:val="20"/>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(Principal Executive Officer)</w:t>
            </w:r>
          </w:p>
        </w:tc>
      </w:tr>
      <w:tr>
        <w:trPr>
          <w:trHeight w:val="662"/>
        </w:trPr>
        <w:tc>
          <w:tcPr>
            <w:tcW w:w="5000" w:type="dxa"/>
            <w:vAlign w:val="bottom"/>
          </w:tcPr>
          <w:p>
            <w:pPr>
              <w:ind w:left="2000"/>
              <w:spacing w:after="0"/>
              <w:rPr>
                <w:sz w:val="20"/>
                <w:szCs w:val="20"/>
                <w:color w:val="auto"/>
              </w:rPr>
            </w:pPr>
            <w:r>
              <w:rPr>
                <w:rFonts w:ascii="Arial" w:cs="Arial" w:eastAsia="Arial" w:hAnsi="Arial"/>
                <w:sz w:val="18"/>
                <w:szCs w:val="18"/>
                <w:color w:val="auto"/>
              </w:rPr>
              <w:t>Dated: May 15, 2019</w:t>
            </w: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Garrett S. Sill</w:t>
            </w:r>
          </w:p>
        </w:tc>
        <w:tc>
          <w:tcPr>
            <w:tcW w:w="5180" w:type="dxa"/>
            <w:vAlign w:val="bottom"/>
            <w:gridSpan w:val="2"/>
          </w:tcPr>
          <w:p>
            <w:pPr>
              <w:spacing w:after="0"/>
              <w:rPr>
                <w:sz w:val="24"/>
                <w:szCs w:val="24"/>
                <w:color w:val="auto"/>
              </w:rPr>
            </w:pPr>
          </w:p>
        </w:tc>
      </w:tr>
      <w:tr>
        <w:trPr>
          <w:trHeight w:val="222"/>
        </w:trPr>
        <w:tc>
          <w:tcPr>
            <w:tcW w:w="5000" w:type="dxa"/>
            <w:vAlign w:val="bottom"/>
          </w:tcPr>
          <w:p>
            <w:pPr>
              <w:spacing w:after="0"/>
              <w:rPr>
                <w:sz w:val="19"/>
                <w:szCs w:val="19"/>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Garrett S. Sill</w:t>
            </w:r>
          </w:p>
        </w:tc>
      </w:tr>
      <w:tr>
        <w:trPr>
          <w:trHeight w:val="216"/>
        </w:trPr>
        <w:tc>
          <w:tcPr>
            <w:tcW w:w="5000" w:type="dxa"/>
            <w:vAlign w:val="bottom"/>
          </w:tcPr>
          <w:p>
            <w:pPr>
              <w:spacing w:after="0"/>
              <w:rPr>
                <w:sz w:val="18"/>
                <w:szCs w:val="18"/>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000" w:type="dxa"/>
            <w:vAlign w:val="bottom"/>
          </w:tcPr>
          <w:p>
            <w:pPr>
              <w:spacing w:after="0"/>
              <w:rPr>
                <w:sz w:val="20"/>
                <w:szCs w:val="20"/>
                <w:color w:val="auto"/>
              </w:rPr>
            </w:pPr>
          </w:p>
        </w:tc>
        <w:tc>
          <w:tcPr>
            <w:tcW w:w="6400" w:type="dxa"/>
            <w:vAlign w:val="bottom"/>
            <w:gridSpan w:val="3"/>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717"/>
        </w:trPr>
        <w:tc>
          <w:tcPr>
            <w:tcW w:w="5000" w:type="dxa"/>
            <w:vAlign w:val="bottom"/>
          </w:tcPr>
          <w:p>
            <w:pPr>
              <w:spacing w:after="0"/>
              <w:rPr>
                <w:sz w:val="24"/>
                <w:szCs w:val="24"/>
                <w:color w:val="auto"/>
              </w:rPr>
            </w:pPr>
          </w:p>
        </w:tc>
        <w:tc>
          <w:tcPr>
            <w:tcW w:w="1220" w:type="dxa"/>
            <w:vAlign w:val="bottom"/>
          </w:tcPr>
          <w:p>
            <w:pPr>
              <w:ind w:left="640"/>
              <w:spacing w:after="0"/>
              <w:rPr>
                <w:sz w:val="20"/>
                <w:szCs w:val="20"/>
                <w:color w:val="auto"/>
              </w:rPr>
            </w:pPr>
            <w:r>
              <w:rPr>
                <w:rFonts w:ascii="Arial" w:cs="Arial" w:eastAsia="Arial" w:hAnsi="Arial"/>
                <w:sz w:val="14"/>
                <w:szCs w:val="14"/>
                <w:color w:val="auto"/>
              </w:rPr>
              <w:t>60</w:t>
            </w:r>
          </w:p>
        </w:tc>
        <w:tc>
          <w:tcPr>
            <w:tcW w:w="60" w:type="dxa"/>
            <w:vAlign w:val="bottom"/>
          </w:tcPr>
          <w:p>
            <w:pPr>
              <w:spacing w:after="0"/>
              <w:rPr>
                <w:sz w:val="24"/>
                <w:szCs w:val="24"/>
                <w:color w:val="auto"/>
              </w:rPr>
            </w:pPr>
          </w:p>
        </w:tc>
        <w:tc>
          <w:tcPr>
            <w:tcW w:w="5120" w:type="dxa"/>
            <w:vAlign w:val="bottom"/>
          </w:tcPr>
          <w:p>
            <w:pPr>
              <w:spacing w:after="0"/>
              <w:rPr>
                <w:sz w:val="24"/>
                <w:szCs w:val="24"/>
                <w:color w:val="auto"/>
              </w:rPr>
            </w:pPr>
          </w:p>
        </w:tc>
      </w:tr>
      <w:tr>
        <w:trPr>
          <w:trHeight w:val="114"/>
        </w:trPr>
        <w:tc>
          <w:tcPr>
            <w:tcW w:w="500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120" w:type="dxa"/>
            <w:vAlign w:val="bottom"/>
            <w:tcBorders>
              <w:bottom w:val="single" w:sz="8" w:color="auto"/>
            </w:tcBorders>
          </w:tcPr>
          <w:p>
            <w:pPr>
              <w:spacing w:after="0"/>
              <w:rPr>
                <w:sz w:val="9"/>
                <w:szCs w:val="9"/>
                <w:color w:val="auto"/>
              </w:rPr>
            </w:pPr>
          </w:p>
        </w:tc>
      </w:tr>
    </w:tbl>
    <w:p>
      <w:pPr>
        <w:sectPr>
          <w:pgSz w:w="11900" w:h="16838" w:orient="portrait"/>
          <w:cols w:equalWidth="0" w:num="1">
            <w:col w:w="11420"/>
          </w:cols>
          <w:pgMar w:left="240" w:top="364"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34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See pdf.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b w:val="1"/>
          <w:bCs w:val="1"/>
          <w:color w:val="auto"/>
        </w:rPr>
        <w:t>Exhibit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NATIONAL FINANCIAL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as of March 15, 2019</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Introduction</w:t>
      </w:r>
    </w:p>
    <w:p>
      <w:pPr>
        <w:spacing w:after="0" w:line="27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This Code of Business Conduct and Ethics (this “Code”) covers a wide range of business practices and procedures. It is applicable to all directors, officers, and employees (including temporary employees) of Security National Financial Corporation, including its subsidiaries (the “Company”). It does not cover every issue that may arise or provide full details of specific Company policies, but it sets out basic principles to guide all directors, officers, and employees of the Company. All of the Company’s directors, officers, and employees will conduct themselves accordingly and seek to avoid even the appearance of improper behavior in any way relating to the Company. This Code should also be provided to and followed by the Company’s agents and representatives, including consultants. Those who violate the standards in this Code will be subject to disciplinary action, including possible termination. If questions arise regarding the interpretation, application, or existence of any of these policies, those questions should be directed to the Company’s Senior General Counsel.</w:t>
      </w:r>
    </w:p>
    <w:p>
      <w:pPr>
        <w:spacing w:after="0" w:line="246" w:lineRule="exact"/>
        <w:rPr>
          <w:sz w:val="20"/>
          <w:szCs w:val="20"/>
          <w:color w:val="auto"/>
        </w:rPr>
      </w:pPr>
    </w:p>
    <w:p>
      <w:pPr>
        <w:ind w:left="980" w:hanging="324"/>
        <w:spacing w:after="0"/>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Scope of Code</w:t>
      </w:r>
    </w:p>
    <w:p>
      <w:pPr>
        <w:spacing w:after="0" w:line="27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This Code is intended to deter wrongdoing and to promote the following:</w:t>
      </w:r>
    </w:p>
    <w:p>
      <w:pPr>
        <w:spacing w:after="0" w:line="225" w:lineRule="exact"/>
        <w:rPr>
          <w:rFonts w:ascii="Arial" w:cs="Arial" w:eastAsia="Arial" w:hAnsi="Arial"/>
          <w:sz w:val="18"/>
          <w:szCs w:val="18"/>
          <w:color w:val="auto"/>
        </w:rPr>
      </w:pPr>
    </w:p>
    <w:p>
      <w:pPr>
        <w:ind w:left="580" w:hanging="304"/>
        <w:spacing w:after="0"/>
        <w:tabs>
          <w:tab w:leader="none" w:pos="5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Honest and ethical conduct, including the ethical handling of actual or apparent conflicts of interest between personal and professional relationships;</w:t>
      </w:r>
    </w:p>
    <w:p>
      <w:pPr>
        <w:spacing w:after="0" w:line="248" w:lineRule="exact"/>
        <w:rPr>
          <w:rFonts w:ascii="Arial" w:cs="Arial" w:eastAsia="Arial" w:hAnsi="Arial"/>
          <w:sz w:val="16"/>
          <w:szCs w:val="16"/>
          <w:color w:val="auto"/>
        </w:rPr>
      </w:pPr>
    </w:p>
    <w:p>
      <w:pPr>
        <w:ind w:left="580" w:hanging="304"/>
        <w:spacing w:after="0" w:line="277"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Full, accurate, timely, and understandable disclosure in reports and documents the Company prepares and in other communications made by the Company;</w:t>
      </w:r>
    </w:p>
    <w:p>
      <w:pPr>
        <w:spacing w:after="0" w:line="170" w:lineRule="exact"/>
        <w:rPr>
          <w:rFonts w:ascii="Arial" w:cs="Arial" w:eastAsia="Arial" w:hAnsi="Arial"/>
          <w:sz w:val="18"/>
          <w:szCs w:val="18"/>
          <w:color w:val="auto"/>
        </w:rPr>
      </w:pPr>
    </w:p>
    <w:p>
      <w:pPr>
        <w:ind w:left="580" w:hanging="304"/>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Compliance with applicable governmental laws, rules, and regulations;</w:t>
      </w:r>
    </w:p>
    <w:p>
      <w:pPr>
        <w:spacing w:after="0" w:line="225" w:lineRule="exact"/>
        <w:rPr>
          <w:rFonts w:ascii="Arial" w:cs="Arial" w:eastAsia="Arial" w:hAnsi="Arial"/>
          <w:sz w:val="18"/>
          <w:szCs w:val="18"/>
          <w:color w:val="auto"/>
        </w:rPr>
      </w:pPr>
    </w:p>
    <w:p>
      <w:pPr>
        <w:ind w:left="580" w:hanging="304"/>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prompt internal reporting of violations of this Code to the appropriate person or persons identified in this Code;</w:t>
      </w:r>
    </w:p>
    <w:p>
      <w:pPr>
        <w:spacing w:after="0" w:line="225" w:lineRule="exact"/>
        <w:rPr>
          <w:rFonts w:ascii="Arial" w:cs="Arial" w:eastAsia="Arial" w:hAnsi="Arial"/>
          <w:sz w:val="18"/>
          <w:szCs w:val="18"/>
          <w:color w:val="auto"/>
        </w:rPr>
      </w:pPr>
    </w:p>
    <w:p>
      <w:pPr>
        <w:ind w:left="580" w:hanging="304"/>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Accountability for adherence to this Code; and</w:t>
      </w:r>
    </w:p>
    <w:p>
      <w:pPr>
        <w:spacing w:after="0" w:line="225" w:lineRule="exact"/>
        <w:rPr>
          <w:rFonts w:ascii="Arial" w:cs="Arial" w:eastAsia="Arial" w:hAnsi="Arial"/>
          <w:sz w:val="18"/>
          <w:szCs w:val="18"/>
          <w:color w:val="auto"/>
        </w:rPr>
      </w:pPr>
    </w:p>
    <w:p>
      <w:pPr>
        <w:ind w:left="580" w:hanging="304"/>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Adherence to a high standard of business ethics.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2. Compliance with Laws, Rules and Regulations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conducting the Company’s affairs, and in private affairs outside the Company which in any way can affect the Company, the Company expects its directors, officers and employees to exercise good judgment, high ethical standards and to know and follow all applicable laws. Such directors, officers and employees also must act in a manner that upholds both the spirit and the intent of the law. Where this Code or Company guidelines differ from local laws, such directors, officers and employees must always follow the higher standard. Violations of laws have serious consequences both for the Company and for the individuals involved. Therefore, when questions arise on these or other matters, directors, officers and employees should seek guidance from the Company’s Senior General Counsel.</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Financial Integrity</w:t>
      </w:r>
    </w:p>
    <w:p>
      <w:pPr>
        <w:spacing w:after="0" w:line="2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All transactions with the Company must be recorded to permit this preparation of financial statements in conformity with generally accepted accounting principles (GAAP). This financial information serves as the basis for managing the Company’s business, measuring and fulfilling the Company’s obligations, and complying with tax and financial reporting requirements. Financial records must represent the actual facts and the actual nature of the transactions. Accounting and financial reporting practices must be fair and proper, in accordance with GAAP, and use management’s best judgment.</w:t>
      </w:r>
    </w:p>
    <w:p>
      <w:pPr>
        <w:spacing w:after="0" w:line="20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will provide full, fair, accurate, timely and understandable disclosures in reports and documents that it files with the U.S. Securities and Exchange Commission, other governmental agencies, and in all of its public communications. Clear, open, and frequent communication among all management levels and personnel on all significant financial and operating matters substantially reduces the risk of problems in the accounting and financial reporting areas and helps achieve these goals. All directors and officers are expected to be aware of these risks and to communicate accordingly. Internal controls will be adopted from time to time by the directors and officers as needed to further assist in preventing and detecting errors and fraud, promoting accuracy and completeness in financial records, and providing full, fair, accurate, timely, and understandable disclosures in periodic reports and other public communications.</w:t>
      </w:r>
    </w:p>
    <w:p>
      <w:pPr>
        <w:spacing w:after="0" w:line="2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 Conflicts of Interest</w:t>
      </w:r>
    </w:p>
    <w:p>
      <w:pPr>
        <w:spacing w:after="0" w:line="279"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 “conflict of interest” exists when a person’s private interest interferes in any way – or even appears to conflict – with the interests of the Company or interferes with a person’s duty to serve the Company to the best of that person’s ability. A conflict situation can arise when a director, officer, or employee takes actions or has an interest that may make it difficult to perform his or her work on behalf of the Company in an objective and effective manner.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jc w:val="both"/>
        <w:ind w:firstLine="648"/>
        <w:spacing w:after="0" w:line="279" w:lineRule="auto"/>
        <w:rPr>
          <w:sz w:val="20"/>
          <w:szCs w:val="20"/>
          <w:color w:val="auto"/>
        </w:rPr>
      </w:pPr>
      <w:r>
        <w:rPr>
          <w:rFonts w:ascii="Arial" w:cs="Arial" w:eastAsia="Arial" w:hAnsi="Arial"/>
          <w:sz w:val="17"/>
          <w:szCs w:val="17"/>
          <w:color w:val="auto"/>
        </w:rPr>
        <w:t>It is a conflict of interest for a Company director, officer or employee to work simultaneously for a competitor, customer, vendor or supplier or to have a direct or indirect financial interest in, or receive compensation for, any transaction between the Company and any company with whom it does business. Directors, officers and employees are not allowed to work for a competitor as a consultant or board member. The best policy is to avoid any direct or indirect business connection with the Company’s customers, suppliers or competitors, except on the Company’s behalf.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Some examples of situations that may pose a conflict of interest are as follows:</w:t>
      </w:r>
    </w:p>
    <w:p>
      <w:pPr>
        <w:spacing w:after="0" w:line="279"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significant ownership interest in any supplier or customer;</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consulting or employment relationship with any customer, supplier, or competitor;</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outside business activity that detracts from an individual’s ability to devote appropriate time or attention to such individual’s responsibilities to the Company;</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receipt of non-minimal gifts or excessive entertainment from any organization with which the Company has current or prospective business dealings; and</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Selling anything to the Company or buying anything from the Company, except on the same terms and conditions as comparable directors, officers, or employees are permitted to so purchase or sell.</w:t>
      </w:r>
    </w:p>
    <w:p>
      <w:pPr>
        <w:spacing w:after="0" w:line="22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Conflicts of interest are prohibited as a matter of Company policy, except under guidelines approved by the Board of Directors. Conflicts of interest may not always be clear-cut, so if any director, officer or employee has a question, he or she should consult with the Company’s management or the Company’s Senior General Counsel. Any director, officer or employee who becomes aware of a conflict of interest or potential conflict of interest should bring it to the attention of Company management or other appropriate personnel.</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 Insider Trading</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Directors, officers and employees who have access to confidential information are not permitted to use or share that information for trading in the Company’s stock or for any other purpose except the conduct of the Company’s business. All non-public information about the Company should be considered confidential information. To use non-public information for personal financial benefit or to “tip” others who might make an investment decision on the basis of this information is not only unethical and against Company policy but is also illegal. Directors, officers, and employees also must comply with insider trading standards and procedures adopted by the Company from time to time. If a question arises, the director, officer, or employee should consult with the Company’s Senior General Counsel.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color w:val="auto"/>
        </w:rPr>
        <w:t>6. Corporate Opportunities</w:t>
      </w:r>
    </w:p>
    <w:p>
      <w:pPr>
        <w:spacing w:after="0" w:line="27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Directors, officers and employees are prohibited from taking for themselves personally or directing to a third party an opportunity that is discovered through the use of Company property, information, or position without the consent of the Board of Directors. No director, officer, or employee may use Company property, information or position for improper personal gain, and no director, officer, or employee may compete with the Company directly or indirectly. Directors, officers, and employees owe a duty to the Company to advance its legitimate interests when the opportunity to do so arises.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 Competition and Fair Dealing</w:t>
      </w:r>
    </w:p>
    <w:p>
      <w:pPr>
        <w:spacing w:after="0" w:line="2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Company seeks to outperform its competition fairly and honestly. The Company seeks competitive advantages through superior performance, rather than through unethical or illegal business practices. Stealing proprietary information, possessing trade secret information that was obtained without the owner's consent, or inducing such disclosures by past or present employees of other companies is prohibited. Each director, officer, and employee should endeavor to respect the rights of and deal fairly with the Company's customers, suppliers, competitors, and employees. No director, officer, or employee should take unfair advantage of anyone relating to the Company’s business or operations through manipulation, concealment, or abuse of privileged information, misrepresentation of material facts, or any unfair dealing practice.</w:t>
      </w:r>
    </w:p>
    <w:p>
      <w:pPr>
        <w:spacing w:after="0" w:line="23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purpose of business entertainment and gifts in a commercial setting is to create goodwill and sound working relationships, not to gain unfair advantage with third parties. In dealing with any competitor of the Company or any current or prospective supplier, customer, lessor or lessee, no director, officer or employee shall furnish or seek to receive, for personal or any other person's gain, any payment (whether for services or otherwise), loan, gift or discount of more than nominal value, or entertainment which goes beyond common courtesies usually associated with acceptable business practice. Employees are to discuss with their supervisor any gifts, proposed gifts, or entertainment that they are not certain to be appropriate.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 Discrimination and Harassment</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diversity of the Company's employees is a tremendous asset. The Company is firmly committed to providing equal opportunity in all aspects of employment and will not tolerate any illegal discrimination or harassment or any kind. The Company believes all employees should be treated fairly and equitably.</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prohibits any form of unlawful discrimination or harassment based upon sex, race, color, ethnicity, national origin, age, disability, religion, sexual orientation, or any other basis protected by law with respect to every aspect of the employment process including, but not limited to, hiring, promotion, demotion, transfer, recruitment, termination, pay, or training. This policy is intended to provide employees with a working environment free of discrimination, harassment, intimidation, or coercion relating directly or indirectly to any of these categories. All directors, officers, and employees are expected to: (a) support this policy actively; (b) act in accordance with this policy at all times in interacting with other employees, vendors, and customers; (c) ensure that all actions and decisions taken by them and their subordinates are consistent with this policy and in furtherance of it; and (d) bring any incidents in violation of this policy to the attention of Company management.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5" w:name="page66"/>
    <w:bookmarkEnd w:id="65"/>
    <w:p>
      <w:pPr>
        <w:jc w:val="both"/>
        <w:ind w:firstLine="648"/>
        <w:spacing w:after="0" w:line="254" w:lineRule="auto"/>
        <w:rPr>
          <w:sz w:val="20"/>
          <w:szCs w:val="20"/>
          <w:color w:val="auto"/>
        </w:rPr>
      </w:pPr>
      <w:r>
        <w:rPr>
          <w:rFonts w:ascii="Arial" w:cs="Arial" w:eastAsia="Arial" w:hAnsi="Arial"/>
          <w:sz w:val="18"/>
          <w:szCs w:val="18"/>
          <w:color w:val="auto"/>
        </w:rPr>
        <w:t>In addition, all employees must be allowed to work in an environment free from unsolicited and unwelcome sexual overtures. Sexual harassment refers to behavior such as unwelcome sexual advances, requests for sexual favors, and other conduct or communications of a sexual nature. If submission to such conduct is used as the basis for employment decisions, that is one kind of sexual harassment. If such conduct unreasonably interferes with an individual’s work performance by creating an intimidating, hostile, or offensive working environment, such conduct represents another form of sexual harassment. Neither kind of sexual harassment will be tolerated by the Company, nor will any other forms of harassment, discrimination, intimidation, or coercion based upon sex, race, color, ethnicity, national origin, age, disability, religion, sexual orientation, or any other basis protected by law. Any incidents that violate this policy should be brought to the immediate attention of Company management, as timely reporting is vital to the Company’s ability to investigate and resolve complaints.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 Gifts and Entertainment</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Accepting any gift of more than nominal value or entertainment that is more than a routine social amenity can appear to be an attempt to influence the recipient. To avoid the appearance of improper influence with current or prospective customers, vendors, partners, consultants, or third party representatives, the following guidelines must be observed:</w:t>
      </w:r>
    </w:p>
    <w:p>
      <w:pPr>
        <w:spacing w:after="0" w:line="235"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Never offer or accept a bribe; that is, anything designed to influence a person’s judgment:</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Never offer or accept cash or cash equivalents;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Never participate in any business entertainment activity that would violate the law or embarrass the Company by its public disclosure;</w:t>
      </w:r>
    </w:p>
    <w:p>
      <w:pPr>
        <w:spacing w:after="0" w:line="279"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Please consult with the Company’s Senior General Counsel before offering anything of value to government or political party officials, as such gifts and entertainment are strictly regulated and often forbidden entirely;</w:t>
      </w:r>
    </w:p>
    <w:p>
      <w:pPr>
        <w:spacing w:after="0" w:line="2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Do not seek or accept, directly or indirectly, any favors, such as gifts of more than nominal value, entertainment, sponsorships, or contributions, from organizations doing business or seeking to do business with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Directors, officers, and employees can offer or accept a gift or entertainment as long as it:</w:t>
      </w:r>
    </w:p>
    <w:p>
      <w:pPr>
        <w:spacing w:after="0" w:line="279"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Meets the requirements of this Code of Business Conduct and Ethics;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Does not exceed generally accepted local business practices;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 of nominal value;</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Cannot be viewed as a bribe, payoff or kickback;</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Does not violate applicable law, the Company’s policies or guidelines; and</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Is not solicited.</w:t>
      </w:r>
    </w:p>
    <w:p>
      <w:pPr>
        <w:spacing w:after="0" w:line="2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Gifts such as merchandise or products, as well as personal services or favors, may not be accepted unless they are of a type and amount as are reasonable and customary under the circumstances and are not designed to, nor have the effect of, influencing the recipient’s judgment. The Company will not be influenced by gifts or favors of any kind from its existing or potential vendors, partners, consultants, or third party representatives. Gifts of any kind should not be accepted from vendors or potential vendors (or other business partners or potential business partners).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Reasonable business entertainment such as lunch, dinner, theatre, a sporting event, and the like, is appropriate so long as it is standard practice made in the interest of the Company and in the course of a meeting or another occasion where the purpose is to hold bona fide business discussions. Consideration should be given to the business purpose for the meal or other type of entertainment, and the setting and cost of the meal or entertainment when assessing its appropriateness.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 Use of Computer System</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Directors, officers, and employees are responsible for properly using the Company’s computer system, including its electronic mail system and the Internet, in accordance with the Company’s policies. Company computers, including laptops and desktops, and the e-mail system are the property of the Company. All communications and information transmitted by, created on, or stored in, the computer system are Company records and the property of the Company. The Company has the right, but not the duty, for any reason and without the permission of any employee to monitor any and all aspects of its computer system, including reviewing documents created on and stored in its computer system, deleting any material stored in its system, monitoring websites visited by employees on the Internet, monitoring chat and news groups, reviewing material downloaded or uploaded by users from the Internet, and reviewing e-mails sent and received by users. Directors, officers, and employees should not have an expectation of privacy in anything they create, store, view, send, or receive on the Company’s computer system.</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policies also prohibit using the computer system to send or receive messages or files that are illegal, sexually explicit, abusive, offensive, or profane.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11. Health and Safety</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strives to provide each employee with a safe and healthful work environment. Each director, officer, and employee has responsibility for maintaining a safe and healthy workplace for all employees by following safety and health rules and practices and reporting accidents, injuries and unsafe equipment, practices or conditions.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jc w:val="both"/>
        <w:ind w:right="20" w:firstLine="648"/>
        <w:spacing w:after="0" w:line="277" w:lineRule="auto"/>
        <w:rPr>
          <w:sz w:val="20"/>
          <w:szCs w:val="20"/>
          <w:color w:val="auto"/>
        </w:rPr>
      </w:pPr>
      <w:r>
        <w:rPr>
          <w:rFonts w:ascii="Arial" w:cs="Arial" w:eastAsia="Arial" w:hAnsi="Arial"/>
          <w:sz w:val="18"/>
          <w:szCs w:val="18"/>
          <w:color w:val="auto"/>
        </w:rPr>
        <w:t>Violence and threatening behavior are not permitted. Directors, officers, and employees should report to work in condition to perform their duties, free from the influence of illegal drugs or alcohol. The use of illegal drugs or alcohol in the workplace will not be tolerated.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12. Record-Keeping</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Company policy and applicable law require honest and accurate recording and reporting of information in order to make responsible business decisions. All of the Company's books, records, accounts and financial statements must be maintained in reasonable detail, appropriately reflect the Company's transactions and conform both to applicable legal requirements and to the Company's system of internal controls. Unrecorded or "off the books" funds or assets should not be maintained.</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13. Confidentiality</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Directors, officers, and employees must maintain the confidentiality of confidential information entrusted to them by the Company or its customers, suppliers or others, except when disclosure is authorized by the Company's Senior General Counsel or when required or mandated by law or regulations. Confidential information includes all non-public information. It also includes information that suppliers and customers have entrusted to the Company. Such confidential information received from third parties should only be used and maintained in accordance with the applicable confidentiality agreement with each such party. The obligation to preserve confidential information continues after employment or a directorship ends.</w:t>
      </w:r>
    </w:p>
    <w:p>
      <w:pPr>
        <w:spacing w:after="0" w:line="2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confidential information is a valuable Company asset. Protecting that information is one of the most important obligations that the Company’s directors, officers, and employees have. Confidential information includes information regarding customers, policy holders, suppliers, pricing, products, business strategies, business plans, business results, financial results, potential acquisitions, software systems, and other proprietary information of the Company.</w:t>
      </w:r>
    </w:p>
    <w:p>
      <w:pPr>
        <w:spacing w:after="0" w:line="24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Confidential Company information should not be disclosed to any third party unless there is an approved non-disclosure agreement and should not be disclosed internally except on a strict “need-to-know” basis.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Directors, officers, and employees should not attempt to acquire a competitor’s confidential information through improper means. Stealing confidential information or improperly inducing disclosures by past or present employees of other companies is prohibited. While the Company may, and occasionally does, employ former employees of competitors, the Company respects the obligations of those employees not to use or disclose the confidential information of their former employers.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ind w:left="660"/>
        <w:spacing w:after="0"/>
        <w:rPr>
          <w:sz w:val="20"/>
          <w:szCs w:val="20"/>
          <w:color w:val="auto"/>
        </w:rPr>
      </w:pPr>
      <w:r>
        <w:rPr>
          <w:rFonts w:ascii="Arial" w:cs="Arial" w:eastAsia="Arial" w:hAnsi="Arial"/>
          <w:sz w:val="18"/>
          <w:szCs w:val="18"/>
          <w:color w:val="auto"/>
        </w:rPr>
        <w:t>14. Protection and Proper Use of Company Assets</w:t>
      </w:r>
    </w:p>
    <w:p>
      <w:pPr>
        <w:spacing w:after="0" w:line="27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All directors, officers, and employees should endeavor to protect the Company's assets and ensure their efficient use. Theft, carelessness, and waste have a direct impact on the Company’s profitability. Any suspected incident of fraud or theft should be immediately reported for investigation. The Company's equipment should not be used for non-Company business, though incidental personal use may be permitted.</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obligation of directors, officers, and employees to protect the Company's assets includes its proprietary information. Proprietary information includes intellectual property such as trade secrets, patents, trademarks, and copyrights, as well as business, marketing and service plans, designs, data bases, records, salary information, and any unpublished financial data and reports. Unauthorized use or distribution of this information would violate Company policy. It could also be illegal and result in civil or even criminal penalties.</w:t>
      </w:r>
    </w:p>
    <w:p>
      <w:pPr>
        <w:spacing w:after="0" w:line="24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has made significant investments in developing assets for use in its business. Directors, officers, and employees each have a responsibility to protect the value of the Company’s assets, including physical assets, information, and the Company’s good name and reputation.</w:t>
      </w:r>
    </w:p>
    <w:p>
      <w:pPr>
        <w:spacing w:after="0" w:line="20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Company’s physical assets include facilities, equipment, and computer and communications systems. These assets should only be used for Company business and the Company must protect these assets from theft, loss, damage, or misuse. While the Company respects employee privacy, officer and employee desks, cubicles, computers, computer usage, or telephone equipment should not be considered private or confidential.</w:t>
      </w:r>
    </w:p>
    <w:p>
      <w:pPr>
        <w:spacing w:after="0" w:line="22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Proprietary information is another valuable Company asset and includes internal and external communication, digital information stored on laptops, handhelds, desktops, servers, backups, and portable storage devices, and hard-copy documents. When working with proprietary and confidential information, directors, officers, and employees have a responsibility to safeguard it from unauthorized disclosure. Directors, officers, and employees must comply with all Company security policies and procedures for handling information assets and systems to ensure that the Company meets legal obligations, protects the Company’s reputation, and protects the Company’s investment in proprietary information.</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15. Chief Executive Officer and Senior Financial Officers Provisions</w:t>
      </w:r>
    </w:p>
    <w:p>
      <w:pPr>
        <w:spacing w:after="0" w:line="27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to complying with the terms of this Code of Business Conduct and Ethics, the Company's Chief Executive Officer (CEO), Chief Financial Officer (CFO) and senior financial officers are subject to the following additional specific policies:</w:t>
      </w:r>
    </w:p>
    <w:p>
      <w:pPr>
        <w:spacing w:after="0" w:line="224" w:lineRule="exact"/>
        <w:rPr>
          <w:sz w:val="20"/>
          <w:szCs w:val="20"/>
          <w:color w:val="auto"/>
        </w:rPr>
      </w:pPr>
    </w:p>
    <w:p>
      <w:pPr>
        <w:ind w:left="1300" w:right="20" w:hanging="644"/>
        <w:spacing w:after="0" w:line="342" w:lineRule="auto"/>
        <w:tabs>
          <w:tab w:leader="none" w:pos="13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CEO, CFO and all senior financial officers are responsible for full, fair, accurate, timely and understandable disclosure in the periodic reports required to be filed by the Company with the U.S. Securities and Exchange Commission and in other public communications.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jc w:val="both"/>
        <w:ind w:left="1300" w:hanging="644"/>
        <w:spacing w:after="0" w:line="279" w:lineRule="auto"/>
        <w:tabs>
          <w:tab w:leader="none" w:pos="13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CEO, CFO and each senior financial officer shall promptly bring to the attention of the Audit Committee any information he or she may have concerning (i) significant deficiencies in the design or operation of internal controls which could adversely affect the Company's ability to record, process, summarize, and report financial data or (ii) any fraud, whether or not material, that involves management or other employees who have a significant role in the Company's financial reporting, disclosures, or internal controls.</w:t>
      </w:r>
    </w:p>
    <w:p>
      <w:pPr>
        <w:spacing w:after="0" w:line="225"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CEO, CFO and each senior financial officer shall promptly bring to the attention of the Audit Committee any information he or she may have concerning any violation of the Company's Code of Business Conduct and Ethics, including any actual or apparent conflicts of interest between personal and professional relationships, involving any management or other employees who have a significant role in the Company's financial reporting, disclosures or internal controls.</w:t>
      </w:r>
    </w:p>
    <w:p>
      <w:pPr>
        <w:spacing w:after="0" w:line="24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CEO, CFO and each senior financial officer shall promptly bring to the attention of the Audit Committee any information he or she may have concerning evidence of a material violation of the securities or other laws, rules or regulations applicable to the Company and the operation of its business by the Company or any agent thereof.</w:t>
      </w:r>
    </w:p>
    <w:p>
      <w:pPr>
        <w:spacing w:after="0" w:line="235" w:lineRule="exact"/>
        <w:rPr>
          <w:sz w:val="20"/>
          <w:szCs w:val="20"/>
          <w:color w:val="auto"/>
        </w:rPr>
      </w:pPr>
    </w:p>
    <w:p>
      <w:pPr>
        <w:ind w:left="1520" w:hanging="864"/>
        <w:spacing w:after="0"/>
        <w:tabs>
          <w:tab w:leader="none" w:pos="15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Substance Abuse and Alcohol</w:t>
      </w:r>
    </w:p>
    <w:p>
      <w:pPr>
        <w:spacing w:after="0" w:line="2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is committed to maintaining a safe and drug-free environment consistent with applicable law. While on Company time, on Company premises, conducting Company business, engaging in Company activities, or operating any Company vehicle or equipment, a director, officer, or employee may never use, possess, transfer, sell or manufacture drugs (which include any controlled substances that have not been prescribed for the director, officer, or employee by his or her doctor) or drug paraphernalia. A director, officer, or employee may not report to work under the influence of alcohol or illegal drugs or controlled substance, or any drug that has not been prescribed to such director, officer, or employer by his or her doctor. If a director, officer, or employee is taking any medication that creates a safety risk, such director must report this to the Company’s President and Chief Executive Officer, and such officer or employee must report this to such officer’s or employee’s supervisor, and such director, officer, or employee must not operate any Company equipment or vehicles if the medicine affects his or her perception, alertness, or responsiveness.</w:t>
      </w:r>
    </w:p>
    <w:p>
      <w:pPr>
        <w:spacing w:after="0" w:line="23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Directors, officers, and employees may not possess, be under the influence of, or drink alcohol while operating any Company vehicle, machinery, or equipment, or conducting Company business.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ind w:left="660"/>
        <w:spacing w:after="0"/>
        <w:rPr>
          <w:sz w:val="20"/>
          <w:szCs w:val="20"/>
          <w:color w:val="auto"/>
        </w:rPr>
      </w:pPr>
      <w:r>
        <w:rPr>
          <w:rFonts w:ascii="Arial" w:cs="Arial" w:eastAsia="Arial" w:hAnsi="Arial"/>
          <w:sz w:val="18"/>
          <w:szCs w:val="18"/>
          <w:color w:val="auto"/>
        </w:rPr>
        <w:t>17. Privacy</w:t>
      </w:r>
    </w:p>
    <w:p>
      <w:pPr>
        <w:spacing w:after="0" w:line="2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 is committed to protecting the reasonable privacy expectations of its directors, officers, and employees, customers, policy holders and suppliers. The Company believes individuals have the right to privacy protection when their personal data is collected, used, or disclosed. The Company also believes that responsible stewardship of personal data is a critical component in maintaining trust in the Company and ensuring that individuals feel confident that the Company respects their right to privacy. Therefore, directors, officers, and employees each have a responsibility to comply with the Company’s privacy and information security requirements when personal data is collected, stored, processed, transmitted, and shared.</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18. Waivers of the Code of Business Conduct and Ethics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waiver of any provision of this Code for a director or an officer of the Company must be approved in writing by the Board of Directors. Any waiver of any provision of this Code with respect to any other employees must be approved in writing by the Company’s Chief Financial Officer or the Company’s Senior General Counsel.</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19. Reporting any Illegal or Unethical Behavior</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Directors and officers are encouraged to talk to the Company’s President and Chief Executive Officer, Chief Financial Officer, or Senior General Counsel, and employees are encouraged to talk to supervisors or other appropriate personnel, when in doubt about the best course of action in a particular situation, directors, officers, and employees should report any observed illegal or unethical behavior and any perceived violations of laws, rules, regulations, or this Code to appropriate personnel. It is the policy of the Company not to allow retaliation for reports of misconduct by others made in good faith. Directors, officers and employees are expected to cooperate in any internal investigations of misconduct.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Last Approval: March 15, 2019</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6"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37730" cy="342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3">
                      <a:extLst>
                        <a:ext uri="{28A0092B-C50C-407E-A947-70E740481C1C}"/>
                      </a:extLst>
                    </a:blip>
                    <a:srcRect/>
                    <a:stretch>
                      <a:fillRect/>
                    </a:stretch>
                  </pic:blipFill>
                  <pic:spPr bwMode="auto">
                    <a:xfrm>
                      <a:off x="0" y="0"/>
                      <a:ext cx="723773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377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Subsidiaries of Security National</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Financial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 of March 31, 2019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5300 Development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Affordable Funerals and Cremations of America,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American Funeral Financial,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Beta Capital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 &amp; J Financial,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California Memorial Estates,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Canadian Funeral Financial,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Cottonwood Mortuary,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Deseret Memorial,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Dry Creek Property Development,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EverLEND Mortgage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FFC Acquisition Co., LLC dba Funeral Funding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First Guaranty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Greer-Wilson Funeral Home,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Holladay Cottonwood Memorial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Holladay Memorial Park,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Insuradyne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Marketing Source Center, Inc. dba Security National Travel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Memorial Estates,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Memorial Insurance Company of America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Memorial Mortuary,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Mortician's Choice,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Land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Paradise Chapel Funeral Home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Reppond Holding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Security National Funding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Security National Life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Security National Real Estate Services, Inc. also dba Security National Commercial Capital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SecurityNational Mortgage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Select Appraisal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Diamond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SN Farmington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Mapleton,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SN Midway,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Nevada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SN Probst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SN Shadow Cliffs,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SNFC Subsidiary,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Southern Security Life Insurance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Trans-Western Life Insurance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302 OF THE SARBANES-OXLEY ACT OF 2002</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 </w:t>
      </w:r>
      <w:r>
        <w:rPr>
          <w:rFonts w:ascii="Arial" w:cs="Arial" w:eastAsia="Arial" w:hAnsi="Arial"/>
          <w:sz w:val="21"/>
          <w:szCs w:val="21"/>
          <w:color w:val="auto"/>
        </w:rPr>
        <w:t>Scott M. Quist</w:t>
      </w:r>
      <w:r>
        <w:rPr>
          <w:rFonts w:ascii="Arial" w:cs="Arial" w:eastAsia="Arial" w:hAnsi="Arial"/>
          <w:sz w:val="18"/>
          <w:szCs w:val="18"/>
          <w:color w:val="auto"/>
        </w:rPr>
        <w:t>, certify that:</w:t>
      </w:r>
    </w:p>
    <w:p>
      <w:pPr>
        <w:spacing w:after="0" w:line="292"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report on Form 10-Q of Security National Financial Corporation;</w:t>
      </w:r>
    </w:p>
    <w:p>
      <w:pPr>
        <w:spacing w:after="0" w:line="279" w:lineRule="exact"/>
        <w:rPr>
          <w:rFonts w:ascii="Arial" w:cs="Arial" w:eastAsia="Arial" w:hAnsi="Arial"/>
          <w:sz w:val="18"/>
          <w:szCs w:val="18"/>
          <w:color w:val="auto"/>
        </w:rPr>
      </w:pPr>
    </w:p>
    <w:p>
      <w:pPr>
        <w:ind w:firstLine="8"/>
        <w:spacing w:after="0" w:line="342" w:lineRule="auto"/>
        <w:tabs>
          <w:tab w:leader="none" w:pos="208"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0" w:firstLine="8"/>
        <w:spacing w:after="0" w:line="277" w:lineRule="auto"/>
        <w:tabs>
          <w:tab w:leader="none" w:pos="182"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jc w:val="both"/>
        <w:ind w:firstLine="440"/>
        <w:spacing w:after="0" w:line="264" w:lineRule="auto"/>
        <w:tabs>
          <w:tab w:leader="none" w:pos="1091" w:val="left"/>
        </w:tabs>
        <w:numPr>
          <w:ilvl w:val="2"/>
          <w:numId w:val="6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235" w:lineRule="exact"/>
        <w:rPr>
          <w:rFonts w:ascii="Arial" w:cs="Arial" w:eastAsia="Arial" w:hAnsi="Arial"/>
          <w:sz w:val="18"/>
          <w:szCs w:val="18"/>
          <w:color w:val="auto"/>
        </w:rPr>
      </w:pPr>
    </w:p>
    <w:p>
      <w:pPr>
        <w:jc w:val="both"/>
        <w:ind w:firstLine="440"/>
        <w:spacing w:after="0" w:line="264" w:lineRule="auto"/>
        <w:tabs>
          <w:tab w:leader="none" w:pos="1101" w:val="left"/>
        </w:tabs>
        <w:numPr>
          <w:ilvl w:val="2"/>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firstLine="440"/>
        <w:spacing w:after="0" w:line="308" w:lineRule="auto"/>
        <w:tabs>
          <w:tab w:leader="none" w:pos="1091" w:val="left"/>
        </w:tabs>
        <w:numPr>
          <w:ilvl w:val="2"/>
          <w:numId w:val="6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right="20" w:firstLine="440"/>
        <w:spacing w:after="0" w:line="264" w:lineRule="auto"/>
        <w:tabs>
          <w:tab w:leader="none" w:pos="1101" w:val="left"/>
        </w:tabs>
        <w:numPr>
          <w:ilvl w:val="2"/>
          <w:numId w:val="6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firstLine="8"/>
        <w:spacing w:after="0" w:line="308" w:lineRule="auto"/>
        <w:tabs>
          <w:tab w:leader="none" w:pos="2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firstLine="413"/>
        <w:spacing w:after="0" w:line="277" w:lineRule="auto"/>
        <w:tabs>
          <w:tab w:leader="none" w:pos="1091"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firstLine="413"/>
        <w:spacing w:after="0" w:line="277" w:lineRule="auto"/>
        <w:tabs>
          <w:tab w:leader="none" w:pos="1168"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ind w:left="1460"/>
              <w:spacing w:after="0"/>
              <w:rPr>
                <w:sz w:val="20"/>
                <w:szCs w:val="20"/>
                <w:color w:val="auto"/>
              </w:rPr>
            </w:pPr>
            <w:r>
              <w:rPr>
                <w:rFonts w:ascii="Arial" w:cs="Arial" w:eastAsia="Arial" w:hAnsi="Arial"/>
                <w:sz w:val="18"/>
                <w:szCs w:val="18"/>
                <w:color w:val="auto"/>
              </w:rPr>
              <w:t>Dated: May 15, 2019</w:t>
            </w:r>
          </w:p>
        </w:tc>
        <w:tc>
          <w:tcPr>
            <w:tcW w:w="6960" w:type="dxa"/>
            <w:vAlign w:val="bottom"/>
            <w:gridSpan w:val="2"/>
          </w:tcPr>
          <w:p>
            <w:pPr>
              <w:spacing w:after="0"/>
              <w:rPr>
                <w:sz w:val="20"/>
                <w:szCs w:val="20"/>
                <w:color w:val="auto"/>
              </w:rPr>
            </w:pPr>
            <w:r>
              <w:rPr>
                <w:rFonts w:ascii="Arial" w:cs="Arial" w:eastAsia="Arial" w:hAnsi="Arial"/>
                <w:sz w:val="18"/>
                <w:szCs w:val="18"/>
                <w:color w:val="auto"/>
              </w:rPr>
              <w:t>/s/ Scott M. Quist</w:t>
            </w:r>
          </w:p>
        </w:tc>
      </w:tr>
      <w:tr>
        <w:trPr>
          <w:trHeight w:val="222"/>
        </w:trPr>
        <w:tc>
          <w:tcPr>
            <w:tcW w:w="4460" w:type="dxa"/>
            <w:vAlign w:val="bottom"/>
          </w:tcPr>
          <w:p>
            <w:pPr>
              <w:spacing w:after="0"/>
              <w:rPr>
                <w:sz w:val="19"/>
                <w:szCs w:val="19"/>
                <w:color w:val="auto"/>
              </w:rPr>
            </w:pPr>
          </w:p>
        </w:tc>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Scott M. Quist</w:t>
            </w:r>
          </w:p>
        </w:tc>
        <w:tc>
          <w:tcPr>
            <w:tcW w:w="5700" w:type="dxa"/>
            <w:vAlign w:val="bottom"/>
          </w:tcPr>
          <w:p>
            <w:pPr>
              <w:spacing w:after="0"/>
              <w:rPr>
                <w:sz w:val="19"/>
                <w:szCs w:val="19"/>
                <w:color w:val="auto"/>
              </w:rPr>
            </w:pPr>
          </w:p>
        </w:tc>
      </w:tr>
      <w:tr>
        <w:trPr>
          <w:trHeight w:val="216"/>
        </w:trPr>
        <w:tc>
          <w:tcPr>
            <w:tcW w:w="446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4460" w:type="dxa"/>
            <w:vAlign w:val="bottom"/>
          </w:tcPr>
          <w:p>
            <w:pPr>
              <w:spacing w:after="0"/>
              <w:rPr>
                <w:sz w:val="20"/>
                <w:szCs w:val="20"/>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1060"/>
        </w:trPr>
        <w:tc>
          <w:tcPr>
            <w:tcW w:w="44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302 OF THE SARBANES-OXLEY ACT OF 2002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I, Garrett S. Sill, certify that:</w:t>
      </w:r>
    </w:p>
    <w:p>
      <w:pPr>
        <w:spacing w:after="0" w:line="279" w:lineRule="exact"/>
        <w:rPr>
          <w:sz w:val="20"/>
          <w:szCs w:val="20"/>
          <w:color w:val="auto"/>
        </w:rPr>
      </w:pPr>
    </w:p>
    <w:p>
      <w:pPr>
        <w:ind w:left="180" w:hanging="172"/>
        <w:spacing w:after="0"/>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report on Form 10-Q of Security National Financial Corporation;</w:t>
      </w:r>
    </w:p>
    <w:p>
      <w:pPr>
        <w:spacing w:after="0" w:line="279" w:lineRule="exact"/>
        <w:rPr>
          <w:rFonts w:ascii="Arial" w:cs="Arial" w:eastAsia="Arial" w:hAnsi="Arial"/>
          <w:sz w:val="18"/>
          <w:szCs w:val="18"/>
          <w:color w:val="auto"/>
        </w:rPr>
      </w:pPr>
    </w:p>
    <w:p>
      <w:pPr>
        <w:ind w:firstLine="8"/>
        <w:spacing w:after="0" w:line="342" w:lineRule="auto"/>
        <w:tabs>
          <w:tab w:leader="none" w:pos="208" w:val="left"/>
        </w:tabs>
        <w:numPr>
          <w:ilvl w:val="0"/>
          <w:numId w:val="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0" w:firstLine="8"/>
        <w:spacing w:after="0" w:line="277" w:lineRule="auto"/>
        <w:tabs>
          <w:tab w:leader="none" w:pos="182"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jc w:val="both"/>
        <w:ind w:firstLine="8"/>
        <w:spacing w:after="0" w:line="264" w:lineRule="auto"/>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5" w:lineRule="exact"/>
        <w:rPr>
          <w:rFonts w:ascii="Arial" w:cs="Arial" w:eastAsia="Arial" w:hAnsi="Arial"/>
          <w:sz w:val="18"/>
          <w:szCs w:val="18"/>
          <w:color w:val="auto"/>
        </w:rPr>
      </w:pPr>
    </w:p>
    <w:p>
      <w:pPr>
        <w:jc w:val="both"/>
        <w:ind w:firstLine="440"/>
        <w:spacing w:after="0" w:line="264" w:lineRule="auto"/>
        <w:tabs>
          <w:tab w:leader="none" w:pos="1091" w:val="left"/>
        </w:tabs>
        <w:numPr>
          <w:ilvl w:val="2"/>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covered in which this report is being prepared;</w:t>
      </w:r>
    </w:p>
    <w:p>
      <w:pPr>
        <w:spacing w:after="0" w:line="235" w:lineRule="exact"/>
        <w:rPr>
          <w:rFonts w:ascii="Arial" w:cs="Arial" w:eastAsia="Arial" w:hAnsi="Arial"/>
          <w:sz w:val="18"/>
          <w:szCs w:val="18"/>
          <w:color w:val="auto"/>
        </w:rPr>
      </w:pPr>
    </w:p>
    <w:p>
      <w:pPr>
        <w:jc w:val="both"/>
        <w:ind w:firstLine="440"/>
        <w:spacing w:after="0" w:line="264" w:lineRule="auto"/>
        <w:tabs>
          <w:tab w:leader="none" w:pos="1101" w:val="left"/>
        </w:tabs>
        <w:numPr>
          <w:ilvl w:val="2"/>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5" w:lineRule="exact"/>
        <w:rPr>
          <w:rFonts w:ascii="Arial" w:cs="Arial" w:eastAsia="Arial" w:hAnsi="Arial"/>
          <w:sz w:val="18"/>
          <w:szCs w:val="18"/>
          <w:color w:val="auto"/>
        </w:rPr>
      </w:pPr>
    </w:p>
    <w:p>
      <w:pPr>
        <w:ind w:firstLine="440"/>
        <w:spacing w:after="0" w:line="308" w:lineRule="auto"/>
        <w:tabs>
          <w:tab w:leader="none" w:pos="1091" w:val="left"/>
        </w:tabs>
        <w:numPr>
          <w:ilvl w:val="2"/>
          <w:numId w:val="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0" w:lineRule="exact"/>
        <w:rPr>
          <w:rFonts w:ascii="Arial" w:cs="Arial" w:eastAsia="Arial" w:hAnsi="Arial"/>
          <w:sz w:val="17"/>
          <w:szCs w:val="17"/>
          <w:color w:val="auto"/>
        </w:rPr>
      </w:pPr>
    </w:p>
    <w:p>
      <w:pPr>
        <w:jc w:val="both"/>
        <w:ind w:right="20" w:firstLine="440"/>
        <w:spacing w:after="0" w:line="264" w:lineRule="auto"/>
        <w:tabs>
          <w:tab w:leader="none" w:pos="1101" w:val="left"/>
        </w:tabs>
        <w:numPr>
          <w:ilvl w:val="2"/>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firstLine="8"/>
        <w:spacing w:after="0" w:line="308" w:lineRule="auto"/>
        <w:tabs>
          <w:tab w:leader="none" w:pos="2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0" w:lineRule="exact"/>
        <w:rPr>
          <w:rFonts w:ascii="Arial" w:cs="Arial" w:eastAsia="Arial" w:hAnsi="Arial"/>
          <w:sz w:val="17"/>
          <w:szCs w:val="17"/>
          <w:color w:val="auto"/>
        </w:rPr>
      </w:pPr>
    </w:p>
    <w:p>
      <w:pPr>
        <w:ind w:firstLine="413"/>
        <w:spacing w:after="0" w:line="277" w:lineRule="auto"/>
        <w:tabs>
          <w:tab w:leader="none" w:pos="1091"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firstLine="413"/>
        <w:spacing w:after="0" w:line="277" w:lineRule="auto"/>
        <w:tabs>
          <w:tab w:leader="none" w:pos="116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ind w:left="1260"/>
              <w:spacing w:after="0"/>
              <w:rPr>
                <w:sz w:val="20"/>
                <w:szCs w:val="20"/>
                <w:color w:val="auto"/>
              </w:rPr>
            </w:pPr>
            <w:r>
              <w:rPr>
                <w:rFonts w:ascii="Arial" w:cs="Arial" w:eastAsia="Arial" w:hAnsi="Arial"/>
                <w:sz w:val="18"/>
                <w:szCs w:val="18"/>
                <w:color w:val="auto"/>
              </w:rPr>
              <w:t>Dated: May 15, 2019</w:t>
            </w:r>
          </w:p>
        </w:tc>
        <w:tc>
          <w:tcPr>
            <w:tcW w:w="7380" w:type="dxa"/>
            <w:vAlign w:val="bottom"/>
            <w:gridSpan w:val="2"/>
          </w:tcPr>
          <w:p>
            <w:pPr>
              <w:ind w:left="60"/>
              <w:spacing w:after="0"/>
              <w:rPr>
                <w:sz w:val="20"/>
                <w:szCs w:val="20"/>
                <w:color w:val="auto"/>
              </w:rPr>
            </w:pPr>
            <w:r>
              <w:rPr>
                <w:rFonts w:ascii="Arial" w:cs="Arial" w:eastAsia="Arial" w:hAnsi="Arial"/>
                <w:sz w:val="18"/>
                <w:szCs w:val="18"/>
                <w:color w:val="auto"/>
              </w:rPr>
              <w:t>/s/ Garrett S. Sill</w:t>
            </w:r>
          </w:p>
        </w:tc>
      </w:tr>
      <w:tr>
        <w:trPr>
          <w:trHeight w:val="222"/>
        </w:trPr>
        <w:tc>
          <w:tcPr>
            <w:tcW w:w="4040" w:type="dxa"/>
            <w:vAlign w:val="bottom"/>
          </w:tcPr>
          <w:p>
            <w:pPr>
              <w:spacing w:after="0"/>
              <w:rPr>
                <w:sz w:val="19"/>
                <w:szCs w:val="19"/>
                <w:color w:val="auto"/>
              </w:rPr>
            </w:pPr>
          </w:p>
        </w:tc>
        <w:tc>
          <w:tcPr>
            <w:tcW w:w="12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Garrett S. Sill</w:t>
            </w:r>
          </w:p>
        </w:tc>
        <w:tc>
          <w:tcPr>
            <w:tcW w:w="6120" w:type="dxa"/>
            <w:vAlign w:val="bottom"/>
          </w:tcPr>
          <w:p>
            <w:pPr>
              <w:spacing w:after="0"/>
              <w:rPr>
                <w:sz w:val="19"/>
                <w:szCs w:val="19"/>
                <w:color w:val="auto"/>
              </w:rPr>
            </w:pPr>
          </w:p>
        </w:tc>
      </w:tr>
      <w:tr>
        <w:trPr>
          <w:trHeight w:val="216"/>
        </w:trPr>
        <w:tc>
          <w:tcPr>
            <w:tcW w:w="4040" w:type="dxa"/>
            <w:vAlign w:val="bottom"/>
          </w:tcPr>
          <w:p>
            <w:pPr>
              <w:spacing w:after="0"/>
              <w:rPr>
                <w:sz w:val="18"/>
                <w:szCs w:val="18"/>
                <w:color w:val="auto"/>
              </w:rPr>
            </w:pPr>
          </w:p>
        </w:tc>
        <w:tc>
          <w:tcPr>
            <w:tcW w:w="7380" w:type="dxa"/>
            <w:vAlign w:val="bottom"/>
            <w:gridSpan w:val="2"/>
          </w:tcPr>
          <w:p>
            <w:pPr>
              <w:ind w:left="6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40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1087"/>
        </w:trPr>
        <w:tc>
          <w:tcPr>
            <w:tcW w:w="40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32.1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906 OF THE SARBANES-OXLEY ACT OF 2002</w:t>
      </w: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Security National Financial Corporation (the “Company”) on Form 10-Q for the period ending March 31, 2019, as filed with the Securities and Exchange Commission on the date hereof (the “Report”), I, Scott M. Quist, Chairman of the Board, President and Chief Executive Officer of the Company, hereby certify, pursuant to 18 U.S.C. Section 1350, as adopted pursuant to Section 906 of the Sarbanes-Oxley Act of 2002, that, to the best of my knowledge:</w:t>
      </w:r>
    </w:p>
    <w:p>
      <w:pPr>
        <w:spacing w:after="0" w:line="241" w:lineRule="exact"/>
        <w:rPr>
          <w:sz w:val="20"/>
          <w:szCs w:val="20"/>
          <w:color w:val="auto"/>
        </w:rPr>
      </w:pPr>
    </w:p>
    <w:p>
      <w:pPr>
        <w:ind w:left="1340" w:hanging="684"/>
        <w:spacing w:after="0"/>
        <w:tabs>
          <w:tab w:leader="none" w:pos="1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90" w:lineRule="exact"/>
        <w:rPr>
          <w:rFonts w:ascii="Arial" w:cs="Arial" w:eastAsia="Arial" w:hAnsi="Arial"/>
          <w:sz w:val="17"/>
          <w:szCs w:val="17"/>
          <w:color w:val="auto"/>
        </w:rPr>
      </w:pPr>
    </w:p>
    <w:p>
      <w:pPr>
        <w:ind w:left="1340" w:hanging="684"/>
        <w:spacing w:after="0" w:line="277" w:lineRule="auto"/>
        <w:tabs>
          <w:tab w:leader="none" w:pos="1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ind w:left="1260"/>
              <w:spacing w:after="0"/>
              <w:rPr>
                <w:sz w:val="20"/>
                <w:szCs w:val="20"/>
                <w:color w:val="auto"/>
              </w:rPr>
            </w:pPr>
            <w:r>
              <w:rPr>
                <w:rFonts w:ascii="Arial" w:cs="Arial" w:eastAsia="Arial" w:hAnsi="Arial"/>
                <w:sz w:val="18"/>
                <w:szCs w:val="18"/>
                <w:color w:val="auto"/>
              </w:rPr>
              <w:t>Dated: May 15, 2019</w:t>
            </w:r>
          </w:p>
        </w:tc>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/s/ Scott M. Quist</w:t>
            </w:r>
          </w:p>
        </w:tc>
        <w:tc>
          <w:tcPr>
            <w:tcW w:w="6100" w:type="dxa"/>
            <w:vAlign w:val="bottom"/>
          </w:tcPr>
          <w:p>
            <w:pPr>
              <w:spacing w:after="0"/>
              <w:rPr>
                <w:sz w:val="17"/>
                <w:szCs w:val="17"/>
                <w:color w:val="auto"/>
              </w:rPr>
            </w:pPr>
          </w:p>
        </w:tc>
      </w:tr>
      <w:tr>
        <w:trPr>
          <w:trHeight w:val="222"/>
        </w:trPr>
        <w:tc>
          <w:tcPr>
            <w:tcW w:w="404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Scott M. Quist</w:t>
            </w:r>
          </w:p>
        </w:tc>
      </w:tr>
      <w:tr>
        <w:trPr>
          <w:trHeight w:val="216"/>
        </w:trPr>
        <w:tc>
          <w:tcPr>
            <w:tcW w:w="404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40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r>
        <w:trPr>
          <w:trHeight w:val="1331"/>
        </w:trPr>
        <w:tc>
          <w:tcPr>
            <w:tcW w:w="40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REQUIRED BY SECTION 906 OF THE SARBANES-OXLEY ACT OF 2002</w:t>
      </w: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Security National Financial Corporation (the “Company”) on Form 10-Q for the period ending March 31, 2019, as filed with the Securities and Exchange Commission on the date hereof (the “Report”), I, Garrett S. Sill, Chief Financial Officer and Treasurer of the Company, hereby certify, pursuant to 18 U.S.C. Section 1350, as adopted pursuant to Section 906 of the Sarbanes-Oxley Act of 2002, that, to the best of my knowledge:</w:t>
      </w:r>
    </w:p>
    <w:p>
      <w:pPr>
        <w:spacing w:after="0" w:line="241" w:lineRule="exact"/>
        <w:rPr>
          <w:sz w:val="20"/>
          <w:szCs w:val="20"/>
          <w:color w:val="auto"/>
        </w:rPr>
      </w:pPr>
    </w:p>
    <w:p>
      <w:pPr>
        <w:ind w:left="1340" w:hanging="684"/>
        <w:spacing w:after="0"/>
        <w:tabs>
          <w:tab w:leader="none" w:pos="134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90" w:lineRule="exact"/>
        <w:rPr>
          <w:rFonts w:ascii="Arial" w:cs="Arial" w:eastAsia="Arial" w:hAnsi="Arial"/>
          <w:sz w:val="17"/>
          <w:szCs w:val="17"/>
          <w:color w:val="auto"/>
        </w:rPr>
      </w:pPr>
    </w:p>
    <w:p>
      <w:pPr>
        <w:ind w:left="1340" w:hanging="684"/>
        <w:spacing w:after="0" w:line="277" w:lineRule="auto"/>
        <w:tabs>
          <w:tab w:leader="none" w:pos="1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ind w:left="1260"/>
              <w:spacing w:after="0"/>
              <w:rPr>
                <w:sz w:val="20"/>
                <w:szCs w:val="20"/>
                <w:color w:val="auto"/>
              </w:rPr>
            </w:pPr>
            <w:r>
              <w:rPr>
                <w:rFonts w:ascii="Arial" w:cs="Arial" w:eastAsia="Arial" w:hAnsi="Arial"/>
                <w:sz w:val="18"/>
                <w:szCs w:val="18"/>
                <w:color w:val="auto"/>
              </w:rPr>
              <w:t>Dated: May 15, 2019</w:t>
            </w:r>
          </w:p>
        </w:tc>
        <w:tc>
          <w:tcPr>
            <w:tcW w:w="7380" w:type="dxa"/>
            <w:vAlign w:val="bottom"/>
            <w:gridSpan w:val="2"/>
          </w:tcPr>
          <w:p>
            <w:pPr>
              <w:ind w:left="60"/>
              <w:spacing w:after="0"/>
              <w:rPr>
                <w:sz w:val="20"/>
                <w:szCs w:val="20"/>
                <w:color w:val="auto"/>
              </w:rPr>
            </w:pPr>
            <w:r>
              <w:rPr>
                <w:rFonts w:ascii="Arial" w:cs="Arial" w:eastAsia="Arial" w:hAnsi="Arial"/>
                <w:sz w:val="18"/>
                <w:szCs w:val="18"/>
                <w:color w:val="auto"/>
              </w:rPr>
              <w:t>/s/ Garrett S. Sill</w:t>
            </w:r>
          </w:p>
        </w:tc>
      </w:tr>
      <w:tr>
        <w:trPr>
          <w:trHeight w:val="222"/>
        </w:trPr>
        <w:tc>
          <w:tcPr>
            <w:tcW w:w="4040" w:type="dxa"/>
            <w:vAlign w:val="bottom"/>
          </w:tcPr>
          <w:p>
            <w:pPr>
              <w:spacing w:after="0"/>
              <w:rPr>
                <w:sz w:val="19"/>
                <w:szCs w:val="19"/>
                <w:color w:val="auto"/>
              </w:rPr>
            </w:pPr>
          </w:p>
        </w:tc>
        <w:tc>
          <w:tcPr>
            <w:tcW w:w="12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Garrett S. Sill</w:t>
            </w:r>
          </w:p>
        </w:tc>
        <w:tc>
          <w:tcPr>
            <w:tcW w:w="6120" w:type="dxa"/>
            <w:vAlign w:val="bottom"/>
          </w:tcPr>
          <w:p>
            <w:pPr>
              <w:spacing w:after="0"/>
              <w:rPr>
                <w:sz w:val="19"/>
                <w:szCs w:val="19"/>
                <w:color w:val="auto"/>
              </w:rPr>
            </w:pPr>
          </w:p>
        </w:tc>
      </w:tr>
      <w:tr>
        <w:trPr>
          <w:trHeight w:val="216"/>
        </w:trPr>
        <w:tc>
          <w:tcPr>
            <w:tcW w:w="4040" w:type="dxa"/>
            <w:vAlign w:val="bottom"/>
          </w:tcPr>
          <w:p>
            <w:pPr>
              <w:spacing w:after="0"/>
              <w:rPr>
                <w:sz w:val="18"/>
                <w:szCs w:val="18"/>
                <w:color w:val="auto"/>
              </w:rPr>
            </w:pPr>
          </w:p>
        </w:tc>
        <w:tc>
          <w:tcPr>
            <w:tcW w:w="7380" w:type="dxa"/>
            <w:vAlign w:val="bottom"/>
            <w:gridSpan w:val="2"/>
          </w:tcPr>
          <w:p>
            <w:pPr>
              <w:ind w:left="6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4040" w:type="dxa"/>
            <w:vAlign w:val="bottom"/>
          </w:tcPr>
          <w:p>
            <w:pPr>
              <w:spacing w:after="0"/>
              <w:rPr>
                <w:sz w:val="20"/>
                <w:szCs w:val="20"/>
                <w:color w:val="auto"/>
              </w:rPr>
            </w:pPr>
          </w:p>
        </w:tc>
        <w:tc>
          <w:tcPr>
            <w:tcW w:w="7380" w:type="dxa"/>
            <w:vAlign w:val="bottom"/>
            <w:gridSpan w:val="2"/>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871"/>
        </w:trPr>
        <w:tc>
          <w:tcPr>
            <w:tcW w:w="40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1]"/>
      <w:numFmt w:val="upperLetter"/>
      <w:start w:val="24"/>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1)"/>
      <w:numFmt w:val="decimal"/>
      <w:start w:val="1"/>
    </w:lvl>
  </w:abstractNum>
  <w:abstractNum w:abstractNumId="3">
    <w:nsid w:val="3006C83E"/>
    <w:multiLevelType w:val="hybridMultilevel"/>
    <w:lvl w:ilvl="0">
      <w:lvlJc w:val="left"/>
      <w:lvlText w:val="%1)"/>
      <w:numFmt w:val="decimal"/>
      <w:start w:val="2"/>
    </w:lvl>
  </w:abstractNum>
  <w:abstractNum w:abstractNumId="4">
    <w:nsid w:val="614FD4A1"/>
    <w:multiLevelType w:val="hybridMultilevel"/>
    <w:lvl w:ilvl="0">
      <w:lvlJc w:val="left"/>
      <w:lvlText w:val="%1)"/>
      <w:numFmt w:val="decimal"/>
      <w:start w:val="2"/>
    </w:lvl>
  </w:abstractNum>
  <w:abstractNum w:abstractNumId="5">
    <w:nsid w:val="419AC241"/>
    <w:multiLevelType w:val="hybridMultilevel"/>
    <w:lvl w:ilvl="0">
      <w:lvlJc w:val="left"/>
      <w:lvlText w:val="%1)"/>
      <w:numFmt w:val="decimal"/>
      <w:start w:val="3"/>
    </w:lvl>
  </w:abstractNum>
  <w:abstractNum w:abstractNumId="6">
    <w:nsid w:val="5577F8E1"/>
    <w:multiLevelType w:val="hybridMultilevel"/>
    <w:lvl w:ilvl="0">
      <w:lvlJc w:val="left"/>
      <w:lvlText w:val="(%1)"/>
      <w:numFmt w:val="decimal"/>
      <w:start w:val="1"/>
    </w:lvl>
  </w:abstractNum>
  <w:abstractNum w:abstractNumId="7">
    <w:nsid w:val="440BADFC"/>
    <w:multiLevelType w:val="hybridMultilevel"/>
    <w:lvl w:ilvl="0">
      <w:lvlJc w:val="left"/>
      <w:lvlText w:val="%1)"/>
      <w:numFmt w:val="decimal"/>
      <w:start w:val="3"/>
    </w:lvl>
  </w:abstractNum>
  <w:abstractNum w:abstractNumId="8">
    <w:nsid w:val="5072367"/>
    <w:multiLevelType w:val="hybridMultilevel"/>
    <w:lvl w:ilvl="0">
      <w:lvlJc w:val="left"/>
      <w:lvlText w:val="%1)"/>
      <w:numFmt w:val="decimal"/>
      <w:start w:val="3"/>
    </w:lvl>
  </w:abstractNum>
  <w:abstractNum w:abstractNumId="9">
    <w:nsid w:val="3804823E"/>
    <w:multiLevelType w:val="hybridMultilevel"/>
    <w:lvl w:ilvl="0">
      <w:lvlJc w:val="left"/>
      <w:lvlText w:val="%1)"/>
      <w:numFmt w:val="decimal"/>
      <w:start w:val="3"/>
    </w:lvl>
  </w:abstractNum>
  <w:abstractNum w:abstractNumId="10">
    <w:nsid w:val="77465F01"/>
    <w:multiLevelType w:val="hybridMultilevel"/>
    <w:lvl w:ilvl="0">
      <w:lvlJc w:val="left"/>
      <w:lvlText w:val="%1)"/>
      <w:numFmt w:val="decimal"/>
      <w:start w:val="3"/>
    </w:lvl>
  </w:abstractNum>
  <w:abstractNum w:abstractNumId="11">
    <w:nsid w:val="7724C67E"/>
    <w:multiLevelType w:val="hybridMultilevel"/>
    <w:lvl w:ilvl="0">
      <w:lvlJc w:val="left"/>
      <w:lvlText w:val="%1)"/>
      <w:numFmt w:val="decimal"/>
      <w:start w:val="3"/>
    </w:lvl>
  </w:abstractNum>
  <w:abstractNum w:abstractNumId="12">
    <w:nsid w:val="5C482A97"/>
    <w:multiLevelType w:val="hybridMultilevel"/>
    <w:lvl w:ilvl="0">
      <w:lvlJc w:val="left"/>
      <w:lvlText w:val="%1)"/>
      <w:numFmt w:val="decimal"/>
      <w:start w:val="3"/>
    </w:lvl>
  </w:abstractNum>
  <w:abstractNum w:abstractNumId="13">
    <w:nsid w:val="2463B9EA"/>
    <w:multiLevelType w:val="hybridMultilevel"/>
    <w:lvl w:ilvl="0">
      <w:lvlJc w:val="left"/>
      <w:lvlText w:val="%1)"/>
      <w:numFmt w:val="decimal"/>
      <w:start w:val="3"/>
    </w:lvl>
  </w:abstractNum>
  <w:abstractNum w:abstractNumId="14">
    <w:nsid w:val="5E884ADC"/>
    <w:multiLevelType w:val="hybridMultilevel"/>
    <w:lvl w:ilvl="0">
      <w:lvlJc w:val="left"/>
      <w:lvlText w:val="%1)"/>
      <w:numFmt w:val="decimal"/>
      <w:start w:val="3"/>
    </w:lvl>
  </w:abstractNum>
  <w:abstractNum w:abstractNumId="15">
    <w:nsid w:val="51EAD36B"/>
    <w:multiLevelType w:val="hybridMultilevel"/>
    <w:lvl w:ilvl="0">
      <w:lvlJc w:val="left"/>
      <w:lvlText w:val="%1)"/>
      <w:numFmt w:val="decimal"/>
      <w:start w:val="3"/>
    </w:lvl>
  </w:abstractNum>
  <w:abstractNum w:abstractNumId="16">
    <w:nsid w:val="2D517796"/>
    <w:multiLevelType w:val="hybridMultilevel"/>
    <w:lvl w:ilvl="0">
      <w:lvlJc w:val="left"/>
      <w:lvlText w:val="%1)"/>
      <w:numFmt w:val="decimal"/>
      <w:start w:val="4"/>
    </w:lvl>
  </w:abstractNum>
  <w:abstractNum w:abstractNumId="17">
    <w:nsid w:val="580BD78F"/>
    <w:multiLevelType w:val="hybridMultilevel"/>
    <w:lvl w:ilvl="0">
      <w:lvlJc w:val="left"/>
      <w:lvlText w:val="%1)"/>
      <w:numFmt w:val="decimal"/>
      <w:start w:val="5"/>
    </w:lvl>
  </w:abstractNum>
  <w:abstractNum w:abstractNumId="18">
    <w:nsid w:val="153EA438"/>
    <w:multiLevelType w:val="hybridMultilevel"/>
    <w:lvl w:ilvl="0">
      <w:lvlJc w:val="left"/>
      <w:lvlText w:val="%1)"/>
      <w:numFmt w:val="decimal"/>
      <w:start w:val="5"/>
    </w:lvl>
  </w:abstractNum>
  <w:abstractNum w:abstractNumId="19">
    <w:nsid w:val="3855585C"/>
    <w:multiLevelType w:val="hybridMultilevel"/>
    <w:lvl w:ilvl="0">
      <w:lvlJc w:val="left"/>
      <w:lvlText w:val="%1)"/>
      <w:numFmt w:val="decimal"/>
      <w:start w:val="7"/>
    </w:lvl>
  </w:abstractNum>
  <w:abstractNum w:abstractNumId="20">
    <w:nsid w:val="70A64E2A"/>
    <w:multiLevelType w:val="hybridMultilevel"/>
    <w:lvl w:ilvl="0">
      <w:lvlJc w:val="left"/>
      <w:lvlText w:val="%1)"/>
      <w:numFmt w:val="decimal"/>
      <w:start w:val="8"/>
    </w:lvl>
  </w:abstractNum>
  <w:abstractNum w:abstractNumId="21">
    <w:nsid w:val="6A2342EC"/>
    <w:multiLevelType w:val="hybridMultilevel"/>
    <w:lvl w:ilvl="0">
      <w:lvlJc w:val="left"/>
      <w:lvlText w:val="%1)"/>
      <w:numFmt w:val="lowerLetter"/>
      <w:start w:val="1"/>
    </w:lvl>
  </w:abstractNum>
  <w:abstractNum w:abstractNumId="22">
    <w:nsid w:val="2A487CB0"/>
    <w:multiLevelType w:val="hybridMultilevel"/>
    <w:lvl w:ilvl="0">
      <w:lvlJc w:val="left"/>
      <w:lvlText w:val="%1)"/>
      <w:numFmt w:val="decimal"/>
      <w:start w:val="8"/>
    </w:lvl>
  </w:abstractNum>
  <w:abstractNum w:abstractNumId="23">
    <w:nsid w:val="1D4ED43B"/>
    <w:multiLevelType w:val="hybridMultilevel"/>
    <w:lvl w:ilvl="0">
      <w:lvlJc w:val="left"/>
      <w:lvlText w:val="%1)"/>
      <w:numFmt w:val="decimal"/>
      <w:start w:val="8"/>
    </w:lvl>
  </w:abstractNum>
  <w:abstractNum w:abstractNumId="24">
    <w:nsid w:val="725A06FB"/>
    <w:multiLevelType w:val="hybridMultilevel"/>
    <w:lvl w:ilvl="0">
      <w:lvlJc w:val="left"/>
      <w:lvlText w:val="(%1)"/>
      <w:numFmt w:val="decimal"/>
      <w:start w:val="1"/>
    </w:lvl>
  </w:abstractNum>
  <w:abstractNum w:abstractNumId="25">
    <w:nsid w:val="2CD89A32"/>
    <w:multiLevelType w:val="hybridMultilevel"/>
    <w:lvl w:ilvl="0">
      <w:lvlJc w:val="left"/>
      <w:lvlText w:val="%1)"/>
      <w:numFmt w:val="decimal"/>
      <w:start w:val="8"/>
    </w:lvl>
  </w:abstractNum>
  <w:abstractNum w:abstractNumId="26">
    <w:nsid w:val="57E4CCAF"/>
    <w:multiLevelType w:val="hybridMultilevel"/>
    <w:lvl w:ilvl="0">
      <w:lvlJc w:val="left"/>
      <w:lvlText w:val="(%1)"/>
      <w:numFmt w:val="decimal"/>
      <w:start w:val="1"/>
    </w:lvl>
  </w:abstractNum>
  <w:abstractNum w:abstractNumId="27">
    <w:nsid w:val="7A6D8D3C"/>
    <w:multiLevelType w:val="hybridMultilevel"/>
    <w:lvl w:ilvl="0">
      <w:lvlJc w:val="left"/>
      <w:lvlText w:val="%1)"/>
      <w:numFmt w:val="decimal"/>
      <w:start w:val="8"/>
    </w:lvl>
  </w:abstractNum>
  <w:abstractNum w:abstractNumId="28">
    <w:nsid w:val="4B588F54"/>
    <w:multiLevelType w:val="hybridMultilevel"/>
    <w:lvl w:ilvl="0">
      <w:lvlJc w:val="left"/>
      <w:lvlText w:val="%1)"/>
      <w:numFmt w:val="decimal"/>
      <w:start w:val="8"/>
    </w:lvl>
  </w:abstractNum>
  <w:abstractNum w:abstractNumId="29">
    <w:nsid w:val="542289EC"/>
    <w:multiLevelType w:val="hybridMultilevel"/>
    <w:lvl w:ilvl="0">
      <w:lvlJc w:val="left"/>
      <w:lvlText w:val="(%1)"/>
      <w:numFmt w:val="decimal"/>
      <w:start w:val="1"/>
    </w:lvl>
  </w:abstractNum>
  <w:abstractNum w:abstractNumId="30">
    <w:nsid w:val="6DE91B18"/>
    <w:multiLevelType w:val="hybridMultilevel"/>
    <w:lvl w:ilvl="0">
      <w:lvlJc w:val="left"/>
      <w:lvlText w:val="%1)"/>
      <w:numFmt w:val="decimal"/>
      <w:start w:val="8"/>
    </w:lvl>
  </w:abstractNum>
  <w:abstractNum w:abstractNumId="31">
    <w:nsid w:val="38437FDB"/>
    <w:multiLevelType w:val="hybridMultilevel"/>
    <w:lvl w:ilvl="0">
      <w:lvlJc w:val="left"/>
      <w:lvlText w:val="(%1)"/>
      <w:numFmt w:val="decimal"/>
      <w:start w:val="1"/>
    </w:lvl>
  </w:abstractNum>
  <w:abstractNum w:abstractNumId="32">
    <w:nsid w:val="7644A45C"/>
    <w:multiLevelType w:val="hybridMultilevel"/>
    <w:lvl w:ilvl="0">
      <w:lvlJc w:val="left"/>
      <w:lvlText w:val="%1)"/>
      <w:numFmt w:val="decimal"/>
      <w:start w:val="8"/>
    </w:lvl>
  </w:abstractNum>
  <w:abstractNum w:abstractNumId="33">
    <w:nsid w:val="32FFF902"/>
    <w:multiLevelType w:val="hybridMultilevel"/>
    <w:lvl w:ilvl="0">
      <w:lvlJc w:val="left"/>
      <w:lvlText w:val="%1)"/>
      <w:numFmt w:val="decimal"/>
      <w:start w:val="9"/>
    </w:lvl>
  </w:abstractNum>
  <w:abstractNum w:abstractNumId="34">
    <w:nsid w:val="684A481A"/>
    <w:multiLevelType w:val="hybridMultilevel"/>
    <w:lvl w:ilvl="0">
      <w:lvlJc w:val="left"/>
      <w:lvlText w:val="%1)"/>
      <w:numFmt w:val="decimal"/>
      <w:start w:val="10"/>
    </w:lvl>
  </w:abstractNum>
  <w:abstractNum w:abstractNumId="35">
    <w:nsid w:val="579478FE"/>
    <w:multiLevelType w:val="hybridMultilevel"/>
    <w:lvl w:ilvl="0">
      <w:lvlJc w:val="left"/>
      <w:lvlText w:val="%1)"/>
      <w:numFmt w:val="decimal"/>
      <w:start w:val="10"/>
    </w:lvl>
  </w:abstractNum>
  <w:abstractNum w:abstractNumId="36">
    <w:nsid w:val="749ABB43"/>
    <w:multiLevelType w:val="hybridMultilevel"/>
    <w:lvl w:ilvl="0">
      <w:lvlJc w:val="left"/>
      <w:lvlText w:val="%1)"/>
      <w:numFmt w:val="decimal"/>
      <w:start w:val="10"/>
    </w:lvl>
  </w:abstractNum>
  <w:abstractNum w:abstractNumId="37">
    <w:nsid w:val="3DC240FB"/>
    <w:multiLevelType w:val="hybridMultilevel"/>
    <w:lvl w:ilvl="0">
      <w:lvlJc w:val="left"/>
      <w:lvlText w:val="%1)"/>
      <w:numFmt w:val="decimal"/>
      <w:start w:val="11"/>
    </w:lvl>
  </w:abstractNum>
  <w:abstractNum w:abstractNumId="38">
    <w:nsid w:val="1BA026FA"/>
    <w:multiLevelType w:val="hybridMultilevel"/>
    <w:lvl w:ilvl="0">
      <w:lvlJc w:val="left"/>
      <w:lvlText w:val="%1)"/>
      <w:numFmt w:val="decimal"/>
      <w:start w:val="11"/>
    </w:lvl>
  </w:abstractNum>
  <w:abstractNum w:abstractNumId="39">
    <w:nsid w:val="79A1DEAA"/>
    <w:multiLevelType w:val="hybridMultilevel"/>
    <w:lvl w:ilvl="0">
      <w:lvlJc w:val="left"/>
      <w:lvlText w:val="%1)"/>
      <w:numFmt w:val="decimal"/>
      <w:start w:val="11"/>
    </w:lvl>
  </w:abstractNum>
  <w:abstractNum w:abstractNumId="40">
    <w:nsid w:val="75C6C33A"/>
    <w:multiLevelType w:val="hybridMultilevel"/>
    <w:lvl w:ilvl="0">
      <w:lvlJc w:val="left"/>
      <w:lvlText w:val="%1)"/>
      <w:numFmt w:val="decimal"/>
      <w:start w:val="11"/>
    </w:lvl>
  </w:abstractNum>
  <w:abstractNum w:abstractNumId="41">
    <w:nsid w:val="12E685FB"/>
    <w:multiLevelType w:val="hybridMultilevel"/>
    <w:lvl w:ilvl="0">
      <w:lvlJc w:val="left"/>
      <w:lvlText w:val="%1)"/>
      <w:numFmt w:val="decimal"/>
      <w:start w:val="12"/>
    </w:lvl>
  </w:abstractNum>
  <w:abstractNum w:abstractNumId="42">
    <w:nsid w:val="70C6A529"/>
    <w:multiLevelType w:val="hybridMultilevel"/>
    <w:lvl w:ilvl="0">
      <w:lvlJc w:val="left"/>
      <w:lvlText w:val="%1)"/>
      <w:numFmt w:val="decimal"/>
      <w:start w:val="12"/>
    </w:lvl>
  </w:abstractNum>
  <w:abstractNum w:abstractNumId="43">
    <w:nsid w:val="520EEDD1"/>
    <w:multiLevelType w:val="hybridMultilevel"/>
    <w:lvl w:ilvl="0">
      <w:lvlJc w:val="left"/>
      <w:lvlText w:val="%1)"/>
      <w:numFmt w:val="decimal"/>
      <w:start w:val="14"/>
    </w:lvl>
  </w:abstractNum>
  <w:abstractNum w:abstractNumId="44">
    <w:nsid w:val="374A3FE6"/>
    <w:multiLevelType w:val="hybridMultilevel"/>
    <w:lvl w:ilvl="0">
      <w:lvlJc w:val="left"/>
      <w:lvlText w:val="%1)"/>
      <w:numFmt w:val="decimal"/>
      <w:start w:val="14"/>
    </w:lvl>
  </w:abstractNum>
  <w:abstractNum w:abstractNumId="45">
    <w:nsid w:val="4F4EF005"/>
    <w:multiLevelType w:val="hybridMultilevel"/>
    <w:lvl w:ilvl="0">
      <w:lvlJc w:val="left"/>
      <w:lvlText w:val="%1)"/>
      <w:numFmt w:val="decimal"/>
      <w:start w:val="15"/>
    </w:lvl>
  </w:abstractNum>
  <w:abstractNum w:abstractNumId="46">
    <w:nsid w:val="23F9C13C"/>
    <w:multiLevelType w:val="hybridMultilevel"/>
    <w:lvl w:ilvl="0">
      <w:lvlJc w:val="left"/>
      <w:lvlText w:val="%1)"/>
      <w:numFmt w:val="decimal"/>
      <w:start w:val="15"/>
    </w:lvl>
  </w:abstractNum>
  <w:abstractNum w:abstractNumId="47">
    <w:nsid w:val="649BB77C"/>
    <w:multiLevelType w:val="hybridMultilevel"/>
    <w:lvl w:ilvl="0">
      <w:lvlJc w:val="left"/>
      <w:lvlText w:val="%1)"/>
      <w:numFmt w:val="decimal"/>
      <w:start w:val="16"/>
    </w:lvl>
  </w:abstractNum>
  <w:abstractNum w:abstractNumId="48">
    <w:nsid w:val="275AC794"/>
    <w:multiLevelType w:val="hybridMultilevel"/>
    <w:lvl w:ilvl="0">
      <w:lvlJc w:val="left"/>
      <w:lvlText w:val="(%1)"/>
      <w:numFmt w:val="decimal"/>
      <w:start w:val="1"/>
    </w:lvl>
  </w:abstractNum>
  <w:abstractNum w:abstractNumId="49">
    <w:nsid w:val="39386575"/>
    <w:multiLevelType w:val="hybridMultilevel"/>
    <w:lvl w:ilvl="0">
      <w:lvlJc w:val="left"/>
      <w:lvlText w:val="%1"/>
      <w:numFmt w:val="decimal"/>
      <w:start w:val="14"/>
    </w:lvl>
  </w:abstractNum>
  <w:abstractNum w:abstractNumId="50">
    <w:nsid w:val="1CF10FD8"/>
    <w:multiLevelType w:val="hybridMultilevel"/>
    <w:lvl w:ilvl="0">
      <w:lvlJc w:val="left"/>
      <w:lvlText w:val="%1"/>
      <w:numFmt w:val="decimal"/>
      <w:start w:val="21"/>
    </w:lvl>
  </w:abstractNum>
  <w:abstractNum w:abstractNumId="51">
    <w:nsid w:val="180115BE"/>
    <w:multiLevelType w:val="hybridMultilevel"/>
    <w:lvl w:ilvl="0">
      <w:lvlJc w:val="left"/>
      <w:lvlText w:val="(%1)"/>
      <w:numFmt w:val="decimal"/>
      <w:start w:val="1"/>
    </w:lvl>
  </w:abstractNum>
  <w:abstractNum w:abstractNumId="52">
    <w:nsid w:val="235BA861"/>
    <w:multiLevelType w:val="hybridMultilevel"/>
    <w:lvl w:ilvl="0">
      <w:lvlJc w:val="left"/>
      <w:lvlText w:val="·"/>
      <w:numFmt w:val="bullet"/>
      <w:start w:val="1"/>
    </w:lvl>
    <w:lvl w:ilvl="1">
      <w:lvlJc w:val="left"/>
      <w:lvlText w:val="%2."/>
      <w:numFmt w:val="decimal"/>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1)"/>
      <w:numFmt w:val="lowerLetter"/>
      <w:start w:val="1"/>
    </w:lvl>
  </w:abstractNum>
  <w:abstractNum w:abstractNumId="57">
    <w:nsid w:val="D34B6A8"/>
    <w:multiLevelType w:val="hybridMultilevel"/>
    <w:lvl w:ilvl="0">
      <w:lvlJc w:val="left"/>
      <w:lvlText w:val="(%1)"/>
      <w:numFmt w:val="lowerLetter"/>
      <w:start w:val="2"/>
    </w:lvl>
  </w:abstractNum>
  <w:abstractNum w:abstractNumId="58">
    <w:nsid w:val="10233C99"/>
    <w:multiLevelType w:val="hybridMultilevel"/>
    <w:lvl w:ilvl="0">
      <w:lvlJc w:val="left"/>
      <w:lvlText w:val="%1."/>
      <w:numFmt w:val="decimal"/>
      <w:start w:val="16"/>
    </w:lvl>
  </w:abstractNum>
  <w:abstractNum w:abstractNumId="59">
    <w:nsid w:val="3F6AB60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1">
    <w:nsid w:val="7E0C57B1"/>
    <w:multiLevelType w:val="hybridMultilevel"/>
    <w:lvl w:ilvl="0">
      <w:lvlJc w:val="left"/>
      <w:lvlText w:val="(%1)"/>
      <w:numFmt w:val="decimal"/>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82" Type="http://schemas.openxmlformats.org/officeDocument/2006/relationships/image" Target="media/image66.png"/><Relationship Id="rId83" Type="http://schemas.openxmlformats.org/officeDocument/2006/relationships/image" Target="media/image67.png"/><Relationship Id="rId84" Type="http://schemas.openxmlformats.org/officeDocument/2006/relationships/image" Target="media/image68.png"/><Relationship Id="rId85" Type="http://schemas.openxmlformats.org/officeDocument/2006/relationships/image" Target="media/image69.png"/><Relationship Id="rId86" Type="http://schemas.openxmlformats.org/officeDocument/2006/relationships/image" Target="media/image70.png"/><Relationship Id="rId87" Type="http://schemas.openxmlformats.org/officeDocument/2006/relationships/image" Target="media/image71.png"/><Relationship Id="rId88" Type="http://schemas.openxmlformats.org/officeDocument/2006/relationships/image" Target="media/image72.png"/><Relationship Id="rId89" Type="http://schemas.openxmlformats.org/officeDocument/2006/relationships/image" Target="media/image73.png"/><Relationship Id="rId90" Type="http://schemas.openxmlformats.org/officeDocument/2006/relationships/image" Target="media/image74.png"/><Relationship Id="rId91" Type="http://schemas.openxmlformats.org/officeDocument/2006/relationships/image" Target="media/image75.png"/><Relationship Id="rId92" Type="http://schemas.openxmlformats.org/officeDocument/2006/relationships/image" Target="media/image76.png"/><Relationship Id="rId93" Type="http://schemas.openxmlformats.org/officeDocument/2006/relationships/image" Target="media/image77.png"/><Relationship Id="rId94" Type="http://schemas.openxmlformats.org/officeDocument/2006/relationships/image" Target="media/image78.png"/><Relationship Id="rId95" Type="http://schemas.openxmlformats.org/officeDocument/2006/relationships/image" Target="media/image79.png"/><Relationship Id="rId96" Type="http://schemas.openxmlformats.org/officeDocument/2006/relationships/image" Target="media/image80.png"/><Relationship Id="rId97" Type="http://schemas.openxmlformats.org/officeDocument/2006/relationships/image" Target="media/image81.png"/><Relationship Id="rId98" Type="http://schemas.openxmlformats.org/officeDocument/2006/relationships/image" Target="media/image82.png"/><Relationship Id="rId99" Type="http://schemas.openxmlformats.org/officeDocument/2006/relationships/image" Target="media/image83.png"/><Relationship Id="rId100"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104" Type="http://schemas.openxmlformats.org/officeDocument/2006/relationships/image" Target="media/image88.png"/><Relationship Id="rId105" Type="http://schemas.openxmlformats.org/officeDocument/2006/relationships/image" Target="media/image89.png"/><Relationship Id="rId106" Type="http://schemas.openxmlformats.org/officeDocument/2006/relationships/image" Target="media/image90.png"/><Relationship Id="rId107" Type="http://schemas.openxmlformats.org/officeDocument/2006/relationships/image" Target="media/image91.png"/><Relationship Id="rId108" Type="http://schemas.openxmlformats.org/officeDocument/2006/relationships/image" Target="media/image92.png"/><Relationship Id="rId109" Type="http://schemas.openxmlformats.org/officeDocument/2006/relationships/image" Target="media/image93.png"/><Relationship Id="rId110" Type="http://schemas.openxmlformats.org/officeDocument/2006/relationships/image" Target="media/image94.png"/><Relationship Id="rId111" Type="http://schemas.openxmlformats.org/officeDocument/2006/relationships/image" Target="media/image95.png"/><Relationship Id="rId112" Type="http://schemas.openxmlformats.org/officeDocument/2006/relationships/image" Target="media/image96.png"/><Relationship Id="rId113" Type="http://schemas.openxmlformats.org/officeDocument/2006/relationships/image" Target="media/image97.png"/><Relationship Id="rId114" Type="http://schemas.openxmlformats.org/officeDocument/2006/relationships/image" Target="media/image98.png"/><Relationship Id="rId115" Type="http://schemas.openxmlformats.org/officeDocument/2006/relationships/image" Target="media/image99.png"/><Relationship Id="rId116" Type="http://schemas.openxmlformats.org/officeDocument/2006/relationships/image" Target="media/image100.png"/><Relationship Id="rId117" Type="http://schemas.openxmlformats.org/officeDocument/2006/relationships/image" Target="media/image101.png"/><Relationship Id="rId118" Type="http://schemas.openxmlformats.org/officeDocument/2006/relationships/image" Target="media/image102.png"/><Relationship Id="rId119" Type="http://schemas.openxmlformats.org/officeDocument/2006/relationships/image" Target="media/image103.png"/><Relationship Id="rId120" Type="http://schemas.openxmlformats.org/officeDocument/2006/relationships/image" Target="media/image104.png"/><Relationship Id="rId121" Type="http://schemas.openxmlformats.org/officeDocument/2006/relationships/image" Target="media/image105.png"/><Relationship Id="rId122" Type="http://schemas.openxmlformats.org/officeDocument/2006/relationships/image" Target="media/image106.png"/><Relationship Id="rId123" Type="http://schemas.openxmlformats.org/officeDocument/2006/relationships/image" Target="media/image107.png"/><Relationship Id="rId57" Type="http://schemas.openxmlformats.org/officeDocument/2006/relationships/hyperlink" Target="http://www.sec.gov/Archives/edgar/data/318673/000109690617000214/exh3_1.pdf" TargetMode="External"/><Relationship Id="rId58" Type="http://schemas.openxmlformats.org/officeDocument/2006/relationships/hyperlink" Target="http://www.sec.gov/Archives/edgar/data/318673/000109690616001835/exh10_4.htm" TargetMode="External"/><Relationship Id="rId59" Type="http://schemas.openxmlformats.org/officeDocument/2006/relationships/hyperlink" Target="http://www.sec.gov/Archives/edgar/data/318673/000109690614000752/snfcadef14a.htm" TargetMode="External"/><Relationship Id="rId60" Type="http://schemas.openxmlformats.org/officeDocument/2006/relationships/hyperlink" Target="http://www.sec.gov/Archives/edgar/data/318673/000109690615001153/exh108.htm" TargetMode="External"/><Relationship Id="rId61" Type="http://schemas.openxmlformats.org/officeDocument/2006/relationships/hyperlink" Target="http://www.sec.gov/Archives/edgar/data/318673/000109690618000285/exh10_1.htm" TargetMode="External"/><Relationship Id="rId62" Type="http://schemas.openxmlformats.org/officeDocument/2006/relationships/hyperlink" Target="http://www.sec.gov/Archives/edgar/data/318673/000109690618000639/exh10_9.htm" TargetMode="External"/><Relationship Id="rId63" Type="http://schemas.openxmlformats.org/officeDocument/2006/relationships/hyperlink" Target="http://www.sec.gov/Archives/edgar/data/318673/000109690619000084/exh10_1.htm" TargetMode="External"/><Relationship Id="rId66" Type="http://schemas.openxmlformats.org/officeDocument/2006/relationships/hyperlink" Target="http://www.sec.gov/Archives/edgar/data/318673/000109690615001070/secexh231.htm" TargetMode="External"/><Relationship Id="rId67" Type="http://schemas.openxmlformats.org/officeDocument/2006/relationships/hyperlink" Target="http://www.sec.gov/Archives/edgar/data/318673/000109690615001070/secexh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2019-12-28T11:47:21Z</dcterms:created>
  <dcterms:modified xsi:type="dcterms:W3CDTF">2019-12-28T11:47:21Z</dcterms:modified>
</cp:coreProperties>
</file>