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right="1880" w:firstLine="8"/>
        <w:spacing w:after="0" w:line="500"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860" w:firstLine="8"/>
        <w:spacing w:after="0" w:line="286"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87-0345941</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40"/>
          </w:cols>
          <w:pgMar w:left="320" w:top="740" w:right="339" w:bottom="1440" w:gutter="0" w:footer="0" w:header="0"/>
          <w:type w:val="continuous"/>
        </w:sectPr>
      </w:pPr>
    </w:p>
    <w:p>
      <w:pPr>
        <w:spacing w:after="0" w:line="6"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433 Ascension Way, 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7"/>
          <w:szCs w:val="17"/>
          <w:b w:val="1"/>
          <w:bCs w:val="1"/>
          <w:color w:val="auto"/>
        </w:rPr>
        <w:t xml:space="preserve"> Floor, Salt Lake City, Utah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84123</w:t>
      </w:r>
    </w:p>
    <w:p>
      <w:pPr>
        <w:spacing w:after="0" w:line="72" w:lineRule="exact"/>
        <w:rPr>
          <w:sz w:val="24"/>
          <w:szCs w:val="24"/>
          <w:color w:val="auto"/>
        </w:rPr>
      </w:pPr>
    </w:p>
    <w:p>
      <w:pPr>
        <w:sectPr>
          <w:pgSz w:w="11900" w:h="16838" w:orient="portrait"/>
          <w:cols w:equalWidth="0" w:num="2">
            <w:col w:w="7540" w:space="720"/>
            <w:col w:w="2980"/>
          </w:cols>
          <w:pgMar w:left="320" w:top="740" w:right="33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264-1060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740" w:right="339" w:bottom="1440" w:gutter="0" w:footer="0" w:header="0"/>
          <w:type w:val="continuous"/>
        </w:sectPr>
      </w:pPr>
    </w:p>
    <w:p>
      <w:pPr>
        <w:spacing w:after="0" w:line="237"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SNFCA</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200" w:space="720"/>
            <w:col w:w="1680" w:space="720"/>
            <w:col w:w="3920"/>
          </w:cols>
          <w:pgMar w:left="320" w:top="740" w:right="339" w:bottom="1440" w:gutter="0" w:footer="0" w:header="0"/>
          <w:type w:val="continuous"/>
        </w:sectPr>
      </w:pPr>
    </w:p>
    <w:p>
      <w:pPr>
        <w:spacing w:after="0" w:line="7"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35" w:lineRule="exact"/>
        <w:rPr>
          <w:sz w:val="24"/>
          <w:szCs w:val="24"/>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740" w:right="339" w:bottom="1440" w:gutter="0" w:footer="0" w:header="0"/>
          <w:type w:val="continuous"/>
        </w:sectPr>
      </w:pPr>
    </w:p>
    <w:p>
      <w:pPr>
        <w:spacing w:after="0" w:line="17" w:lineRule="exact"/>
        <w:rPr>
          <w:sz w:val="24"/>
          <w:szCs w:val="24"/>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May 3, 2024, the registrant had 20,057,835 shares of Class A Common Stock, $2.00 par value, outstanding and 2,971,588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11"/>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0"/>
                <w:szCs w:val="20"/>
                <w:color w:val="auto"/>
              </w:rPr>
            </w:pPr>
          </w:p>
        </w:tc>
      </w:tr>
      <w:tr>
        <w:trPr>
          <w:trHeight w:val="459"/>
        </w:trPr>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6"/>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620" w:type="dxa"/>
            <w:vAlign w:val="bottom"/>
            <w:tcBorders>
              <w:bottom w:val="single" w:sz="8" w:color="CCEEFF"/>
            </w:tcBorders>
            <w:gridSpan w:val="6"/>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1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2024 (unaudited) and December 31, 2023</w:t>
            </w:r>
          </w:p>
        </w:tc>
        <w:tc>
          <w:tcPr>
            <w:tcW w:w="2400" w:type="dxa"/>
            <w:vAlign w:val="bottom"/>
            <w:tcBorders>
              <w:bottom w:val="single" w:sz="8" w:color="CCEEFF"/>
            </w:tcBorders>
            <w:gridSpan w:val="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month periods ended March 31, 2024 and 2023 (unaudited)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month periods ended March 31, 2024 and 2023</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812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March 31, 2024 and March 31, 2023 (unaudited)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 periods ended March 31, 2024 and 2023 (unaudited)</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840" w:type="dxa"/>
            <w:vAlign w:val="bottom"/>
            <w:tcBorders>
              <w:top w:val="single" w:sz="8" w:color="CCEEFF"/>
            </w:tcBorders>
          </w:tcPr>
          <w:p>
            <w:pPr>
              <w:spacing w:after="0"/>
              <w:rPr>
                <w:sz w:val="15"/>
                <w:szCs w:val="15"/>
                <w:color w:val="auto"/>
              </w:rPr>
            </w:pPr>
          </w:p>
        </w:tc>
        <w:tc>
          <w:tcPr>
            <w:tcW w:w="89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100" w:type="dxa"/>
            <w:vAlign w:val="bottom"/>
            <w:tcBorders>
              <w:top w:val="single" w:sz="8" w:color="CCEEFF"/>
            </w:tcBorders>
            <w:gridSpan w:val="5"/>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5940" w:type="dxa"/>
            <w:vAlign w:val="bottom"/>
            <w:tcBorders>
              <w:top w:val="single" w:sz="8" w:color="CCEEFF"/>
            </w:tcBorders>
            <w:gridSpan w:val="12"/>
          </w:tcPr>
          <w:p>
            <w:pPr>
              <w:jc w:val="center"/>
              <w:ind w:right="36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84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20" w:type="dxa"/>
            <w:vAlign w:val="bottom"/>
            <w:tcBorders>
              <w:bottom w:val="single" w:sz="8" w:color="CCEEFF"/>
            </w:tcBorders>
            <w:gridSpan w:val="1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200" w:type="dxa"/>
            <w:vAlign w:val="bottom"/>
            <w:tcBorders>
              <w:bottom w:val="single" w:sz="8" w:color="CCEEFF"/>
            </w:tcBorders>
            <w:gridSpan w:val="9"/>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78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5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460"/>
        </w:trPr>
        <w:tc>
          <w:tcPr>
            <w:tcW w:w="8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120" w:type="dxa"/>
            <w:vAlign w:val="bottom"/>
            <w:tcBorders>
              <w:bottom w:val="single" w:sz="8" w:color="auto"/>
            </w:tcBorders>
            <w:gridSpan w:val="12"/>
          </w:tcPr>
          <w:p>
            <w:pPr>
              <w:jc w:val="center"/>
              <w:ind w:left="3830"/>
              <w:spacing w:after="0"/>
              <w:rPr>
                <w:sz w:val="20"/>
                <w:szCs w:val="20"/>
                <w:color w:val="auto"/>
              </w:rPr>
            </w:pPr>
            <w:r>
              <w:rPr>
                <w:rFonts w:ascii="Times New Roman" w:cs="Times New Roman" w:eastAsia="Times New Roman" w:hAnsi="Times New Roman"/>
                <w:sz w:val="18"/>
                <w:szCs w:val="18"/>
                <w:color w:val="auto"/>
                <w:w w:val="88"/>
              </w:rPr>
              <w:t>2</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$386,405,977 and $390,884,441 for 2024 and 2023, respectively; net of allowance for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of $410,549 and $314,549 for 2024 and 2023, respectively)</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375,833,407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c>
          <w:tcPr>
            <w:tcW w:w="0" w:type="dxa"/>
            <w:vAlign w:val="bottom"/>
          </w:tcPr>
          <w:p>
            <w:pPr>
              <w:spacing w:after="0"/>
              <w:rPr>
                <w:sz w:val="1"/>
                <w:szCs w:val="1"/>
                <w:color w:val="auto"/>
              </w:rPr>
            </w:pP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$11,160,744 and $10,571,505 for 2024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15,161,999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$2,921,614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$3,818,653 for 2024 and 2023, 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268,636,784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275,616,837</w:t>
            </w:r>
          </w:p>
        </w:tc>
        <w:tc>
          <w:tcPr>
            <w:tcW w:w="0" w:type="dxa"/>
            <w:vAlign w:val="bottom"/>
          </w:tcPr>
          <w:p>
            <w:pPr>
              <w:spacing w:after="0"/>
              <w:rPr>
                <w:sz w:val="1"/>
                <w:szCs w:val="1"/>
                <w:color w:val="auto"/>
              </w:rPr>
            </w:pP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$27,161,160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$29,307,791 for 2024 and 2023,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183,562,322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183,419,292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13,122,924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3,028,973</w:t>
            </w:r>
          </w:p>
        </w:tc>
        <w:tc>
          <w:tcPr>
            <w:tcW w:w="0" w:type="dxa"/>
            <w:vAlign w:val="bottom"/>
          </w:tcPr>
          <w:p>
            <w:pPr>
              <w:spacing w:after="0"/>
              <w:rPr>
                <w:sz w:val="1"/>
                <w:szCs w:val="1"/>
                <w:color w:val="auto"/>
              </w:rPr>
            </w:pPr>
          </w:p>
        </w:tc>
      </w:tr>
      <w:tr>
        <w:trPr>
          <w:trHeight w:val="198"/>
        </w:trPr>
        <w:tc>
          <w:tcPr>
            <w:tcW w:w="67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 of $1,587,525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$1,553,836 for 2024 and 2023,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70,510,984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69,404,617</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8,961,065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10,170,790</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935,789,485</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936,812,566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150,930,786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112,678,958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126,549,190</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$1,755,553 and $1,897,887 for 2024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16,875,546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15,335,315</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$10,083,226 and $9,239,063 for 2024 and 2023 respectively, at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20,878,561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20,028,976</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$5,217,068 and $4,969,005 for 2024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2023, respectively, at estimated fair value)</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8,368,975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8,082,917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14,726,731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14,857,059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9,557,577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9,163,691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118,117,308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116,351,067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3,318,155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3,461,146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18,806,536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19,175,099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8,457,054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8,467,613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3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22,742,841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20,072,195</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1,446,502,296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923,292,031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916,038,616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2,491,281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2,543,822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104,335,116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105,555,137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18,501,474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18,237,246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5,384,115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5,326,196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3,560,096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2,936,968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53,175,654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53,266,090</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15,658,555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13,752,981</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1,126,398,322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1,117,657,056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20,048,581 shares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March 31, 2024 and 20,048,002 shares issued and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40,097,162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40,096,004</w:t>
            </w:r>
          </w:p>
        </w:tc>
        <w:tc>
          <w:tcPr>
            <w:tcW w:w="0" w:type="dxa"/>
            <w:vAlign w:val="bottom"/>
          </w:tcPr>
          <w:p>
            <w:pPr>
              <w:spacing w:after="0"/>
              <w:rPr>
                <w:sz w:val="1"/>
                <w:szCs w:val="1"/>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2,971,680 shares issued and outstanding as of March 31, 2024 and 2,971,854 shares issued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December 31, 2023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5,943,360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5,943,708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72,727,294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72,424,429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(7,780,656)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(6,885,558)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214,452,895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206,978,373</w:t>
            </w: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- 756,386 Class A shares and 35,717 Class C shares as of March 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806,311 Class A shares and 35,717 Class C shares as of December 31, 2023</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(5,336,081)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(5,661,737)</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320,103,974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312,895,219</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1,446,502,296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7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21,831,670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25,989,006</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29,852,093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27,967,292</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19,946,568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17,774,883</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6,948,491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6,471,429</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1,669,426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111,154</w:t>
            </w:r>
          </w:p>
        </w:tc>
        <w:tc>
          <w:tcPr>
            <w:tcW w:w="80" w:type="dxa"/>
            <w:vAlign w:val="bottom"/>
          </w:tcPr>
          <w:p>
            <w:pPr>
              <w:spacing w:after="0"/>
              <w:rPr>
                <w:sz w:val="18"/>
                <w:szCs w:val="18"/>
                <w:color w:val="auto"/>
              </w:rPr>
            </w:pPr>
          </w:p>
        </w:tc>
      </w:tr>
      <w:tr>
        <w:trPr>
          <w:trHeight w:val="24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939,950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1,186,970</w:t>
            </w:r>
          </w:p>
        </w:tc>
        <w:tc>
          <w:tcPr>
            <w:tcW w:w="80" w:type="dxa"/>
            <w:vAlign w:val="bottom"/>
            <w:shd w:val="clear" w:color="auto" w:fill="CCEEFF"/>
          </w:tcPr>
          <w:p>
            <w:pPr>
              <w:spacing w:after="0"/>
              <w:rPr>
                <w:sz w:val="21"/>
                <w:szCs w:val="21"/>
                <w:color w:val="auto"/>
              </w:rPr>
            </w:pPr>
          </w:p>
        </w:tc>
      </w:tr>
      <w:tr>
        <w:trPr>
          <w:trHeight w:val="210"/>
        </w:trPr>
        <w:tc>
          <w:tcPr>
            <w:tcW w:w="6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81,188,198</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79,500,734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15,713,753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16,678,366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1,215,793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1,132,693</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9,345,887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8,054,939</w:t>
            </w:r>
          </w:p>
        </w:tc>
        <w:tc>
          <w:tcPr>
            <w:tcW w:w="80" w:type="dxa"/>
            <w:vAlign w:val="bottom"/>
            <w:shd w:val="clear" w:color="auto" w:fill="CCEEFF"/>
          </w:tcPr>
          <w:p>
            <w:pPr>
              <w:spacing w:after="0"/>
              <w:rPr>
                <w:sz w:val="18"/>
                <w:szCs w:val="18"/>
                <w:color w:val="auto"/>
              </w:rPr>
            </w:pP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4,743,913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4,883,581</w:t>
            </w:r>
          </w:p>
        </w:tc>
        <w:tc>
          <w:tcPr>
            <w:tcW w:w="8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7,981,217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9,673,310</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19,855,135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21,962,512</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687,655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903,411</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1,401,477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1,776,780</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587,449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588,416</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1,449,095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1,842,342</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6,285,910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7,780,535</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1,027,474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1,453,333</w:t>
            </w:r>
          </w:p>
        </w:tc>
        <w:tc>
          <w:tcPr>
            <w:tcW w:w="80" w:type="dxa"/>
            <w:vAlign w:val="bottom"/>
            <w:shd w:val="clear" w:color="auto" w:fill="CCEEFF"/>
          </w:tcPr>
          <w:p>
            <w:pPr>
              <w:spacing w:after="0"/>
              <w:rPr>
                <w:sz w:val="18"/>
                <w:szCs w:val="18"/>
                <w:color w:val="auto"/>
              </w:rPr>
            </w:pPr>
          </w:p>
        </w:tc>
      </w:tr>
      <w:tr>
        <w:trPr>
          <w:trHeight w:val="237"/>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1,274,129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1,185,628</w:t>
            </w:r>
          </w:p>
        </w:tc>
        <w:tc>
          <w:tcPr>
            <w:tcW w:w="80" w:type="dxa"/>
            <w:vAlign w:val="bottom"/>
          </w:tcPr>
          <w:p>
            <w:pPr>
              <w:spacing w:after="0"/>
              <w:rPr>
                <w:sz w:val="20"/>
                <w:szCs w:val="20"/>
                <w:color w:val="auto"/>
              </w:rPr>
            </w:pP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71,568,887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77,915,846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9,619,311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1,584,888</w:t>
            </w:r>
          </w:p>
        </w:tc>
        <w:tc>
          <w:tcPr>
            <w:tcW w:w="80" w:type="dxa"/>
            <w:vAlign w:val="bottom"/>
            <w:shd w:val="clear" w:color="auto" w:fill="CCEEFF"/>
          </w:tcPr>
          <w:p>
            <w:pPr>
              <w:spacing w:after="0"/>
              <w:rPr>
                <w:sz w:val="18"/>
                <w:szCs w:val="18"/>
                <w:color w:val="auto"/>
              </w:rPr>
            </w:pPr>
          </w:p>
        </w:tc>
      </w:t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(2,144,789)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(344,716)</w:t>
            </w:r>
          </w:p>
        </w:tc>
      </w:tr>
      <w:tr>
        <w:trPr>
          <w:trHeight w:val="216"/>
        </w:trPr>
        <w:tc>
          <w:tcPr>
            <w:tcW w:w="6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7,474,522</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1,240,172</w:t>
            </w:r>
          </w:p>
        </w:tc>
        <w:tc>
          <w:tcPr>
            <w:tcW w:w="80" w:type="dxa"/>
            <w:vAlign w:val="bottom"/>
          </w:tcPr>
          <w:p>
            <w:pPr>
              <w:spacing w:after="0"/>
              <w:rPr>
                <w:sz w:val="24"/>
                <w:szCs w:val="24"/>
                <w:color w:val="auto"/>
              </w:rPr>
            </w:pPr>
          </w:p>
        </w:tc>
      </w:tr>
      <w:tr>
        <w:trPr>
          <w:trHeight w:val="196"/>
        </w:trPr>
        <w:tc>
          <w:tcPr>
            <w:tcW w:w="6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4"/>
                <w:szCs w:val="24"/>
                <w:color w:val="auto"/>
              </w:rPr>
            </w:pPr>
          </w:p>
        </w:tc>
      </w:tr>
      <w:tr>
        <w:trPr>
          <w:trHeight w:val="197"/>
        </w:trPr>
        <w:tc>
          <w:tcPr>
            <w:tcW w:w="6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share-assuming dilution (1)</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4"/>
                <w:szCs w:val="24"/>
                <w:color w:val="auto"/>
              </w:rPr>
            </w:pPr>
          </w:p>
        </w:tc>
      </w:tr>
      <w:tr>
        <w:trPr>
          <w:trHeight w:val="197"/>
        </w:trPr>
        <w:tc>
          <w:tcPr>
            <w:tcW w:w="6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 (1)</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22,219,490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22,129,713</w:t>
            </w:r>
          </w:p>
        </w:tc>
        <w:tc>
          <w:tcPr>
            <w:tcW w:w="80" w:type="dxa"/>
            <w:vAlign w:val="bottom"/>
          </w:tcPr>
          <w:p>
            <w:pPr>
              <w:spacing w:after="0"/>
              <w:rPr>
                <w:sz w:val="24"/>
                <w:szCs w:val="24"/>
                <w:color w:val="auto"/>
              </w:rPr>
            </w:pPr>
          </w:p>
        </w:tc>
      </w:tr>
      <w:tr>
        <w:trPr>
          <w:trHeight w:val="196"/>
        </w:trPr>
        <w:tc>
          <w:tcPr>
            <w:tcW w:w="6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Class A equivalent common shares outstanding-assuming dilution (1)</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22,945,842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22,687,773</w:t>
            </w:r>
          </w:p>
        </w:tc>
        <w:tc>
          <w:tcPr>
            <w:tcW w:w="80" w:type="dxa"/>
            <w:vAlign w:val="bottom"/>
          </w:tcPr>
          <w:p>
            <w:pPr>
              <w:spacing w:after="0"/>
              <w:rPr>
                <w:sz w:val="21"/>
                <w:szCs w:val="2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jc w:val="both"/>
        <w:ind w:left="360" w:hanging="292"/>
        <w:spacing w:after="0" w:line="26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60" w:type="dxa"/>
            <w:vAlign w:val="bottom"/>
            <w:gridSpan w:val="7"/>
          </w:tcPr>
          <w:p>
            <w:pPr>
              <w:jc w:val="right"/>
              <w:ind w:right="94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36"/>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7,474,522</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18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(1,131,650)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5,218,029</w:t>
            </w: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4,133</w:t>
            </w:r>
          </w:p>
        </w:tc>
      </w:tr>
      <w:tr>
        <w:trPr>
          <w:trHeight w:val="249"/>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2,926</w:t>
            </w:r>
          </w:p>
        </w:tc>
      </w:tr>
      <w:tr>
        <w:trPr>
          <w:trHeight w:val="210"/>
        </w:trPr>
        <w:tc>
          <w:tcPr>
            <w:tcW w:w="62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7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(1,134,314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5,225,088</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(895,098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4,127,558</w:t>
            </w:r>
          </w:p>
        </w:tc>
        <w:tc>
          <w:tcPr>
            <w:tcW w:w="100" w:type="dxa"/>
            <w:vAlign w:val="bottom"/>
            <w:tcBorders>
              <w:bottom w:val="single" w:sz="8" w:color="CCEEFF"/>
            </w:tcBorders>
          </w:tcPr>
          <w:p>
            <w:pPr>
              <w:spacing w:after="0"/>
              <w:rPr>
                <w:sz w:val="18"/>
                <w:szCs w:val="18"/>
                <w:color w:val="auto"/>
              </w:rPr>
            </w:pPr>
          </w:p>
        </w:tc>
      </w:tr>
      <w:tr>
        <w:trPr>
          <w:trHeight w:val="23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6,579,424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5,367,730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4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Borders>
              <w:top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Borders>
              <w:top w:val="single" w:sz="8" w:color="CCEEFF"/>
            </w:tcBorders>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61"/>
              <w:spacing w:after="0" w:line="198"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Paid-in</w:t>
            </w:r>
          </w:p>
        </w:tc>
        <w:tc>
          <w:tcPr>
            <w:tcW w:w="80" w:type="dxa"/>
            <w:vAlign w:val="bottom"/>
          </w:tcPr>
          <w:p>
            <w:pPr>
              <w:spacing w:after="0"/>
              <w:rPr>
                <w:sz w:val="18"/>
                <w:szCs w:val="18"/>
                <w:color w:val="auto"/>
              </w:rPr>
            </w:pPr>
          </w:p>
        </w:tc>
        <w:tc>
          <w:tcPr>
            <w:tcW w:w="130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$37,516,062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$ 5,779,718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$64,767,769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(13,070,277)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$ 202,160,306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(4,366,651)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$ 292,786,927</w:t>
            </w:r>
          </w:p>
        </w:tc>
      </w:tr>
      <w:tr>
        <w:trPr>
          <w:trHeight w:val="216"/>
        </w:trPr>
        <w:tc>
          <w:tcPr>
            <w:tcW w:w="276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1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ASU 2016-13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(671,506)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(671,506)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1,240,172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1,240,172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4,127,558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4,127,558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143,671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96,092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620,651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577,158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(1,204,357)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(1,204,357)</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37,614,026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$ 5,777,846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64,805,874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(8,942,719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202,728,972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(4,950,357</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297,033,642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94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25,077,244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(16,073,799)</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(6,670,277)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(11,911,847)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11,440,209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5,375,819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(2,038,459)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(4,596,981)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1,412,118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4,150,683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(643,531)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178,350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24,746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(46,725)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54,601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27,199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(166,160,908)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(165,651,041)</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175,017,132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184,156,157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(256,155)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71,469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10,974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(17,740,755)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(2,705,716)</w:t>
            </w:r>
          </w:p>
        </w:tc>
      </w:tr>
      <w:tr>
        <w:trPr>
          <w:trHeight w:val="237"/>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7,082,265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9,160,065</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1,699,334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17,364,402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3,237,207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3,100,207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(4,105,463)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(3,831,218)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(41,077)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(1,204,357)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(470,652)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(15,684,446)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46,000,000</w:t>
            </w:r>
          </w:p>
        </w:tc>
      </w:tr>
      <w:tr>
        <w:trPr>
          <w:trHeight w:val="237"/>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(769,236)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(53,656,378)</w:t>
            </w:r>
          </w:p>
        </w:tc>
      </w:tr>
      <w:tr>
        <w:trPr>
          <w:trHeight w:val="223"/>
        </w:trPr>
        <w:tc>
          <w:tcPr>
            <w:tcW w:w="6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(2,149,221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(25,242,173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24,627,357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(23,951,570)</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139,923,399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133,483,817</w:t>
            </w:r>
          </w:p>
        </w:tc>
      </w:tr>
      <w:tr>
        <w:trPr>
          <w:trHeight w:val="216"/>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164,550,756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109,532,247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1,022,460</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1,635,867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1,867,552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479,462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139,095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470,521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577,158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mortgage loans held for investment to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1,625,961</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from mortgage loans held for investment to cemetery perpetual care trust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1,611,550</w:t>
            </w:r>
          </w:p>
        </w:tc>
      </w:tr>
      <w:tr>
        <w:trPr>
          <w:trHeight w:val="439"/>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is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150,930,786</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99,554,776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10,598,384</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9,228,113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3,021,586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749,358</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4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164,550,756</w:t>
            </w:r>
          </w:p>
        </w:tc>
        <w:tc>
          <w:tcPr>
            <w:tcW w:w="3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109,532,247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2023, included in the Company’s Annual Report on Form 10-K (File Number 000-09341). In the opinion of management, all adjustments (consisting of normal recurring accruals) considered necessary for a fair presentation have been included. Operating results for the three month periods ended March 31, 2024 are not necessarily indicative of the results that may be expected for the year ending December 31,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the value of loans held for sale;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(192,607)</w:t>
            </w: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301,830</w:t>
            </w:r>
          </w:p>
        </w:tc>
      </w:tr>
      <w:tr>
        <w:trPr>
          <w:trHeight w:val="237"/>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555,807</w:t>
            </w:r>
          </w:p>
        </w:tc>
      </w:tr>
      <w:tr>
        <w:trPr>
          <w:trHeight w:val="223"/>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Restriced assets - mortgage loans held for investment:</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8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 mortgage loans held for investment: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8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the FASB issued an update to ASU No. 2018-12 that requires the standard to be adopted by the Company commencing on January 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Company is in the process of estimating the impact of the new guidance on the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beginning on January 1, 2025. The Company is in the process of estimating the impact of the new guidance on the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2023-07: “Segment Reporting (Topic 280): Improvements to Reportable Segment Disclosures”</w:t>
      </w:r>
      <w:r>
        <w:rPr>
          <w:rFonts w:ascii="Times New Roman" w:cs="Times New Roman" w:eastAsia="Times New Roman" w:hAnsi="Times New Roman"/>
          <w:sz w:val="18"/>
          <w:szCs w:val="18"/>
          <w:color w:val="auto"/>
        </w:rPr>
        <w:t xml:space="preserve"> — Issued in November 2023, ASU 2023-07 requires enhanced disclosures about significant segment expenses. The key amendments include: (i) disclosures on significant segment expenses that are regularly provided to the chief operating decision maker (CODM) and included within each reported measure of segment profit or loss on an annual and interim basis; (ii) disclosures on an amount for other segment items by reportable segment and a description of its composition on an annual and interim basis. The other segment items category is the difference between segment revenue less the significant expenses disclosed and each reported measure of segment profit or loss; (iii) providing all annual disclosures on a reportable segment’s profit or loss and assets currently required by FASB ASC Topic 280, Segment Reporting in interim periods; and (iv) specifying the title and position of the CODM. ASU 2023-07 is effective for the Company for annual periods beginning January 1, 2024 and interim periods beginning January 1, 2025. The Company is in the process of estimating the impact of the new guidance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93" w:gutter="0" w:footer="0" w:header="0"/>
        </w:sectPr>
      </w:pPr>
    </w:p>
    <w:bookmarkStart w:id="11" w:name="page12"/>
    <w:bookmarkEnd w:id="11"/>
    <w:p>
      <w:pPr>
        <w:spacing w:after="0" w:line="1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560" w:hanging="19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March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76"/>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108,273,666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21,718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(1,168,930)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107,126,454</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6,314,947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(312,669)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6,002,605</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231,778,966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2,770,637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(7,446,098)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226,705,005</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39,788,398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342,124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(4,379,130)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35,739,343</w:t>
            </w: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386,405,977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3,144,806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(13,306,827)</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375,833,407</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11,160,744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4,284,537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(283,282)</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15,161,999</w:t>
            </w:r>
          </w:p>
        </w:tc>
      </w:tr>
      <w:tr>
        <w:trPr>
          <w:trHeight w:val="216"/>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11,160,744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4,284,537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(283,282)</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15,161,999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106,764,632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99,748,408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67,076,085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(1,711,491)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(2,921,614)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(319,236)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268,636,784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54,638,976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128,923,346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183,562,322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859,599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12,263,325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13,122,924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13,248,999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46,710,578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2,325,900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9,813,032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(1,587,525)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2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70,510,984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8,961,065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51" w:orient="portrait"/>
          <w:cols w:equalWidth="0" w:num="1">
            <w:col w:w="11240"/>
          </w:cols>
          <w:pgMar w:left="320" w:top="661"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935,789,485</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$552,600 of Membership stock and $1,773,300 of Activity stock attributable to short-term borrowings and letters of credit.</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Allowance for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25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111,450,753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344,425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(1,416,448)</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110,378,730</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6,524,083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(319,260)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6,205,323</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232,299,727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3,688,642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(7,145,507)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228,534,362</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40,359,878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506,647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(4,702,905)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36,157,571</w:t>
            </w: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16"/>
        </w:trPr>
        <w:tc>
          <w:tcPr>
            <w:tcW w:w="14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390,884,441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4,550,214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(13,584,120)</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(314,549)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16"/>
        </w:trPr>
        <w:tc>
          <w:tcPr>
            <w:tcW w:w="14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(439,575)</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103,153,587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104,052,748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74,176,538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(3,818,653)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(324,157)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275,616,837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40,924,865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142,494,427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183,419,292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45,605,322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2,279,800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9,809,148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(1,553,836)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4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69,404,617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10,170,790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61"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936,812,566</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$530,900 of Membership stock and $1,748,900 of Activity stock due to short-term advances and letters of credit.</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of more than 10% of shareholders’ equity (before net unrealized gains and losses on equity securities and fixed maturity securities) as of March 31, 2024,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2024 and December 31, 2023.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96"/>
        </w:trPr>
        <w:tc>
          <w:tcPr>
            <w:tcW w:w="11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25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3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167,532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53,312,759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1,001,398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29,735,785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1,168,930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83,048,544</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299,934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5,083,218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5,552,278</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35,567,960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6,832,645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110,572,963</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7,446,098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146,140,923</w:t>
            </w:r>
          </w:p>
        </w:tc>
      </w:tr>
      <w:tr>
        <w:trPr>
          <w:trHeight w:val="249"/>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4,044,375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4,360,474</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23,420,838</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4,379,130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27,465,213</w:t>
            </w:r>
          </w:p>
        </w:tc>
      </w:tr>
      <w:tr>
        <w:trPr>
          <w:trHeight w:val="257"/>
        </w:trPr>
        <w:tc>
          <w:tcPr>
            <w:tcW w:w="374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812,376</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93,394,154</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12,494,451</w:t>
            </w:r>
          </w:p>
        </w:tc>
        <w:tc>
          <w:tcPr>
            <w:tcW w:w="3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168,812,804</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13,306,827</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262,206,958</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7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9,436,090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1,387,054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70,885,403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1,416,448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80,321,493</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308,155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5,284,498</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5,754,823</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32,507,773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6,615,847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107,556,216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7,145,507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140,063,989</w:t>
            </w:r>
          </w:p>
        </w:tc>
      </w:tr>
      <w:tr>
        <w:trPr>
          <w:trHeight w:val="237"/>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2,260,445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4,673,106</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22,184,174</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4,702,905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24,444,619</w:t>
            </w:r>
          </w:p>
        </w:tc>
      </w:tr>
      <w:tr>
        <w:trPr>
          <w:trHeight w:val="229"/>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44,674,633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12,984,162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205,910,291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13,584,120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250,584,924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634 securities with fair values aggregating 95.2% of the aggregate amortized cost as of March 31, 2024. Relevant holdings were comprised of 606 securities with fair values aggregating 94.9% of the aggregate amortized cost as of December 31, 2023. Credit loss provision of $96,000 and $179,500 have been recognized for the three month periods ended March 31, 2024 and 2023,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98.1% and 98.2% of its fixed maturity securities rated investment grade as of March 31, 2024 and December 31, 2023, respectively. The following table summarizes the credit quality, by NAIC designation, of the Company’s fixed maturity securities available for sale, excluding redeemable preferred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98"/>
        </w:trPr>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16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Estimated Fair</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16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7"/>
                <w:szCs w:val="17"/>
                <w:color w:val="auto"/>
              </w:rPr>
            </w:pPr>
          </w:p>
        </w:tc>
      </w:tr>
      <w:tr>
        <w:trPr>
          <w:trHeight w:val="241"/>
        </w:trPr>
        <w:tc>
          <w:tcPr>
            <w:tcW w:w="3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NAIC Designation</w:t>
            </w:r>
          </w:p>
        </w:tc>
        <w:tc>
          <w:tcPr>
            <w:tcW w:w="140" w:type="dxa"/>
            <w:vAlign w:val="bottom"/>
          </w:tcPr>
          <w:p>
            <w:pPr>
              <w:spacing w:after="0"/>
              <w:rPr>
                <w:sz w:val="20"/>
                <w:szCs w:val="20"/>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3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216,075,719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210,349,942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221,933,425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216,975,288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162,441,509</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158,181,139</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161,062,016</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157,346,803</w:t>
            </w:r>
          </w:p>
        </w:tc>
      </w:tr>
      <w:tr>
        <w:trPr>
          <w:trHeight w:val="216"/>
        </w:trPr>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6,318,939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5,939,193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6,418,829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5,953,542</w:t>
            </w:r>
          </w:p>
        </w:tc>
      </w:tr>
      <w:tr>
        <w:trPr>
          <w:trHeight w:val="21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1,078,897</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1,053,757</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982,290</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948,478</w:t>
            </w:r>
          </w:p>
        </w:tc>
      </w:tr>
      <w:tr>
        <w:trPr>
          <w:trHeight w:val="216"/>
        </w:trPr>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239,704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49,375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236,648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51,875</w:t>
            </w:r>
          </w:p>
        </w:tc>
      </w:tr>
      <w:tr>
        <w:trPr>
          <w:trHeight w:val="236"/>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1,233</w:t>
            </w: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40" w:type="dxa"/>
            <w:vAlign w:val="bottom"/>
            <w:tcBorders>
              <w:top w:val="single" w:sz="8" w:color="CCEEFF"/>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386,155,977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375,573,407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390,634,441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381,275,986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2024</w:t>
            </w:r>
          </w:p>
        </w:tc>
        <w:tc>
          <w:tcPr>
            <w:tcW w:w="1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314,549</w:t>
            </w: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198"/>
        </w:trPr>
        <w:tc>
          <w:tcPr>
            <w:tcW w:w="4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 to sell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410,549</w:t>
            </w: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3"/>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1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179,500</w:t>
            </w:r>
          </w:p>
        </w:tc>
        <w:tc>
          <w:tcPr>
            <w:tcW w:w="10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38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38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intent to sell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1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 March 31, 2023</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179,500</w:t>
            </w:r>
          </w:p>
        </w:tc>
        <w:tc>
          <w:tcPr>
            <w:tcW w:w="10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March 31, 2024, by contractual maturity. Actual or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4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72,470,984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72,077,712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123,253,754</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120,601,532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85,540,964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84,576,263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22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65,101,877</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62,578,557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39,788,398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35,739,343</w:t>
            </w:r>
          </w:p>
        </w:tc>
      </w:tr>
      <w:tr>
        <w:trPr>
          <w:trHeight w:val="23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2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260,000</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386,405,977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375,833,407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3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60" w:type="dxa"/>
            <w:vAlign w:val="bottom"/>
          </w:tcPr>
          <w:p>
            <w:pPr>
              <w:spacing w:after="0"/>
              <w:rPr>
                <w:sz w:val="20"/>
                <w:szCs w:val="20"/>
                <w:color w:val="auto"/>
              </w:rPr>
            </w:pPr>
          </w:p>
        </w:tc>
      </w:tr>
      <w:tr>
        <w:trPr>
          <w:trHeight w:val="236"/>
        </w:trPr>
        <w:tc>
          <w:tcPr>
            <w:tcW w:w="35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179,989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1,209,844</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15,490</w:t>
            </w:r>
          </w:p>
        </w:tc>
        <w:tc>
          <w:tcPr>
            <w:tcW w:w="22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(54,104)</w:t>
            </w:r>
          </w:p>
        </w:tc>
        <w:tc>
          <w:tcPr>
            <w:tcW w:w="2260" w:type="dxa"/>
            <w:vAlign w:val="bottom"/>
          </w:tcPr>
          <w:p>
            <w:pPr>
              <w:spacing w:after="0"/>
              <w:rPr>
                <w:sz w:val="18"/>
                <w:szCs w:val="18"/>
                <w:color w:val="auto"/>
              </w:rPr>
            </w:pPr>
          </w:p>
        </w:tc>
      </w:tr>
      <w:tr>
        <w:trPr>
          <w:trHeight w:val="439"/>
        </w:trPr>
        <w:tc>
          <w:tcPr>
            <w:tcW w:w="35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732"/>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4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March 31, 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84"/>
        </w:trPr>
        <w:tc>
          <w:tcPr>
            <w:tcW w:w="41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0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6,068,973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6,206,650</w:t>
            </w:r>
          </w:p>
        </w:tc>
        <w:tc>
          <w:tcPr>
            <w:tcW w:w="60" w:type="dxa"/>
            <w:vAlign w:val="bottom"/>
            <w:shd w:val="clear" w:color="auto" w:fill="CCEEFF"/>
          </w:tcPr>
          <w:p>
            <w:pPr>
              <w:spacing w:after="0"/>
              <w:rPr>
                <w:sz w:val="20"/>
                <w:szCs w:val="20"/>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8"/>
                <w:szCs w:val="18"/>
                <w:color w:val="auto"/>
              </w:rPr>
            </w:pPr>
          </w:p>
        </w:tc>
      </w:tr>
      <w:tr>
        <w:trPr>
          <w:trHeight w:val="2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1,982,298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1,909,215</w:t>
            </w:r>
          </w:p>
        </w:tc>
        <w:tc>
          <w:tcPr>
            <w:tcW w:w="60" w:type="dxa"/>
            <w:vAlign w:val="bottom"/>
            <w:shd w:val="clear" w:color="auto" w:fill="CCEEFF"/>
          </w:tcPr>
          <w:p>
            <w:pPr>
              <w:spacing w:after="0"/>
              <w:rPr>
                <w:sz w:val="21"/>
                <w:szCs w:val="21"/>
                <w:color w:val="auto"/>
              </w:rPr>
            </w:pPr>
          </w:p>
        </w:tc>
      </w:tr>
      <w:tr>
        <w:trPr>
          <w:trHeight w:val="217"/>
        </w:trPr>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on deposit</w:t>
            </w: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8,451,271</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8,515,865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4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31,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84"/>
        </w:trPr>
        <w:tc>
          <w:tcPr>
            <w:tcW w:w="41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0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27,718,677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27,903,952</w:t>
            </w: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2,469,301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2,101,052</w:t>
            </w:r>
          </w:p>
        </w:tc>
      </w:tr>
      <w:tr>
        <w:trPr>
          <w:trHeight w:val="229"/>
        </w:trPr>
        <w:tc>
          <w:tcPr>
            <w:tcW w:w="4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30,187,978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As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4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March 31, 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84"/>
        </w:trPr>
        <w:tc>
          <w:tcPr>
            <w:tcW w:w="41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0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68"/>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estimated fair value</w:t>
            </w:r>
          </w:p>
        </w:tc>
        <w:tc>
          <w:tcPr>
            <w:tcW w:w="1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94,098,666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93,903,089</w:t>
            </w:r>
          </w:p>
        </w:tc>
        <w:tc>
          <w:tcPr>
            <w:tcW w:w="60" w:type="dxa"/>
            <w:vAlign w:val="bottom"/>
            <w:shd w:val="clear" w:color="auto" w:fill="CCEEFF"/>
          </w:tcPr>
          <w:p>
            <w:pPr>
              <w:spacing w:after="0"/>
              <w:rPr>
                <w:sz w:val="23"/>
                <w:szCs w:val="23"/>
                <w:color w:val="auto"/>
              </w:rPr>
            </w:pPr>
          </w:p>
        </w:tc>
      </w:tr>
      <w:tr>
        <w:trPr>
          <w:trHeight w:val="216"/>
        </w:trPr>
        <w:tc>
          <w:tcPr>
            <w:tcW w:w="41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 pledged as collateral</w:t>
            </w: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94,098,666</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93,903,089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seven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book value of commercial real estate serving as collateral for bank loans was $123,079,008 and $124,381,467 as of March 31, 2024 and December 31, 2023, respectively. The associated bank loan carrying values totaled $97,359,494 and $97,807,614 as of March 31, 2024 and December 31,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the Company recorded depreciation expense on commercial real estate held for investment of $1,527,793 and $1,565,927,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Net Book Value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Total Square Footage</w:t>
            </w:r>
          </w:p>
        </w:tc>
        <w:tc>
          <w:tcPr>
            <w:tcW w:w="226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March 31,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5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2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128,904,262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142,475,177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7"/>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6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19,084</w:t>
            </w:r>
          </w:p>
        </w:tc>
        <w:tc>
          <w:tcPr>
            <w:tcW w:w="5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w:t>
            </w:r>
          </w:p>
        </w:tc>
        <w:tc>
          <w:tcPr>
            <w:tcW w:w="19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c>
          <w:tcPr>
            <w:tcW w:w="2260" w:type="dxa"/>
            <w:vAlign w:val="bottom"/>
          </w:tcPr>
          <w:p>
            <w:pPr>
              <w:spacing w:after="0"/>
              <w:rPr>
                <w:sz w:val="20"/>
                <w:szCs w:val="20"/>
                <w:color w:val="auto"/>
              </w:rPr>
            </w:pPr>
          </w:p>
        </w:tc>
      </w:tr>
      <w:tr>
        <w:trPr>
          <w:trHeight w:val="216"/>
        </w:trPr>
        <w:tc>
          <w:tcPr>
            <w:tcW w:w="1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128,923,346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142,494,427</w:t>
            </w:r>
          </w:p>
        </w:tc>
        <w:tc>
          <w:tcPr>
            <w:tcW w:w="19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548,563</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627,542</w:t>
            </w:r>
          </w:p>
        </w:tc>
        <w:tc>
          <w:tcPr>
            <w:tcW w:w="226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04"/>
        </w:trPr>
        <w:tc>
          <w:tcPr>
            <w:tcW w:w="20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Includes Center53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4"/>
        </w:trPr>
        <w:tc>
          <w:tcPr>
            <w:tcW w:w="1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ind w:left="620"/>
              <w:spacing w:after="0"/>
              <w:rPr>
                <w:sz w:val="20"/>
                <w:szCs w:val="20"/>
                <w:color w:val="auto"/>
              </w:rPr>
            </w:pPr>
            <w:r>
              <w:rPr>
                <w:rFonts w:ascii="Times New Roman" w:cs="Times New Roman" w:eastAsia="Times New Roman" w:hAnsi="Times New Roman"/>
                <w:sz w:val="18"/>
                <w:szCs w:val="18"/>
                <w:color w:val="auto"/>
              </w:rPr>
              <w:t>Net Book Value</w:t>
            </w:r>
          </w:p>
        </w:tc>
        <w:tc>
          <w:tcPr>
            <w:tcW w:w="80" w:type="dxa"/>
            <w:vAlign w:val="bottom"/>
          </w:tcPr>
          <w:p>
            <w:pPr>
              <w:spacing w:after="0"/>
              <w:rPr>
                <w:sz w:val="20"/>
                <w:szCs w:val="20"/>
                <w:color w:val="auto"/>
              </w:rPr>
            </w:pPr>
          </w:p>
        </w:tc>
        <w:tc>
          <w:tcPr>
            <w:tcW w:w="254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8"/>
        </w:trPr>
        <w:tc>
          <w:tcPr>
            <w:tcW w:w="3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March 31,</w:t>
            </w:r>
          </w:p>
        </w:tc>
        <w:tc>
          <w:tcPr>
            <w:tcW w:w="1140" w:type="dxa"/>
            <w:vAlign w:val="bottom"/>
            <w:tcBorders>
              <w:top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gridSpan w:val="2"/>
          </w:tcPr>
          <w:p>
            <w:pPr>
              <w:spacing w:after="0"/>
              <w:rPr>
                <w:sz w:val="17"/>
                <w:szCs w:val="17"/>
                <w:color w:val="auto"/>
              </w:rPr>
            </w:pPr>
          </w:p>
        </w:tc>
      </w:tr>
      <w:tr>
        <w:trPr>
          <w:trHeight w:val="241"/>
        </w:trPr>
        <w:tc>
          <w:tcPr>
            <w:tcW w:w="3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3,028,973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Utah (2)</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12,111,772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78,979</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3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12,263,325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3,028,973</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78,979</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19,694</w:t>
            </w:r>
          </w:p>
        </w:tc>
        <w:tc>
          <w:tcPr>
            <w:tcW w:w="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ind w:left="360" w:right="20" w:hanging="292"/>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approximately 93 acres of undeveloped land for $151,553 for 2024 and 2023. The remaining property for $2,877,420 was sold in February 2024 for a gain of approximately $250,000.</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in April 2024 for a gain of approximately $3,000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is being marketed with the assistance of commercial real estate brokers in Mississippi.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occasionally acquires a small portfolio of residential homes primarily because of loan foreclosures. The Company has the option to sell these properties or to continue to hold them for expected cash flow and price appreciation. The Company also invests in residential subdivision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the Company recorded depreciation expense on residential real estate held for investment of $2,653 and $2,648,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Net Book Value</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31, 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60" w:type="dxa"/>
            <w:vAlign w:val="bottom"/>
            <w:gridSpan w:val="2"/>
          </w:tcPr>
          <w:p>
            <w:pPr>
              <w:spacing w:after="0"/>
              <w:rPr>
                <w:sz w:val="20"/>
                <w:szCs w:val="20"/>
                <w:color w:val="auto"/>
              </w:rPr>
            </w:pPr>
          </w:p>
        </w:tc>
      </w:tr>
      <w:tr>
        <w:trPr>
          <w:trHeight w:val="23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54,638,976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40,924,865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4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54,638,976</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40,924,865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Includes multiple residential subdivision development projects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residential subdivision development in Utah: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31, 2024</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1,269</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54,449,234</w:t>
            </w:r>
          </w:p>
        </w:tc>
        <w:tc>
          <w:tcPr>
            <w:tcW w:w="4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40,739,201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8"/>
                <w:szCs w:val="18"/>
                <w:color w:val="auto"/>
              </w:rPr>
              <w:t>Net Book Value</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gridSpan w:val="2"/>
          </w:tcPr>
          <w:p>
            <w:pPr>
              <w:spacing w:after="0"/>
              <w:rPr>
                <w:sz w:val="20"/>
                <w:szCs w:val="20"/>
                <w:color w:val="auto"/>
              </w:rPr>
            </w:pP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859,599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859,599</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$859,599 and nil as of March 31, 2024 and December 31,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March 31, 2024,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Approximate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Occupied by the</w:t>
            </w:r>
          </w:p>
        </w:tc>
      </w:tr>
      <w:tr>
        <w:trPr>
          <w:trHeight w:val="241"/>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Location</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Segment</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Square Footage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Company</w:t>
            </w:r>
          </w:p>
        </w:tc>
      </w:tr>
      <w:tr>
        <w:trPr>
          <w:trHeight w:val="198"/>
        </w:trPr>
        <w:tc>
          <w:tcPr>
            <w:tcW w:w="30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433</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Ascension Way, Floors 4, 5 and 6, Salt Lake</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Cemetery/Mortuary Operations, and Mortgage</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UT - Center53 Building 2 (1)</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221,000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12,274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909</w:t>
            </w:r>
          </w:p>
        </w:tc>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Foisy Street, Alexandria, LA (2) (3)</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8,059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812</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Sheppard Street, Minden, LA (2) (4)</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2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7" w:lineRule="exact"/>
        <w:rPr>
          <w:sz w:val="20"/>
          <w:szCs w:val="20"/>
          <w:color w:val="auto"/>
        </w:rPr>
      </w:pPr>
    </w:p>
    <w:p>
      <w:pPr>
        <w:ind w:left="360" w:hanging="29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in April 2024 for a loss of approximately $39,000</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March 31, 2024, the Company had 43%, 11%, 8%, 8% and 7%, of its mortgage loans from borrowers located in the states of Utah, Florida, California, Texas, and Arizona, respectively. As of December 31, 2023, the Company had 44%, 11%, 10%, 7% and 6% of its mortgage loans from borrowers located in the states of Utah, Florida, California, Texas, and Arizona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$328,000 and $237,000 as of March 31, 2024 and December 31, 2023,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40"/>
              <w:spacing w:after="0" w:line="198" w:lineRule="exact"/>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2024</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1,219,653</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2,390,894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3,818,653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(360,031)</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(528,399)</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(897,039)</w:t>
            </w: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6"/>
        </w:trPr>
        <w:tc>
          <w:tcPr>
            <w:tcW w:w="3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2024</w:t>
            </w:r>
          </w:p>
        </w:tc>
        <w:tc>
          <w:tcPr>
            <w:tcW w:w="6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1,862,495</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2,921,614</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3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1,739,980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43,202</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1,970,311</w:t>
            </w: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ASU 2016-13 (1)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555,807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(192,607)</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301,830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15,195</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137,727</w:t>
            </w: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100,078</w:t>
            </w:r>
          </w:p>
        </w:tc>
        <w:tc>
          <w:tcPr>
            <w:tcW w:w="80" w:type="dxa"/>
            <w:vAlign w:val="bottom"/>
          </w:tcPr>
          <w:p>
            <w:pPr>
              <w:spacing w:after="0"/>
              <w:rPr>
                <w:sz w:val="18"/>
                <w:szCs w:val="18"/>
                <w:color w:val="auto"/>
              </w:rPr>
            </w:pPr>
          </w:p>
        </w:tc>
      </w:tr>
      <w:tr>
        <w:trPr>
          <w:trHeight w:val="25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3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March 31, 2023</w:t>
            </w:r>
          </w:p>
        </w:tc>
        <w:tc>
          <w:tcPr>
            <w:tcW w:w="6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758,131</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1,685,100</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292,188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2,735,419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45" w:lineRule="exact"/>
        <w:rPr>
          <w:sz w:val="20"/>
          <w:szCs w:val="20"/>
          <w:color w:val="auto"/>
        </w:rPr>
      </w:pPr>
    </w:p>
    <w:p>
      <w:pPr>
        <w:ind w:left="360" w:hanging="29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of the notes to the condensed consolidated financial statements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2"/>
        </w:trPr>
        <w:tc>
          <w:tcPr>
            <w:tcW w:w="4740" w:type="dxa"/>
            <w:vAlign w:val="bottom"/>
            <w:gridSpan w:val="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5,056,753</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3,868,858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8,925,611</w:t>
            </w:r>
          </w:p>
        </w:tc>
        <w:tc>
          <w:tcPr>
            <w:tcW w:w="0" w:type="dxa"/>
            <w:vAlign w:val="bottom"/>
          </w:tcPr>
          <w:p>
            <w:pPr>
              <w:spacing w:after="0"/>
              <w:rPr>
                <w:sz w:val="1"/>
                <w:szCs w:val="1"/>
                <w:color w:val="auto"/>
              </w:rPr>
            </w:pPr>
          </w:p>
        </w:tc>
      </w:tr>
      <w:tr>
        <w:trPr>
          <w:trHeight w:val="216"/>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2,018,961</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2,018,961</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3,001,826</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3,406,826</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1,694,997</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1,886,505</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5,653,261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10,584,642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16,237,903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61,422,824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96,179,990</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99,748,408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257,351,222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67,076,085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106,764,632</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99,748,408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273,589,125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(859,622)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(1,862,495)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(199,497)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(2,921,614)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(144,981)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(1,168,387)</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(398,123)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(1,711,491)</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(159,979)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(159,257)</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(319,236)</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65,911,503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103,574,493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99,150,788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268,636,784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3,387,673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3,387,673</w:t>
            </w:r>
          </w:p>
        </w:tc>
        <w:tc>
          <w:tcPr>
            <w:tcW w:w="0" w:type="dxa"/>
            <w:vAlign w:val="bottom"/>
          </w:tcPr>
          <w:p>
            <w:pPr>
              <w:spacing w:after="0"/>
              <w:rPr>
                <w:sz w:val="1"/>
                <w:szCs w:val="1"/>
                <w:color w:val="auto"/>
              </w:rPr>
            </w:pPr>
          </w:p>
        </w:tc>
      </w:tr>
      <w:tr>
        <w:trPr>
          <w:trHeight w:val="216"/>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3,472,760</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3,472,760</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3,480,931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3,885,931</w:t>
            </w:r>
          </w:p>
        </w:tc>
        <w:tc>
          <w:tcPr>
            <w:tcW w:w="0" w:type="dxa"/>
            <w:vAlign w:val="bottom"/>
          </w:tcPr>
          <w:p>
            <w:pPr>
              <w:spacing w:after="0"/>
              <w:rPr>
                <w:sz w:val="1"/>
                <w:szCs w:val="1"/>
                <w:color w:val="auto"/>
              </w:rPr>
            </w:pPr>
          </w:p>
        </w:tc>
      </w:tr>
      <w:tr>
        <w:trPr>
          <w:trHeight w:val="236"/>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1,241,508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1,021,790</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2,263,298</w:t>
            </w: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11,363,154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72,530,030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91,790,433</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104,052,748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268,373,211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74,176,538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103,153,587</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281,382,873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(1,219,653)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(2,390,894)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(208,106)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(3,818,653)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(172,989)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(1,135,491)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(314,746)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(1,623,226)</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(216,705)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(107,452)</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(324,157)</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72,567,191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99,519,750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103,529,896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275,616,837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540" w:right="3800" w:hanging="5472"/>
        <w:spacing w:after="0" w:line="657"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Quality Indicators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Credit Quality Indicator LTV:</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$ 4,221,500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$34,304,450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$ 3,335,678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3,755,796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$ 9,410,047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$55,027,471</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82.04%</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65% to 80%</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432,978</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1,523,926</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4,773,397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6,730,301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r>
      <w:tr>
        <w:trPr>
          <w:trHeight w:val="237"/>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5,318,313</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4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$ 4,654,478</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35,828,376</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$ 8,109,075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4,160,796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$ 9,410,047</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67,076,085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DSCR</w:t>
            </w:r>
          </w:p>
        </w:tc>
        <w:tc>
          <w:tcPr>
            <w:tcW w:w="1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&gt;1.20x</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$ 4,221,500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$ 5,538,915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$37,363,728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55.70%</w:t>
            </w:r>
          </w:p>
        </w:tc>
      </w:tr>
      <w:tr>
        <w:trPr>
          <w:trHeight w:val="216"/>
        </w:trPr>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1.00x - 1.20x</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432,978</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8,338,376</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7,109,075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3,460,796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3,856,194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23,197,419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34.58%</w:t>
            </w:r>
          </w:p>
        </w:tc>
      </w:tr>
      <w:tr>
        <w:trPr>
          <w:trHeight w:val="23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&lt;1.00x</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14,938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6,514,938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$ 4,654,478</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35,828,376</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$ 8,109,075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4,160,796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$ 9,410,047</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67,076,085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Credit Quality Indicator LTV:</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$34,304,954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13,555,737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3,778,248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$ 2,964,740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$ 6,565,389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$61,169,068</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r>
      <w:tr>
        <w:trPr>
          <w:trHeight w:val="21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1,523,926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5,115,231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12,602,470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16.99%</w:t>
            </w:r>
          </w:p>
        </w:tc>
      </w:tr>
      <w:tr>
        <w:trPr>
          <w:trHeight w:val="237"/>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35,828,880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18,670,968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5,233,248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DSCR</w:t>
            </w:r>
          </w:p>
        </w:tc>
        <w:tc>
          <w:tcPr>
            <w:tcW w:w="194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&gt;1.20x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$20,990,000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$ 2,612,625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$33,180,678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8,338,880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8,496,127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3,483,248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3,952,764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24,271,019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32.72%</w:t>
            </w:r>
          </w:p>
        </w:tc>
      </w:tr>
      <w:tr>
        <w:trPr>
          <w:trHeight w:val="237"/>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&lt;1.00x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9,174,841(1)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1,050,000</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16,724,841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4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35,828,880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18,670,968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5,233,248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4,913,313</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$ 2,964,740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$ 6,565,389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Commercial construction loan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2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3,547,990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16,709,844</w:t>
            </w:r>
          </w:p>
        </w:tc>
        <w:tc>
          <w:tcPr>
            <w:tcW w:w="2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52,632,220</w:t>
            </w:r>
          </w:p>
        </w:tc>
        <w:tc>
          <w:tcPr>
            <w:tcW w:w="9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$ 7,046,188</w:t>
            </w:r>
          </w:p>
        </w:tc>
        <w:tc>
          <w:tcPr>
            <w:tcW w:w="122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$ 7,709,605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14,421,963</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102,067,810</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95.60%</w:t>
            </w:r>
          </w:p>
        </w:tc>
      </w:tr>
      <w:tr>
        <w:trPr>
          <w:trHeight w:val="237"/>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398,402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2,198,441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365,061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406,356</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1,328,562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4,696,822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3,547,990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17,108,246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54,830,661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$ 7,411,249</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$ 8,115,961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15,750,525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106,764,632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96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8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$1,694,997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95"/>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750,581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3,288,230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7,025,668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$ 2,629,210</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$ 1,577,667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5,951,632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21,222,988</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19.88%</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7"/>
              </w:rPr>
              <w:t>2,797,409</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11,187,143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43,201,988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3,309,638</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4,000,015</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7,368,980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71,865,173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67.31%</w:t>
            </w:r>
          </w:p>
        </w:tc>
      </w:tr>
      <w:tr>
        <w:trPr>
          <w:trHeight w:val="23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2,632,873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4,603,005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1,472,401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2,538,279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2,429,913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13,676,471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3,547,990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17,108,246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54,830,661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$ 7,411,249</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$ 8,115,961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15,750,525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106,764,632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222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53,875,389</w:t>
            </w:r>
          </w:p>
        </w:tc>
        <w:tc>
          <w:tcPr>
            <w:tcW w:w="122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$ 7,156,934</w:t>
            </w:r>
          </w:p>
        </w:tc>
        <w:tc>
          <w:tcPr>
            <w:tcW w:w="9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$ 7,453,796</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12,040,357</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98,650,866</w:t>
            </w:r>
          </w:p>
        </w:tc>
        <w:tc>
          <w:tcPr>
            <w:tcW w:w="8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95.63%</w:t>
            </w:r>
          </w:p>
        </w:tc>
      </w:tr>
      <w:tr>
        <w:trPr>
          <w:trHeight w:val="23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2,202,114</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365,061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1,322,445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4,502,721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56,077,503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$ 7,521,995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$ 8,066,897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13,362,802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103,153,587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3"/>
        </w:trPr>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9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$1,021,790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95"/>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1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3,280,144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7,049,522</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$ 1,843,286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$ 1,746,970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5,206,095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19,572,692</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10,962,770</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44,371,320</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4,269,894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4,222,170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2,339,887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5,711,440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71,877,481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69.68%</w:t>
            </w:r>
          </w:p>
        </w:tc>
      </w:tr>
      <w:tr>
        <w:trPr>
          <w:trHeight w:val="237"/>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1,094,914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4,656,661</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1,408,815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2,097,757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2,445,267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11,703,414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38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15,337,828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56,077,503</w:t>
            </w:r>
          </w:p>
        </w:tc>
        <w:tc>
          <w:tcPr>
            <w:tcW w:w="12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$ 7,521,995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$ 8,066,897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2,786,562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13,362,802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103,153,587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20"/>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r>
      <w:tr>
        <w:trPr>
          <w:trHeight w:val="241"/>
        </w:trPr>
        <w:tc>
          <w:tcPr>
            <w:tcW w:w="380" w:type="dxa"/>
            <w:vAlign w:val="bottom"/>
          </w:tcPr>
          <w:p>
            <w:pPr>
              <w:spacing w:after="0"/>
              <w:rPr>
                <w:sz w:val="20"/>
                <w:szCs w:val="20"/>
                <w:color w:val="auto"/>
              </w:rPr>
            </w:pPr>
          </w:p>
        </w:tc>
        <w:tc>
          <w:tcPr>
            <w:tcW w:w="3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6"/>
        </w:trPr>
        <w:tc>
          <w:tcPr>
            <w:tcW w:w="338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$17,493,176</w:t>
            </w:r>
          </w:p>
        </w:tc>
        <w:tc>
          <w:tcPr>
            <w:tcW w:w="11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$49,632,301</w:t>
            </w:r>
          </w:p>
        </w:tc>
        <w:tc>
          <w:tcPr>
            <w:tcW w:w="108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$6,844,517</w:t>
            </w:r>
          </w:p>
        </w:tc>
        <w:tc>
          <w:tcPr>
            <w:tcW w:w="11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$25,778,414</w:t>
            </w:r>
          </w:p>
        </w:tc>
        <w:tc>
          <w:tcPr>
            <w:tcW w:w="11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$99,748,408</w:t>
            </w:r>
          </w:p>
        </w:tc>
        <w:tc>
          <w:tcPr>
            <w:tcW w:w="8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7"/>
        </w:trPr>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17,493,176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49,632,301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6,844,517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25,778,414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99,748,408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$17,493,176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$28,656,715</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$4,459,888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$25,778,414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$76,388,193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76.58%</w:t>
            </w:r>
          </w:p>
        </w:tc>
      </w:tr>
      <w:tr>
        <w:trPr>
          <w:trHeight w:val="216"/>
        </w:trPr>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20,975,586</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2,384,629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23,360,215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r>
      <w:tr>
        <w:trPr>
          <w:trHeight w:val="236"/>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17,493,176</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49,632,301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6,844,517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25,778,414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99,748,408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 of Total</w:t>
            </w:r>
          </w:p>
        </w:tc>
        <w:tc>
          <w:tcPr>
            <w:tcW w:w="1140" w:type="dxa"/>
            <w:vAlign w:val="bottom"/>
          </w:tcPr>
          <w:p>
            <w:pPr>
              <w:spacing w:after="0"/>
              <w:rPr>
                <w:sz w:val="20"/>
                <w:szCs w:val="20"/>
                <w:color w:val="auto"/>
              </w:rPr>
            </w:pPr>
          </w:p>
        </w:tc>
      </w:tr>
      <w:tr>
        <w:trPr>
          <w:trHeight w:val="196"/>
        </w:trPr>
        <w:tc>
          <w:tcPr>
            <w:tcW w:w="354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Performance Indicators: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18"/>
                <w:szCs w:val="18"/>
                <w:color w:val="auto"/>
              </w:rPr>
            </w:pPr>
          </w:p>
        </w:tc>
      </w:tr>
      <w:tr>
        <w:trPr>
          <w:trHeight w:val="237"/>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20"/>
                <w:szCs w:val="20"/>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40,215,360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8,732,500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20,442,302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69,390,162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20,096,319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7,891,682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6,674,585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34,662,586</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140" w:type="dxa"/>
            <w:vAlign w:val="bottom"/>
          </w:tcPr>
          <w:p>
            <w:pPr>
              <w:spacing w:after="0"/>
              <w:rPr>
                <w:sz w:val="18"/>
                <w:szCs w:val="18"/>
                <w:color w:val="auto"/>
              </w:rPr>
            </w:pPr>
          </w:p>
        </w:tc>
      </w:tr>
      <w:tr>
        <w:trPr>
          <w:trHeight w:val="23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20"/>
                <w:szCs w:val="20"/>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6"/>
              </w:rPr>
              <w:t>As of</w:t>
            </w:r>
          </w:p>
        </w:tc>
      </w:tr>
      <w:tr>
        <w:trPr>
          <w:trHeight w:val="241"/>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March 31, 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10,589,598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10,829,629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6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4,534,618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3,709,754</w:t>
            </w: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5,260,677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4,329,468</w:t>
            </w:r>
          </w:p>
        </w:tc>
        <w:tc>
          <w:tcPr>
            <w:tcW w:w="60" w:type="dxa"/>
            <w:vAlign w:val="bottom"/>
            <w:shd w:val="clear" w:color="auto" w:fill="CCEEFF"/>
          </w:tcPr>
          <w:p>
            <w:pPr>
              <w:spacing w:after="0"/>
              <w:rPr>
                <w:sz w:val="21"/>
                <w:szCs w:val="21"/>
                <w:color w:val="auto"/>
              </w:rPr>
            </w:pPr>
          </w:p>
        </w:tc>
      </w:tr>
      <w:tr>
        <w:trPr>
          <w:trHeight w:val="210"/>
        </w:trPr>
        <w:tc>
          <w:tcPr>
            <w:tcW w:w="49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20,384,893</w:t>
            </w:r>
          </w:p>
        </w:tc>
        <w:tc>
          <w:tcPr>
            <w:tcW w:w="2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18,868,851</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r>
      <w:tr>
        <w:trPr>
          <w:trHeight w:val="23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26,325,685</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26,736,471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49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insurance assignments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46,710,578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45,605,322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(1,587,525</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(1,553,836</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45,123,053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44,051,486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2 regarding the adoption of ASU 2016-13.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003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70039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u w:val="single" w:color="auto"/>
          <w:color w:val="auto"/>
        </w:rPr>
        <w:t>Three Months Ended</w:t>
      </w:r>
    </w:p>
    <w:p>
      <w:pPr>
        <w:spacing w:after="0" w:line="36" w:lineRule="exact"/>
        <w:rPr>
          <w:sz w:val="20"/>
          <w:szCs w:val="20"/>
          <w:color w:val="auto"/>
        </w:rPr>
      </w:pPr>
    </w:p>
    <w:p>
      <w:pPr>
        <w:ind w:left="801" w:hanging="801"/>
        <w:spacing w:after="0"/>
        <w:tabs>
          <w:tab w:leader="none" w:pos="8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1,553,836</w:t>
      </w:r>
    </w:p>
    <w:p>
      <w:pPr>
        <w:spacing w:after="0" w:line="27"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250,567</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(216,878)</w:t>
      </w:r>
    </w:p>
    <w:p>
      <w:pPr>
        <w:spacing w:after="0" w:line="45" w:lineRule="exact"/>
        <w:rPr>
          <w:sz w:val="20"/>
          <w:szCs w:val="20"/>
          <w:color w:val="auto"/>
        </w:rPr>
      </w:pPr>
    </w:p>
    <w:p>
      <w:pPr>
        <w:ind w:left="801" w:hanging="801"/>
        <w:spacing w:after="0"/>
        <w:tabs>
          <w:tab w:leader="none" w:pos="8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1,587,525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46" w:lineRule="exact"/>
        <w:rPr>
          <w:sz w:val="20"/>
          <w:szCs w:val="20"/>
          <w:color w:val="auto"/>
        </w:rPr>
      </w:pPr>
    </w:p>
    <w:p>
      <w:pPr>
        <w:ind w:left="801" w:hanging="801"/>
        <w:spacing w:after="0"/>
        <w:tabs>
          <w:tab w:leader="none" w:pos="8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1,609,951</w:t>
      </w:r>
    </w:p>
    <w:p>
      <w:pPr>
        <w:spacing w:after="0" w:line="27"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233,113</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(157,163)</w:t>
      </w:r>
    </w:p>
    <w:p>
      <w:pPr>
        <w:spacing w:after="0" w:line="45" w:lineRule="exact"/>
        <w:rPr>
          <w:sz w:val="20"/>
          <w:szCs w:val="20"/>
          <w:color w:val="auto"/>
        </w:rPr>
      </w:pPr>
    </w:p>
    <w:p>
      <w:pPr>
        <w:ind w:left="801" w:hanging="801"/>
        <w:spacing w:after="0"/>
        <w:tabs>
          <w:tab w:leader="none" w:pos="8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61"/>
          </w:cols>
          <w:pgMar w:left="320" w:top="661" w:right="339" w:bottom="1440" w:gutter="0" w:footer="0" w:header="0"/>
          <w:type w:val="continuous"/>
        </w:sectPr>
      </w:pPr>
    </w:p>
    <w:p>
      <w:pPr>
        <w:spacing w:after="0" w:line="106" w:lineRule="exact"/>
        <w:rPr>
          <w:sz w:val="20"/>
          <w:szCs w:val="20"/>
          <w:color w:val="auto"/>
        </w:rPr>
      </w:pPr>
    </w:p>
    <w:p>
      <w:pPr>
        <w:ind w:left="5540" w:right="5060" w:hanging="5472"/>
        <w:spacing w:after="0" w:line="475" w:lineRule="auto"/>
        <w:tabs>
          <w:tab w:leader="none" w:pos="36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52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15,491</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(54,891)</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(179,500)</w:t>
            </w:r>
          </w:p>
        </w:tc>
      </w:tr>
      <w:tr>
        <w:trPr>
          <w:trHeight w:val="216"/>
        </w:trPr>
        <w:tc>
          <w:tcPr>
            <w:tcW w:w="5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securities sold</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(61,103)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(52,315)</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held at the end of the period</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1,542,863</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331,430</w:t>
            </w:r>
          </w:p>
        </w:tc>
      </w:tr>
      <w:tr>
        <w:trPr>
          <w:trHeight w:val="216"/>
        </w:trPr>
        <w:tc>
          <w:tcPr>
            <w:tcW w:w="5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249,960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35,486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50,939</w:t>
            </w:r>
          </w:p>
        </w:tc>
      </w:tr>
      <w:tr>
        <w:trPr>
          <w:trHeight w:val="23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(1,229)</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includes gains and losses by the restricted assets and cemetery perpetual care trust investments of the cemeteries and mortuaries of $582,172 in net gains and $53,931 in net gains for the three month periods ended March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4,403,558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4,012,732</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168,148</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140,507</w:t>
            </w: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8,814,036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8,487,656</w:t>
            </w: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3,515,061</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3,364,924</w:t>
            </w: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301,267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200,213</w:t>
            </w: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5,076,549</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4,768,203</w:t>
            </w: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198,959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129,056</w:t>
            </w:r>
          </w:p>
        </w:tc>
      </w:tr>
      <w:tr>
        <w:trPr>
          <w:trHeight w:val="237"/>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1,690,957</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787,762</w:t>
            </w:r>
          </w:p>
        </w:tc>
      </w:tr>
      <w:tr>
        <w:trPr>
          <w:trHeight w:val="216"/>
        </w:trPr>
        <w:tc>
          <w:tcPr>
            <w:tcW w:w="52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24,168,535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21,891,053</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(4,221,967)</w:t>
            </w: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(4,116,170)</w:t>
            </w:r>
          </w:p>
        </w:tc>
      </w:tr>
      <w:tr>
        <w:trPr>
          <w:trHeight w:val="229"/>
        </w:trPr>
        <w:tc>
          <w:tcPr>
            <w:tcW w:w="5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19,946,568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17,774,883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by the restricted assets of the cemeteries and mortuaries of $933,551 and $633,527 for the three month periods ended March 31, 2024 and 2023,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4"/>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24"/>
                <w:szCs w:val="24"/>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As of</w:t>
            </w:r>
          </w:p>
        </w:tc>
        <w:tc>
          <w:tcPr>
            <w:tcW w:w="2800" w:type="dxa"/>
            <w:vAlign w:val="bottom"/>
          </w:tcPr>
          <w:p>
            <w:pPr>
              <w:spacing w:after="0"/>
              <w:rPr>
                <w:sz w:val="24"/>
                <w:szCs w:val="24"/>
                <w:color w:val="auto"/>
              </w:rPr>
            </w:pPr>
          </w:p>
        </w:tc>
      </w:tr>
      <w:tr>
        <w:trPr>
          <w:trHeight w:val="241"/>
        </w:trPr>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c>
          <w:tcPr>
            <w:tcW w:w="280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4,343,991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3,984,695</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20,451</w:t>
            </w:r>
          </w:p>
        </w:tc>
        <w:tc>
          <w:tcPr>
            <w:tcW w:w="28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1,163,282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2,661,092</w:t>
            </w:r>
          </w:p>
        </w:tc>
        <w:tc>
          <w:tcPr>
            <w:tcW w:w="280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3,411,928</w:t>
            </w:r>
          </w:p>
        </w:tc>
        <w:tc>
          <w:tcPr>
            <w:tcW w:w="1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3,486,115</w:t>
            </w:r>
          </w:p>
        </w:tc>
        <w:tc>
          <w:tcPr>
            <w:tcW w:w="2800" w:type="dxa"/>
            <w:vAlign w:val="bottom"/>
          </w:tcPr>
          <w:p>
            <w:pPr>
              <w:spacing w:after="0"/>
              <w:rPr>
                <w:sz w:val="18"/>
                <w:szCs w:val="18"/>
                <w:color w:val="auto"/>
              </w:rPr>
            </w:pPr>
          </w:p>
        </w:tc>
      </w:tr>
      <w:tr>
        <w:trPr>
          <w:trHeight w:val="25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18,437</w:t>
            </w:r>
          </w:p>
        </w:tc>
        <w:tc>
          <w:tcPr>
            <w:tcW w:w="2800" w:type="dxa"/>
            <w:vAlign w:val="bottom"/>
          </w:tcPr>
          <w:p>
            <w:pPr>
              <w:spacing w:after="0"/>
              <w:rPr>
                <w:sz w:val="21"/>
                <w:szCs w:val="21"/>
                <w:color w:val="auto"/>
              </w:rPr>
            </w:pPr>
          </w:p>
        </w:tc>
      </w:tr>
      <w:tr>
        <w:trPr>
          <w:trHeight w:val="216"/>
        </w:trPr>
        <w:tc>
          <w:tcPr>
            <w:tcW w:w="4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8,961,065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10,170,790</w:t>
            </w:r>
          </w:p>
        </w:tc>
        <w:tc>
          <w:tcPr>
            <w:tcW w:w="80" w:type="dxa"/>
            <w:vAlign w:val="bottom"/>
            <w:tcBorders>
              <w:top w:val="single" w:sz="8" w:color="CCEEFF"/>
            </w:tcBorders>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Included in loans held for sale are loans in the process of foreclosure with an aggregate unpaid principal balance of $311,117 and $1,636,090 as of March 31, 2024 and December 31, 2023, respectively. See Note 8 to the condensed consolidated financial statements for additional disclosures regarding loans held for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March 31, 2024</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5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112,678,958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126,549,190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113,616,499</w:t>
            </w: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127,185,867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(937,541)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(636,677)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6"/>
        </w:trPr>
        <w:tc>
          <w:tcPr>
            <w:tcW w:w="52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5,520,465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4,388,414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1,482,819</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2,007,058</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14,730,974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17,961,358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561,778</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677,952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(300,890)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794,614</w:t>
            </w: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(163,476)</w:t>
            </w: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159,610</w:t>
            </w:r>
          </w:p>
        </w:tc>
      </w:tr>
      <w:tr>
        <w:trPr>
          <w:trHeight w:val="23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21,831,670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25,989,006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As of March 31,</w:t>
            </w:r>
          </w:p>
        </w:tc>
        <w:tc>
          <w:tcPr>
            <w:tcW w:w="100" w:type="dxa"/>
            <w:vAlign w:val="bottom"/>
          </w:tcPr>
          <w:p>
            <w:pPr>
              <w:spacing w:after="0"/>
              <w:rPr>
                <w:sz w:val="18"/>
                <w:szCs w:val="18"/>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As of December</w:t>
            </w:r>
          </w:p>
        </w:tc>
      </w:tr>
      <w:tr>
        <w:trPr>
          <w:trHeight w:val="241"/>
        </w:trPr>
        <w:tc>
          <w:tcPr>
            <w:tcW w:w="5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1,725,667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163,476</w:t>
            </w:r>
          </w:p>
        </w:tc>
        <w:tc>
          <w:tcPr>
            <w:tcW w:w="10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27,164</w:t>
            </w: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1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(210,102)</w:t>
            </w:r>
          </w:p>
        </w:tc>
        <w:tc>
          <w:tcPr>
            <w:tcW w:w="1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(1,205,598)</w:t>
            </w:r>
          </w:p>
        </w:tc>
      </w:tr>
      <w:tr>
        <w:trPr>
          <w:trHeight w:val="216"/>
        </w:trPr>
        <w:tc>
          <w:tcPr>
            <w:tcW w:w="5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500,607</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three month period ended March 31, 2024, $163,476 in reserves were added at a rate of 3.5 basis points per loan, the equivalent of $350 per $1,000,000 in loans originated. This is a decrease over the three month period ended March 31, 2023, when reserves of $239,801 were added at a rate of 4.5 basis points per loan originated, the equivalent of $450 per $1,000,000 in loans originated. The Company monitors market data and trends, economic conditions (including forecasts) and its own experience to maintain adequate loss reserves on current production.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$198,998 and $142,929 has been recognized for these plans for the three month periods ended March 31, 2024 and 2023, respectively, and is included in personnel expenses on the condensed consolidated statements of earnings. As of March 31, 2024, the total unrecognized compensation expense related to the options issued was $512,854, which is expected to be recognized over the remaining vesting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three month period ended March 31,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Number of</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Exercise Price</w:t>
            </w:r>
          </w:p>
        </w:tc>
      </w:tr>
      <w:tr>
        <w:trPr>
          <w:trHeight w:val="241"/>
        </w:trPr>
        <w:tc>
          <w:tcPr>
            <w:tcW w:w="4040" w:type="dxa"/>
            <w:vAlign w:val="bottom"/>
          </w:tcPr>
          <w:p>
            <w:pPr>
              <w:spacing w:after="0"/>
              <w:rPr>
                <w:sz w:val="20"/>
                <w:szCs w:val="20"/>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Class A Shares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Class C Shares</w:t>
            </w: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833,570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1,520,062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1,520,062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765,695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1,291,312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197"/>
        </w:trPr>
        <w:tc>
          <w:tcPr>
            <w:tcW w:w="4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76,320</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529,750</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 years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 years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4.57 years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5.83 years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2,230,953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3,108,691</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2,246,543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3,146,491</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$7.91 as of March 31, 2024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three month period ended March 31, 2023, is summarized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March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Number of</w:t>
            </w:r>
          </w:p>
        </w:tc>
        <w:tc>
          <w:tcPr>
            <w:tcW w:w="14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Exercise Price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0" w:type="dxa"/>
            <w:vAlign w:val="bottom"/>
          </w:tcPr>
          <w:p>
            <w:pPr>
              <w:spacing w:after="0"/>
              <w:rPr>
                <w:sz w:val="1"/>
                <w:szCs w:val="1"/>
                <w:color w:val="auto"/>
              </w:rPr>
            </w:pPr>
          </w:p>
        </w:tc>
      </w:tr>
      <w:tr>
        <w:trPr>
          <w:trHeight w:val="241"/>
        </w:trPr>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A Shares</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5"/>
              </w:rPr>
              <w:t>(2)</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Class C Shares</w:t>
            </w:r>
          </w:p>
        </w:tc>
        <w:tc>
          <w:tcPr>
            <w:tcW w:w="0" w:type="dxa"/>
            <w:vAlign w:val="bottom"/>
          </w:tcPr>
          <w:p>
            <w:pPr>
              <w:spacing w:after="0"/>
              <w:rPr>
                <w:sz w:val="1"/>
                <w:szCs w:val="1"/>
                <w:color w:val="auto"/>
              </w:rPr>
            </w:pPr>
          </w:p>
        </w:tc>
      </w:tr>
      <w:tr>
        <w:trPr>
          <w:trHeight w:val="414"/>
        </w:trPr>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976,605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1,157,203</w:t>
            </w:r>
          </w:p>
        </w:tc>
        <w:tc>
          <w:tcPr>
            <w:tcW w:w="0" w:type="dxa"/>
            <w:vAlign w:val="bottom"/>
          </w:tcPr>
          <w:p>
            <w:pPr>
              <w:spacing w:after="0"/>
              <w:rPr>
                <w:sz w:val="1"/>
                <w:szCs w:val="1"/>
                <w:color w:val="auto"/>
              </w:rPr>
            </w:pPr>
          </w:p>
        </w:tc>
      </w:tr>
      <w:tr>
        <w:trPr>
          <w:trHeight w:val="216"/>
        </w:trPr>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(90,705)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901,900</w:t>
            </w:r>
          </w:p>
        </w:tc>
        <w:tc>
          <w:tcPr>
            <w:tcW w:w="2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827,025</w:t>
            </w:r>
          </w:p>
        </w:tc>
        <w:tc>
          <w:tcPr>
            <w:tcW w:w="160" w:type="dxa"/>
            <w:vAlign w:val="bottom"/>
            <w:vMerge w:val="continue"/>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935,953</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-1199515</wp:posOffset>
            </wp:positionV>
            <wp:extent cx="60604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-925195</wp:posOffset>
            </wp:positionV>
            <wp:extent cx="606044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-633730</wp:posOffset>
            </wp:positionV>
            <wp:extent cx="606044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0440" cy="16319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-316865</wp:posOffset>
            </wp:positionV>
            <wp:extent cx="606044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Average</w:t>
      </w:r>
    </w:p>
    <w:p>
      <w:pPr>
        <w:spacing w:after="0" w:line="9"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u w:val="single" w:color="auto"/>
          <w:color w:val="auto"/>
        </w:rPr>
        <w:t>Exercise Price</w:t>
      </w:r>
    </w:p>
    <w:p>
      <w:pPr>
        <w:spacing w:after="0" w:line="234" w:lineRule="exact"/>
        <w:rPr>
          <w:sz w:val="20"/>
          <w:szCs w:val="20"/>
          <w:color w:val="auto"/>
        </w:rPr>
      </w:pPr>
    </w:p>
    <w:p>
      <w:pPr>
        <w:ind w:left="820" w:hanging="816"/>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81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820" w:hanging="816"/>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w:t>
      </w:r>
    </w:p>
    <w:p>
      <w:pPr>
        <w:spacing w:after="0" w:line="114" w:lineRule="exact"/>
        <w:rPr>
          <w:sz w:val="20"/>
          <w:szCs w:val="20"/>
          <w:color w:val="auto"/>
        </w:rPr>
      </w:pPr>
    </w:p>
    <w:p>
      <w:pPr>
        <w:sectPr>
          <w:pgSz w:w="11900" w:h="16838" w:orient="portrait"/>
          <w:cols w:equalWidth="0" w:num="3">
            <w:col w:w="3320" w:space="720"/>
            <w:col w:w="4000" w:space="280"/>
            <w:col w:w="292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155,133</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795,000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2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4.60 years</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6.66 years</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2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4.14 years</w:t>
            </w: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6.20 years</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6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1,182,602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741,380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6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1,214,210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8"/>
                <w:szCs w:val="18"/>
                <w:color w:val="auto"/>
              </w:rPr>
              <w:t>812,293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$6.23 as of March 31, 2023 to derive intrinsic value.</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three month periods ended March 31, 2024 and 2023 was nil and $176,935,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Stock based compensation expense for RSUs issued of $889 and $742 has been recognized under these plans for each of the three month periods ended March 31, 2024 and 2023, respectively, and is included in personnel expenses on the condensed consolidated statements of earnings. As of March 31, 2024, the total unrecognized compensation expense related to the RSUs issued was $2,375, which is expected to be recognized over the remaining vesting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 month period ended March 31,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16"/>
        </w:trPr>
        <w:tc>
          <w:tcPr>
            <w:tcW w:w="490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Grant Date Fair</w:t>
            </w:r>
          </w:p>
        </w:tc>
      </w:tr>
      <w:tr>
        <w:trPr>
          <w:trHeight w:val="241"/>
        </w:trPr>
        <w:tc>
          <w:tcPr>
            <w:tcW w:w="490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Class A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7"/>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r>
      <w:tr>
        <w:trPr>
          <w:trHeight w:val="197"/>
        </w:trPr>
        <w:tc>
          <w:tcPr>
            <w:tcW w:w="4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three month period ended March 31,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338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338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380" w:type="dxa"/>
            <w:vAlign w:val="bottom"/>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tcBorders>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56"/>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March 31, 2023</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380" w:type="dxa"/>
            <w:vAlign w:val="bottom"/>
          </w:tcPr>
          <w:p>
            <w:pPr>
              <w:spacing w:after="0"/>
              <w:rPr>
                <w:sz w:val="22"/>
                <w:szCs w:val="22"/>
                <w:color w:val="auto"/>
              </w:rPr>
            </w:pPr>
          </w:p>
        </w:tc>
      </w:tr>
      <w:tr>
        <w:trPr>
          <w:trHeight w:val="197"/>
        </w:trPr>
        <w:tc>
          <w:tcPr>
            <w:tcW w:w="49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CCEEFF"/>
            </w:tcBorders>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7,474,522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1,240,172</w:t>
            </w:r>
          </w:p>
        </w:tc>
        <w:tc>
          <w:tcPr>
            <w:tcW w:w="6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22,219,490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22,129,713</w:t>
            </w:r>
          </w:p>
        </w:tc>
        <w:tc>
          <w:tcPr>
            <w:tcW w:w="60" w:type="dxa"/>
            <w:vAlign w:val="bottom"/>
          </w:tcPr>
          <w:p>
            <w:pPr>
              <w:spacing w:after="0"/>
              <w:rPr>
                <w:sz w:val="20"/>
                <w:szCs w:val="20"/>
                <w:color w:val="auto"/>
              </w:rPr>
            </w:pP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726,352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558,060</w:t>
            </w:r>
          </w:p>
        </w:tc>
        <w:tc>
          <w:tcPr>
            <w:tcW w:w="60" w:type="dxa"/>
            <w:vAlign w:val="bottom"/>
          </w:tcPr>
          <w:p>
            <w:pPr>
              <w:spacing w:after="0"/>
              <w:rPr>
                <w:sz w:val="20"/>
                <w:szCs w:val="20"/>
                <w:color w:val="auto"/>
              </w:rPr>
            </w:pPr>
          </w:p>
        </w:tc>
      </w:tr>
      <w:tr>
        <w:trPr>
          <w:trHeight w:val="216"/>
        </w:trPr>
        <w:tc>
          <w:tcPr>
            <w:tcW w:w="4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8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22,945,842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22,687,773</w:t>
            </w:r>
          </w:p>
        </w:tc>
        <w:tc>
          <w:tcPr>
            <w:tcW w:w="6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8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24"/>
                <w:szCs w:val="24"/>
                <w:color w:val="auto"/>
              </w:rPr>
            </w:pPr>
          </w:p>
        </w:tc>
      </w:tr>
      <w:tr>
        <w:trPr>
          <w:trHeight w:val="197"/>
        </w:trPr>
        <w:tc>
          <w:tcPr>
            <w:tcW w:w="4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 periods ended March 31, 2024 and 2023, there were 467,125 and 730,270 anti-dilutive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Class A</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Class C</w:t>
            </w:r>
          </w:p>
        </w:tc>
        <w:tc>
          <w:tcPr>
            <w:tcW w:w="3380" w:type="dxa"/>
            <w:vAlign w:val="bottom"/>
          </w:tcPr>
          <w:p>
            <w:pPr>
              <w:spacing w:after="0"/>
              <w:rPr>
                <w:sz w:val="24"/>
                <w:szCs w:val="24"/>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at December 31, 2022</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18,758,031</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2,889,859</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48,046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3380" w:type="dxa"/>
            <w:vAlign w:val="bottom"/>
          </w:tcPr>
          <w:p>
            <w:pPr>
              <w:spacing w:after="0"/>
              <w:rPr>
                <w:sz w:val="18"/>
                <w:szCs w:val="18"/>
                <w:color w:val="auto"/>
              </w:rPr>
            </w:pPr>
          </w:p>
        </w:tc>
      </w:tr>
      <w:tr>
        <w:trPr>
          <w:trHeight w:val="250"/>
        </w:trPr>
        <w:tc>
          <w:tcPr>
            <w:tcW w:w="4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5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shares at March 31, 2023</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18,807,013</w:t>
            </w:r>
          </w:p>
        </w:tc>
        <w:tc>
          <w:tcPr>
            <w:tcW w:w="2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2,888,923</w:t>
            </w:r>
          </w:p>
        </w:tc>
        <w:tc>
          <w:tcPr>
            <w:tcW w:w="3380" w:type="dxa"/>
            <w:vAlign w:val="bottom"/>
          </w:tcPr>
          <w:p>
            <w:pPr>
              <w:spacing w:after="0"/>
              <w:rPr>
                <w:sz w:val="22"/>
                <w:szCs w:val="22"/>
                <w:color w:val="auto"/>
              </w:rPr>
            </w:pPr>
          </w:p>
        </w:tc>
      </w:tr>
      <w:tr>
        <w:trPr>
          <w:trHeight w:val="197"/>
        </w:trPr>
        <w:tc>
          <w:tcPr>
            <w:tcW w:w="4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shares at December 31, 2023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20,048,002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2,971,854</w:t>
            </w:r>
          </w:p>
        </w:tc>
        <w:tc>
          <w:tcPr>
            <w:tcW w:w="33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380" w:type="dxa"/>
            <w:vAlign w:val="bottom"/>
          </w:tcPr>
          <w:p>
            <w:pPr>
              <w:spacing w:after="0"/>
              <w:rPr>
                <w:sz w:val="18"/>
                <w:szCs w:val="18"/>
                <w:color w:val="auto"/>
              </w:rPr>
            </w:pPr>
          </w:p>
        </w:tc>
      </w:tr>
      <w:tr>
        <w:trPr>
          <w:trHeight w:val="249"/>
        </w:trPr>
        <w:tc>
          <w:tcPr>
            <w:tcW w:w="4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right w:val="single" w:sz="8" w:color="CCEEFF"/>
            </w:tcBorders>
            <w:shd w:val="clear" w:color="auto" w:fill="CCEEFF"/>
          </w:tcPr>
          <w:p>
            <w:pPr>
              <w:spacing w:after="0"/>
              <w:rPr>
                <w:sz w:val="21"/>
                <w:szCs w:val="21"/>
                <w:color w:val="auto"/>
              </w:rPr>
            </w:pPr>
          </w:p>
        </w:tc>
        <w:tc>
          <w:tcPr>
            <w:tcW w:w="3380" w:type="dxa"/>
            <w:vAlign w:val="bottom"/>
          </w:tcPr>
          <w:p>
            <w:pPr>
              <w:spacing w:after="0"/>
              <w:rPr>
                <w:sz w:val="21"/>
                <w:szCs w:val="21"/>
                <w:color w:val="auto"/>
              </w:rPr>
            </w:pPr>
          </w:p>
        </w:tc>
      </w:tr>
      <w:tr>
        <w:trPr>
          <w:trHeight w:val="21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at March 31, 2024</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20,048,581</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2,971,680</w:t>
            </w:r>
          </w:p>
        </w:tc>
        <w:tc>
          <w:tcPr>
            <w:tcW w:w="33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2023.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w w:val="97"/>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r>
      <w:tr>
        <w:trPr>
          <w:trHeight w:val="216"/>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49,970,635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8,787,578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22,429,985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81,188,198</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1,379,575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(1,610,949)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8,529,509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3,053,421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(1,963,619)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9,619,311</w:t>
            </w:r>
          </w:p>
        </w:tc>
      </w:tr>
      <w:tr>
        <w:trPr>
          <w:trHeight w:val="216"/>
        </w:trPr>
        <w:tc>
          <w:tcPr>
            <w:tcW w:w="1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1,341,500,414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99,346,510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94,563,032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(94,161,443)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1,441,248,513</w:t>
            </w:r>
          </w:p>
        </w:tc>
      </w:tr>
      <w:tr>
        <w:trPr>
          <w:trHeight w:val="23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30"/>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1,344,265,984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101,834,723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94,563,032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(94,161,443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1,446,502,296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March 31, 2023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45,415,297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7,198,396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26,887,041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79,500,734</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1,510,028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(1,717,563)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3,683,735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1,784,592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(3,883,439)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1,584,888</w:t>
            </w:r>
          </w:p>
        </w:tc>
      </w:tr>
      <w:tr>
        <w:trPr>
          <w:trHeight w:val="216"/>
        </w:trPr>
        <w:tc>
          <w:tcPr>
            <w:tcW w:w="1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1,308,954,075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87,354,333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152,745,312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(111,225,073)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1,437,828,647</w:t>
            </w:r>
          </w:p>
        </w:tc>
      </w:tr>
      <w:tr>
        <w:trPr>
          <w:trHeight w:val="23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30"/>
        </w:trPr>
        <w:tc>
          <w:tcPr>
            <w:tcW w:w="3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1,311,719,645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89,842,546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152,745,312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(111,225,073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1,443,082,430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right="7340" w:firstLine="8"/>
        <w:spacing w:after="0" w:line="499" w:lineRule="auto"/>
        <w:tabs>
          <w:tab w:leader="none" w:pos="1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Observable Inputs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375,833,407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374,601,220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1,232,187</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15,161,999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15,161,999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112,678,958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112,678,958</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1,804,614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1,804,614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8,278,612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8,278,612</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640,779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640,779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4,576,289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4,576,289</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5,454,295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5,454,295</w:t>
            </w:r>
          </w:p>
        </w:tc>
        <w:tc>
          <w:tcPr>
            <w:tcW w:w="80" w:type="dxa"/>
            <w:vAlign w:val="bottom"/>
            <w:shd w:val="clear" w:color="auto" w:fill="CCEEFF"/>
          </w:tcPr>
          <w:p>
            <w:pPr>
              <w:spacing w:after="0"/>
              <w:rPr>
                <w:sz w:val="21"/>
                <w:szCs w:val="21"/>
                <w:color w:val="auto"/>
              </w:rPr>
            </w:pPr>
          </w:p>
        </w:tc>
      </w:tr>
      <w:tr>
        <w:trPr>
          <w:trHeight w:val="257"/>
        </w:trPr>
        <w:tc>
          <w:tcPr>
            <w:tcW w:w="47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524,428,953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28,016,900</w:t>
            </w:r>
          </w:p>
        </w:tc>
        <w:tc>
          <w:tcPr>
            <w:tcW w:w="3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377,046,613</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119,365,440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(3,309,255)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(3,309,255)</w:t>
            </w:r>
          </w:p>
        </w:tc>
      </w:tr>
      <w:tr>
        <w:trPr>
          <w:trHeight w:val="21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(3,309,255</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(3,309,255</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for Identical</w:t>
            </w: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Assets</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Observable Inputs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4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381,535,986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380,297,330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13,636,071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13,636,071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126,549,190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1,853,860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1,853,860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7,385,203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7,385,203</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641,704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641,704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4,327,301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4,327,301</w:t>
            </w:r>
          </w:p>
        </w:tc>
        <w:tc>
          <w:tcPr>
            <w:tcW w:w="1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4,995,486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4,995,486</w:t>
            </w:r>
          </w:p>
        </w:tc>
        <w:tc>
          <w:tcPr>
            <w:tcW w:w="80" w:type="dxa"/>
            <w:vAlign w:val="bottom"/>
            <w:shd w:val="clear" w:color="auto" w:fill="CCEEFF"/>
          </w:tcPr>
          <w:p>
            <w:pPr>
              <w:spacing w:after="0"/>
              <w:rPr>
                <w:sz w:val="21"/>
                <w:szCs w:val="21"/>
                <w:color w:val="auto"/>
              </w:rPr>
            </w:pPr>
          </w:p>
        </w:tc>
      </w:tr>
      <w:tr>
        <w:trPr>
          <w:trHeight w:val="257"/>
        </w:trPr>
        <w:tc>
          <w:tcPr>
            <w:tcW w:w="47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540,924,801</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25,348,575</w:t>
            </w:r>
          </w:p>
        </w:tc>
        <w:tc>
          <w:tcPr>
            <w:tcW w:w="3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382,792,894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132,783,332</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(3,412,224)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217"/>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(3,412,224</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(3,412,224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March 31, 2024,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Minimum</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Weighted</w:t>
            </w:r>
          </w:p>
        </w:tc>
      </w:tr>
      <w:tr>
        <w:trPr>
          <w:trHeight w:val="241"/>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31, 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1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Investor contract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112,678,958</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2,145,040</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 bps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 bps</w:t>
            </w: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1,232,187</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2023,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7"/>
              </w:rPr>
              <w:t>Fair Value at</w:t>
            </w:r>
          </w:p>
        </w:tc>
        <w:tc>
          <w:tcPr>
            <w:tcW w:w="14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620"/>
              <w:spacing w:after="0" w:line="198" w:lineRule="exact"/>
              <w:rPr>
                <w:sz w:val="20"/>
                <w:szCs w:val="20"/>
                <w:color w:val="auto"/>
              </w:rPr>
            </w:pPr>
            <w:r>
              <w:rPr>
                <w:rFonts w:ascii="Times New Roman" w:cs="Times New Roman" w:eastAsia="Times New Roman" w:hAnsi="Times New Roman"/>
                <w:sz w:val="18"/>
                <w:szCs w:val="18"/>
                <w:color w:val="auto"/>
              </w:rPr>
              <w:t>Minimum</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December 31,</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8"/>
        </w:trPr>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Investor contract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unpaid principal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126,549,190</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1,583,262</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Pull-through rate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 bps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 bps</w:t>
            </w: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1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1,238,656</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Pricing quotes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99.86</w:t>
            </w:r>
          </w:p>
        </w:tc>
      </w:tr>
      <w:tr>
        <w:trPr>
          <w:trHeight w:val="439"/>
        </w:trPr>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Net Loan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Loans Held for</w:t>
            </w:r>
          </w:p>
        </w:tc>
        <w:tc>
          <w:tcPr>
            <w:tcW w:w="100" w:type="dxa"/>
            <w:vAlign w:val="bottom"/>
          </w:tcPr>
          <w:p>
            <w:pPr>
              <w:spacing w:after="0"/>
              <w:rPr>
                <w:sz w:val="18"/>
                <w:szCs w:val="18"/>
                <w:color w:val="auto"/>
              </w:rPr>
            </w:pPr>
          </w:p>
        </w:tc>
        <w:tc>
          <w:tcPr>
            <w:tcW w:w="14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Securities</w:t>
            </w:r>
          </w:p>
        </w:tc>
      </w:tr>
      <w:tr>
        <w:trPr>
          <w:trHeight w:val="241"/>
        </w:trPr>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Commitments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Sale</w:t>
            </w: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r>
      <w:tr>
        <w:trPr>
          <w:trHeight w:val="216"/>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465,605,114</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(486,050,938)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(1,867,552)</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561,778(1)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9,302,121(1)</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(6,469)</w:t>
            </w:r>
          </w:p>
        </w:tc>
      </w:tr>
      <w:tr>
        <w:trPr>
          <w:trHeight w:val="216"/>
        </w:trPr>
        <w:tc>
          <w:tcPr>
            <w:tcW w:w="6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2,145,040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112,678,958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1,232,187</w:t>
            </w:r>
          </w:p>
        </w:tc>
        <w:tc>
          <w:tcPr>
            <w:tcW w:w="200" w:type="dxa"/>
            <w:vAlign w:val="bottom"/>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March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Net Loan</w:t>
            </w:r>
          </w:p>
        </w:tc>
        <w:tc>
          <w:tcPr>
            <w:tcW w:w="1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9"/>
              </w:rPr>
              <w:t>Loans Held for</w:t>
            </w:r>
          </w:p>
        </w:tc>
        <w:tc>
          <w:tcPr>
            <w:tcW w:w="10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Securities</w:t>
            </w:r>
          </w:p>
        </w:tc>
      </w:tr>
      <w:tr>
        <w:trPr>
          <w:trHeight w:val="241"/>
        </w:trPr>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20"/>
                <w:szCs w:val="20"/>
                <w:color w:val="auto"/>
              </w:rPr>
            </w:pPr>
          </w:p>
        </w:tc>
        <w:tc>
          <w:tcPr>
            <w:tcW w:w="1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Sale</w:t>
            </w: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r>
      <w:tr>
        <w:trPr>
          <w:trHeight w:val="216"/>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2,706,877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1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531,867,796</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(511,909,942)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677,952(1)</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11,877,930(1)</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2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49"/>
        </w:trPr>
        <w:tc>
          <w:tcPr>
            <w:tcW w:w="6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17"/>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3,384,829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173,015,404</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March 31, 2024 and as of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March 31, 2024 and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March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103,574,492</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100,743,889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100,743,889</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99,150,788</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99,150,788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99,150,788</w:t>
            </w:r>
          </w:p>
        </w:tc>
      </w:tr>
      <w:tr>
        <w:trPr>
          <w:trHeight w:val="25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65,911,504</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65,471,144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65,471,144</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268,636,784</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265,365,821</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265,365,821</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13,248,999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13,248,999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13,248,999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45,123,053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45,123,053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45,123,053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183,574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183,574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183,574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123,353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123,353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3,318,155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4,767,315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4,767,315</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(104,335,116)</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(85,370,689)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(85,370,689)</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(38,923,981)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(46,252,703)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(46,252,703)</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(106,089,620)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(100,231,984)</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(100,231,984)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condensed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condensed consolidated balance sheets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99,519,750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96,998,106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96,998,106</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103,529,896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103,529,896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103,529,896</w:t>
            </w:r>
          </w:p>
        </w:tc>
      </w:tr>
      <w:tr>
        <w:trPr>
          <w:trHeight w:val="24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72,567,191</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72,149,530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72,149,530</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275,616,837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272,677,532</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272,677,532</w:t>
            </w: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13,264,183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13,264,183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44,051,486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44,051,486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44,051,486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675,219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675,219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675,219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246,865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246,865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246,865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3,461,146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4,543,657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4,543,657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(105,555,137)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(105,555,137)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(105,555,137)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(39,245,123)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(48,920,691)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(48,920,691)</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(106,285,010)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(102,177,585)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(102,177,585)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(1)Included in other investments and policy loans on the consolidated balance sheets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(3)Included in future policy benefits and unpaid claims on the consolidated balance sheets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right="8020" w:firstLine="8"/>
        <w:spacing w:after="0" w:line="500" w:lineRule="auto"/>
        <w:tabs>
          <w:tab w:leader="none" w:pos="6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2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Notional</w:t>
            </w:r>
          </w:p>
        </w:tc>
        <w:tc>
          <w:tcPr>
            <w:tcW w:w="260" w:type="dxa"/>
            <w:vAlign w:val="bottom"/>
          </w:tcPr>
          <w:p>
            <w:pPr>
              <w:spacing w:after="0"/>
              <w:rPr>
                <w:sz w:val="17"/>
                <w:szCs w:val="17"/>
                <w:color w:val="auto"/>
              </w:rPr>
            </w:pPr>
          </w:p>
        </w:tc>
        <w:tc>
          <w:tcPr>
            <w:tcW w:w="112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Notional</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Liability</w:t>
            </w:r>
          </w:p>
        </w:tc>
        <w:tc>
          <w:tcPr>
            <w:tcW w:w="10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 Sheet Location</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2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184"/>
        </w:trPr>
        <w:tc>
          <w:tcPr>
            <w:tcW w:w="22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Derivatives not designated</w:t>
            </w:r>
          </w:p>
        </w:tc>
        <w:tc>
          <w:tcPr>
            <w:tcW w:w="2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240" w:type="dxa"/>
            <w:vAlign w:val="bottom"/>
          </w:tcPr>
          <w:p>
            <w:pPr>
              <w:spacing w:after="0"/>
              <w:rPr>
                <w:sz w:val="17"/>
                <w:szCs w:val="17"/>
                <w:color w:val="auto"/>
              </w:rPr>
            </w:pPr>
          </w:p>
        </w:tc>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assets and Other</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229,458,247</w:t>
            </w: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$ 5,454,295</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$ 3,309,255</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161,832,250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$ 4,995,486</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$ 3,412,224</w:t>
            </w:r>
          </w:p>
        </w:tc>
      </w:tr>
      <w:tr>
        <w:trPr>
          <w:trHeight w:val="230"/>
        </w:trPr>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229,458,247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$ 5,454,295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$ 3,309,255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161,832,250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$ 4,995,486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$ 3,412,224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rPr>
              <w:t>Net Amount Gain</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Derivative</w:t>
            </w:r>
          </w:p>
        </w:tc>
        <w:tc>
          <w:tcPr>
            <w:tcW w:w="2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Classification</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561,778</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677,952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various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Texas Capital Bank N.A. This agreement allows SecurityNational Mortgage to borrow up to $100,000,000 for the sole purpose of funding mortgage loans (the “Texas Capital Bank Warehouse Line of Credit”). The agreement charges interest at the 1-Month SOFR rate plus 2.0% and matures on November 30, 2024.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SecurityNational Mortgage, has a line of credit with U.S Bank. This agreement allows SecurityNational Mortgage to borrow up to $15,000,000 for the sole purpose of funding mortgage loans (the “U.S. Bank Warehouse Line of Credit” and, together with the Texas Capital Bank Warehouse Line of Credit, the “Warehouse Lines of Credit”). The agreement charges interest at 2.10% plus the greater of (i) 0%, and (ii) the one-month forward-looking term rate based on SOFR and matures on May 26, 2024.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agreements for the warehouse lines of credit include cross default provisions where certain events of default under other of SecurityNational Mortgage’s obligations constitute events of default under the warehouse lines of credit. As of March 31, 2024, the Company was not in compliance with the net income covenant of the warehouse lines of credit and its operating cash flow covenant for its standby letter of credit with its primary bank. SecurityNational Mortgage has received or is in the process of receiving waivers under the warehouse lines of credit from the warehouse banks. In the unlikely event the Company is required to repay the outstanding advances of approximately $6,963,000 on the warehouse line of credit that has not provided a covenant waiver, the Company has sufficient cash and borrowing capacity on the warehouse lines of credit that have provided covenant waivers to fund its origination activities. The Company has performed an internal analysis of its funding capacities of both internal and external sources and has determined that there are sufficient funds to continue its business model. The Company continues to negotiate other warehouse lines of credit with other lenders.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debt covenants on its revolving lines of credit and is required to comply with minimum operating cash flow ratios and minimum net worth for each of its business segments. The Company also has debt covenants for one of its loans on real estate for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March 31, 2024, the Company was in compliance with all these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March 31, 2024, the Company’s commitments were approximately $146,572,000 for these loans, of which $100,056,000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The Company believes that none of the actions, if adversely determined, will have a material effect on the Company’s financial position or results of operations. Based on the Company’s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6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5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3,461,146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3,039,765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9,079</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1,009,312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(152,070)</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(587,931)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5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 temporary</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5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3,318,155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3,461,146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5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4,767,315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4,543,657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60" w:hanging="29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March 31, 2024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Estimated MSR</w:t>
            </w:r>
          </w:p>
        </w:tc>
      </w:tr>
      <w:tr>
        <w:trPr>
          <w:trHeight w:val="241"/>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Amortization</w:t>
            </w: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520,903</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423,297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338,297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271,136</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1,111,272</w:t>
            </w:r>
          </w:p>
        </w:tc>
      </w:tr>
      <w:tr>
        <w:trPr>
          <w:trHeight w:val="22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3,318,155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1"/>
                <w:szCs w:val="2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410,400</w:t>
            </w:r>
          </w:p>
        </w:tc>
        <w:tc>
          <w:tcPr>
            <w:tcW w:w="40" w:type="dxa"/>
            <w:vAlign w:val="bottom"/>
            <w:shd w:val="clear" w:color="auto" w:fill="CCEEFF"/>
          </w:tcPr>
          <w:p>
            <w:pPr>
              <w:spacing w:after="0"/>
              <w:rPr>
                <w:sz w:val="18"/>
                <w:szCs w:val="18"/>
                <w:color w:val="auto"/>
              </w:rPr>
            </w:pPr>
          </w:p>
        </w:tc>
      </w:tr>
      <w:tr>
        <w:trPr>
          <w:trHeight w:val="23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23,208</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49,313</w:t>
            </w:r>
          </w:p>
        </w:tc>
      </w:tr>
      <w:tr>
        <w:trPr>
          <w:trHeight w:val="23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459,713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March 31,</w:t>
            </w:r>
          </w:p>
        </w:tc>
        <w:tc>
          <w:tcPr>
            <w:tcW w:w="10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As of December</w:t>
            </w:r>
          </w:p>
        </w:tc>
      </w:tr>
      <w:tr>
        <w:trPr>
          <w:trHeight w:val="241"/>
        </w:trPr>
        <w:tc>
          <w:tcPr>
            <w:tcW w:w="36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31, 2023</w:t>
            </w:r>
          </w:p>
        </w:tc>
        <w:tc>
          <w:tcPr>
            <w:tcW w:w="4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405,409,197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414,147,436</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Prepayment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Average</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Discount</w:t>
            </w:r>
          </w:p>
        </w:tc>
        <w:tc>
          <w:tcPr>
            <w:tcW w:w="4500" w:type="dxa"/>
            <w:vAlign w:val="bottom"/>
          </w:tcPr>
          <w:p>
            <w:pPr>
              <w:spacing w:after="0"/>
              <w:rPr>
                <w:sz w:val="18"/>
                <w:szCs w:val="18"/>
                <w:color w:val="auto"/>
              </w:rPr>
            </w:pPr>
          </w:p>
        </w:tc>
      </w:tr>
      <w:tr>
        <w:trPr>
          <w:trHeight w:val="241"/>
        </w:trPr>
        <w:tc>
          <w:tcPr>
            <w:tcW w:w="358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Speeds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Life (Years)</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Rate</w:t>
            </w:r>
          </w:p>
        </w:tc>
        <w:tc>
          <w:tcPr>
            <w:tcW w:w="4500" w:type="dxa"/>
            <w:vAlign w:val="bottom"/>
          </w:tcPr>
          <w:p>
            <w:pPr>
              <w:spacing w:after="0"/>
              <w:rPr>
                <w:sz w:val="20"/>
                <w:szCs w:val="20"/>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45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4500" w:type="dxa"/>
            <w:vAlign w:val="bottom"/>
          </w:tcPr>
          <w:p>
            <w:pPr>
              <w:spacing w:after="0"/>
              <w:rPr>
                <w:sz w:val="20"/>
                <w:szCs w:val="20"/>
                <w:color w:val="auto"/>
              </w:rPr>
            </w:pPr>
          </w:p>
        </w:tc>
      </w:tr>
      <w:tr>
        <w:trPr>
          <w:trHeight w:val="421"/>
        </w:trPr>
        <w:tc>
          <w:tcPr>
            <w:tcW w:w="3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300" w:hanging="292"/>
        <w:spacing w:after="0"/>
        <w:tabs>
          <w:tab w:leader="none" w:pos="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March 31, 2024 and 2023 was 22.3% and 21.8%, respectively, which resulted in a provision for income taxes of $2,144,789 and $344,716, respectively. The Company’s effective tax rate is higher than the U.S. federal statutory rate of 21% due to, among other factors, state income taxes as offset by certain state income tax benefits, along with certain permanent tax adjustments such as meals and entertainment and stock-based compensation. The increase in the effective tax rate when compared to the prior year was primarily due to the Company’s state income tax provision.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Contract Balances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100" w:type="dxa"/>
            <w:vAlign w:val="bottom"/>
          </w:tcPr>
          <w:p>
            <w:pPr>
              <w:spacing w:after="0"/>
              <w:rPr>
                <w:sz w:val="17"/>
                <w:szCs w:val="17"/>
                <w:color w:val="auto"/>
              </w:rPr>
            </w:pPr>
          </w:p>
        </w:tc>
      </w:tr>
      <w:tr>
        <w:trPr>
          <w:trHeight w:val="241"/>
        </w:trPr>
        <w:tc>
          <w:tcPr>
            <w:tcW w:w="54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20"/>
                <w:szCs w:val="20"/>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Liability</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2024)</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Closing (March 31, 2024)</w:t>
            </w:r>
          </w:p>
        </w:tc>
        <w:tc>
          <w:tcPr>
            <w:tcW w:w="26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5,896,842</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18,501,474</w:t>
            </w: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(424,731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Contract Balances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Contract</w:t>
            </w:r>
          </w:p>
        </w:tc>
        <w:tc>
          <w:tcPr>
            <w:tcW w:w="100" w:type="dxa"/>
            <w:vAlign w:val="bottom"/>
          </w:tcPr>
          <w:p>
            <w:pPr>
              <w:spacing w:after="0"/>
              <w:rPr>
                <w:sz w:val="17"/>
                <w:szCs w:val="17"/>
                <w:color w:val="auto"/>
              </w:rPr>
            </w:pPr>
          </w:p>
        </w:tc>
      </w:tr>
      <w:tr>
        <w:trPr>
          <w:trHeight w:val="241"/>
        </w:trPr>
        <w:tc>
          <w:tcPr>
            <w:tcW w:w="546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20"/>
                <w:szCs w:val="20"/>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 Asset</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Liability</w:t>
            </w: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2023)</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2023)</w:t>
            </w:r>
          </w:p>
        </w:tc>
        <w:tc>
          <w:tcPr>
            <w:tcW w:w="26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6,321,573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18,237,246</w:t>
            </w:r>
          </w:p>
        </w:tc>
      </w:tr>
      <w:tr>
        <w:trPr>
          <w:trHeight w:val="23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 periods ended March 31, 2024 and 2023 was $1,506,114 and $1,119,898,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380" w:type="dxa"/>
            <w:vAlign w:val="bottom"/>
          </w:tcPr>
          <w:p>
            <w:pPr>
              <w:spacing w:after="0"/>
              <w:rPr>
                <w:sz w:val="18"/>
                <w:szCs w:val="18"/>
                <w:color w:val="auto"/>
              </w:rPr>
            </w:pPr>
          </w:p>
        </w:tc>
      </w:tr>
      <w:tr>
        <w:trPr>
          <w:trHeight w:val="241"/>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0"/>
              <w:spacing w:after="0"/>
              <w:rPr>
                <w:sz w:val="20"/>
                <w:szCs w:val="20"/>
                <w:color w:val="auto"/>
              </w:rPr>
            </w:pPr>
            <w:r>
              <w:rPr>
                <w:rFonts w:ascii="Times New Roman" w:cs="Times New Roman" w:eastAsia="Times New Roman" w:hAnsi="Times New Roman"/>
                <w:sz w:val="18"/>
                <w:szCs w:val="18"/>
                <w:color w:val="auto"/>
                <w:w w:val="99"/>
              </w:rPr>
              <w:t>March 31,</w:t>
            </w:r>
          </w:p>
        </w:tc>
        <w:tc>
          <w:tcPr>
            <w:tcW w:w="80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r>
      <w:tr>
        <w:trPr>
          <w:trHeight w:val="236"/>
        </w:trPr>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380" w:type="dxa"/>
            <w:vAlign w:val="bottom"/>
          </w:tcPr>
          <w:p>
            <w:pPr>
              <w:spacing w:after="0"/>
              <w:rPr>
                <w:sz w:val="20"/>
                <w:szCs w:val="20"/>
                <w:color w:val="auto"/>
              </w:rPr>
            </w:pPr>
          </w:p>
        </w:tc>
      </w:tr>
      <w:tr>
        <w:trPr>
          <w:trHeight w:val="196"/>
        </w:trPr>
        <w:tc>
          <w:tcPr>
            <w:tcW w:w="55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Major goods/service lines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366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5,410,300</w:t>
            </w:r>
          </w:p>
        </w:tc>
        <w:tc>
          <w:tcPr>
            <w:tcW w:w="400" w:type="dxa"/>
            <w:vAlign w:val="bottom"/>
            <w:tcBorders>
              <w:top w:val="single" w:sz="8" w:color="CCEEFF"/>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5,154,036</w:t>
            </w:r>
          </w:p>
        </w:tc>
        <w:tc>
          <w:tcPr>
            <w:tcW w:w="3380" w:type="dxa"/>
            <w:vAlign w:val="bottom"/>
          </w:tcPr>
          <w:p>
            <w:pPr>
              <w:spacing w:after="0"/>
              <w:rPr>
                <w:sz w:val="18"/>
                <w:szCs w:val="18"/>
                <w:color w:val="auto"/>
              </w:rPr>
            </w:pPr>
          </w:p>
        </w:tc>
      </w:tr>
      <w:tr>
        <w:trPr>
          <w:trHeight w:val="25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1,538,191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1,317,393</w:t>
            </w:r>
          </w:p>
        </w:tc>
        <w:tc>
          <w:tcPr>
            <w:tcW w:w="3380" w:type="dxa"/>
            <w:vAlign w:val="bottom"/>
          </w:tcPr>
          <w:p>
            <w:pPr>
              <w:spacing w:after="0"/>
              <w:rPr>
                <w:sz w:val="21"/>
                <w:szCs w:val="21"/>
                <w:color w:val="auto"/>
              </w:rPr>
            </w:pPr>
          </w:p>
        </w:tc>
      </w:tr>
      <w:tr>
        <w:trPr>
          <w:trHeight w:val="256"/>
        </w:trPr>
        <w:tc>
          <w:tcPr>
            <w:tcW w:w="186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CCEEFF"/>
            </w:tcBorders>
          </w:tcPr>
          <w:p>
            <w:pPr>
              <w:spacing w:after="0"/>
              <w:rPr>
                <w:sz w:val="22"/>
                <w:szCs w:val="22"/>
                <w:color w:val="auto"/>
              </w:rPr>
            </w:pPr>
          </w:p>
        </w:tc>
        <w:tc>
          <w:tcPr>
            <w:tcW w:w="32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6,948,491</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6,471,429</w:t>
            </w:r>
          </w:p>
        </w:tc>
        <w:tc>
          <w:tcPr>
            <w:tcW w:w="3380" w:type="dxa"/>
            <w:vAlign w:val="bottom"/>
          </w:tcPr>
          <w:p>
            <w:pPr>
              <w:spacing w:after="0"/>
              <w:rPr>
                <w:sz w:val="22"/>
                <w:szCs w:val="22"/>
                <w:color w:val="auto"/>
              </w:rPr>
            </w:pPr>
          </w:p>
        </w:tc>
      </w:tr>
      <w:tr>
        <w:trPr>
          <w:trHeight w:val="197"/>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r>
      <w:tr>
        <w:trPr>
          <w:trHeight w:val="175"/>
        </w:trPr>
        <w:tc>
          <w:tcPr>
            <w:tcW w:w="5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4,190,222</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4,029,666</w:t>
            </w:r>
          </w:p>
        </w:tc>
        <w:tc>
          <w:tcPr>
            <w:tcW w:w="3380" w:type="dxa"/>
            <w:vAlign w:val="bottom"/>
          </w:tcPr>
          <w:p>
            <w:pPr>
              <w:spacing w:after="0"/>
              <w:rPr>
                <w:sz w:val="18"/>
                <w:szCs w:val="18"/>
                <w:color w:val="auto"/>
              </w:rPr>
            </w:pPr>
          </w:p>
        </w:tc>
      </w:tr>
      <w:tr>
        <w:trPr>
          <w:trHeight w:val="23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2,758,269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2,441,763</w:t>
            </w:r>
          </w:p>
        </w:tc>
        <w:tc>
          <w:tcPr>
            <w:tcW w:w="3380" w:type="dxa"/>
            <w:vAlign w:val="bottom"/>
          </w:tcPr>
          <w:p>
            <w:pPr>
              <w:spacing w:after="0"/>
              <w:rPr>
                <w:sz w:val="20"/>
                <w:szCs w:val="20"/>
                <w:color w:val="auto"/>
              </w:rPr>
            </w:pPr>
          </w:p>
        </w:tc>
      </w:tr>
      <w:tr>
        <w:trPr>
          <w:trHeight w:val="230"/>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6,948,491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6,471,429</w:t>
            </w:r>
          </w:p>
        </w:tc>
        <w:tc>
          <w:tcPr>
            <w:tcW w:w="338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4" w:name="page55"/>
    <w:bookmarkEnd w:id="54"/>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pacing w:after="0" w:line="16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5715</wp:posOffset>
            </wp:positionV>
            <wp:extent cx="1449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mortuary and cemetery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4989195"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on investments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8919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98919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44"/>
        <w:spacing w:after="0"/>
        <w:tabs>
          <w:tab w:leader="none" w:pos="1564"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36" w:lineRule="exact"/>
        <w:rPr>
          <w:sz w:val="20"/>
          <w:szCs w:val="20"/>
          <w:color w:val="auto"/>
        </w:rPr>
      </w:pPr>
    </w:p>
    <w:p>
      <w:pPr>
        <w:ind w:left="324" w:hanging="324"/>
        <w:spacing w:after="0"/>
        <w:tabs>
          <w:tab w:leader="none" w:pos="3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6,948,491   $   6,471,429</w:t>
      </w:r>
    </w:p>
    <w:p>
      <w:pPr>
        <w:spacing w:after="0" w:line="27" w:lineRule="exact"/>
        <w:rPr>
          <w:rFonts w:ascii="Times New Roman" w:cs="Times New Roman" w:eastAsia="Times New Roman" w:hAnsi="Times New Roman"/>
          <w:sz w:val="18"/>
          <w:szCs w:val="18"/>
          <w:color w:val="auto"/>
        </w:rPr>
      </w:pPr>
    </w:p>
    <w:p>
      <w:pPr>
        <w:ind w:left="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582,16253,931</w:t>
      </w:r>
    </w:p>
    <w:p>
      <w:pPr>
        <w:spacing w:after="0" w:line="9" w:lineRule="exact"/>
        <w:rPr>
          <w:sz w:val="20"/>
          <w:szCs w:val="20"/>
          <w:color w:val="auto"/>
        </w:rPr>
      </w:pPr>
    </w:p>
    <w:p>
      <w:pPr>
        <w:jc w:val="both"/>
        <w:ind w:left="324"/>
        <w:spacing w:after="0"/>
        <w:tabs>
          <w:tab w:leader="none" w:pos="1684" w:val="left"/>
        </w:tabs>
        <w:rPr>
          <w:sz w:val="20"/>
          <w:szCs w:val="20"/>
          <w:color w:val="auto"/>
        </w:rPr>
      </w:pPr>
      <w:r>
        <w:rPr>
          <w:rFonts w:ascii="Times New Roman" w:cs="Times New Roman" w:eastAsia="Times New Roman" w:hAnsi="Times New Roman"/>
          <w:sz w:val="18"/>
          <w:szCs w:val="18"/>
          <w:color w:val="auto"/>
        </w:rPr>
        <w:t>1,084,192</w:t>
      </w:r>
      <w:r>
        <w:rPr>
          <w:sz w:val="20"/>
          <w:szCs w:val="20"/>
          <w:color w:val="auto"/>
        </w:rPr>
        <w:tab/>
      </w:r>
      <w:r>
        <w:rPr>
          <w:rFonts w:ascii="Times New Roman" w:cs="Times New Roman" w:eastAsia="Times New Roman" w:hAnsi="Times New Roman"/>
          <w:sz w:val="18"/>
          <w:szCs w:val="18"/>
          <w:color w:val="auto"/>
        </w:rPr>
        <w:t>601,491</w:t>
      </w:r>
    </w:p>
    <w:p>
      <w:pPr>
        <w:spacing w:after="0" w:line="9" w:lineRule="exact"/>
        <w:rPr>
          <w:sz w:val="20"/>
          <w:szCs w:val="20"/>
          <w:color w:val="auto"/>
        </w:rPr>
      </w:pPr>
    </w:p>
    <w:p>
      <w:pPr>
        <w:jc w:val="both"/>
        <w:ind w:left="464"/>
        <w:spacing w:after="0"/>
        <w:tabs>
          <w:tab w:leader="none" w:pos="1764" w:val="left"/>
        </w:tabs>
        <w:rPr>
          <w:sz w:val="20"/>
          <w:szCs w:val="20"/>
          <w:color w:val="auto"/>
        </w:rPr>
      </w:pPr>
      <w:r>
        <w:rPr>
          <w:rFonts w:ascii="Times New Roman" w:cs="Times New Roman" w:eastAsia="Times New Roman" w:hAnsi="Times New Roman"/>
          <w:sz w:val="18"/>
          <w:szCs w:val="18"/>
          <w:color w:val="auto"/>
        </w:rPr>
        <w:t>172,733</w:t>
      </w:r>
      <w:r>
        <w:rPr>
          <w:sz w:val="20"/>
          <w:szCs w:val="20"/>
          <w:color w:val="auto"/>
        </w:rPr>
        <w:tab/>
      </w:r>
      <w:r>
        <w:rPr>
          <w:rFonts w:ascii="Times New Roman" w:cs="Times New Roman" w:eastAsia="Times New Roman" w:hAnsi="Times New Roman"/>
          <w:sz w:val="18"/>
          <w:szCs w:val="18"/>
          <w:color w:val="auto"/>
        </w:rPr>
        <w:t>71,545</w:t>
      </w:r>
    </w:p>
    <w:p>
      <w:pPr>
        <w:spacing w:after="0" w:line="45" w:lineRule="exact"/>
        <w:rPr>
          <w:sz w:val="20"/>
          <w:szCs w:val="20"/>
          <w:color w:val="auto"/>
        </w:rPr>
      </w:pPr>
    </w:p>
    <w:p>
      <w:pPr>
        <w:jc w:val="both"/>
        <w:ind w:left="324"/>
        <w:spacing w:after="0"/>
        <w:tabs>
          <w:tab w:leader="none" w:pos="1544" w:val="left"/>
        </w:tabs>
        <w:rPr>
          <w:sz w:val="20"/>
          <w:szCs w:val="20"/>
          <w:color w:val="auto"/>
        </w:rPr>
      </w:pPr>
      <w:r>
        <w:rPr>
          <w:rFonts w:ascii="Times New Roman" w:cs="Times New Roman" w:eastAsia="Times New Roman" w:hAnsi="Times New Roman"/>
          <w:sz w:val="18"/>
          <w:szCs w:val="18"/>
          <w:color w:val="auto"/>
        </w:rPr>
        <w:t>8,787,578</w:t>
      </w:r>
      <w:r>
        <w:rPr>
          <w:sz w:val="20"/>
          <w:szCs w:val="20"/>
          <w:color w:val="auto"/>
        </w:rPr>
        <w:tab/>
      </w:r>
      <w:r>
        <w:rPr>
          <w:rFonts w:ascii="Times New Roman" w:cs="Times New Roman" w:eastAsia="Times New Roman" w:hAnsi="Times New Roman"/>
          <w:sz w:val="18"/>
          <w:szCs w:val="18"/>
          <w:color w:val="auto"/>
        </w:rPr>
        <w:t>7,198,396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4490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6" w:space="720"/>
            <w:col w:w="5704"/>
          </w:cols>
          <w:pgMar w:left="320" w:top="661" w:right="35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Receivables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24"/>
                <w:szCs w:val="24"/>
                <w:color w:val="auto"/>
              </w:rPr>
            </w:pPr>
          </w:p>
        </w:tc>
        <w:tc>
          <w:tcPr>
            <w:tcW w:w="16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As of</w:t>
            </w: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spacing w:after="0"/>
              <w:rPr>
                <w:sz w:val="20"/>
                <w:szCs w:val="20"/>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3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5,896,842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3,579,468</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3,252,840</w:t>
            </w:r>
          </w:p>
        </w:tc>
        <w:tc>
          <w:tcPr>
            <w:tcW w:w="40" w:type="dxa"/>
            <w:vAlign w:val="bottom"/>
          </w:tcPr>
          <w:p>
            <w:pPr>
              <w:spacing w:after="0"/>
              <w:rPr>
                <w:sz w:val="18"/>
                <w:szCs w:val="18"/>
                <w:color w:val="auto"/>
              </w:rPr>
            </w:pPr>
          </w:p>
        </w:tc>
      </w:tr>
      <w:tr>
        <w:trPr>
          <w:trHeight w:val="25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9,154,789</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7,658,789</w:t>
            </w:r>
          </w:p>
        </w:tc>
        <w:tc>
          <w:tcPr>
            <w:tcW w:w="40" w:type="dxa"/>
            <w:vAlign w:val="bottom"/>
            <w:shd w:val="clear" w:color="auto" w:fill="CCEEFF"/>
          </w:tcPr>
          <w:p>
            <w:pPr>
              <w:spacing w:after="0"/>
              <w:rPr>
                <w:sz w:val="21"/>
                <w:szCs w:val="21"/>
                <w:color w:val="auto"/>
              </w:rPr>
            </w:pPr>
          </w:p>
        </w:tc>
      </w:tr>
      <w:tr>
        <w:trPr>
          <w:trHeight w:val="203"/>
        </w:trPr>
        <w:tc>
          <w:tcPr>
            <w:tcW w:w="346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receivables</w:t>
            </w: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18,631,099</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17,233,202</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(1,755,553)</w:t>
            </w:r>
          </w:p>
        </w:tc>
        <w:tc>
          <w:tcPr>
            <w:tcW w:w="1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(1,897,887)</w:t>
            </w:r>
          </w:p>
        </w:tc>
      </w:tr>
      <w:tr>
        <w:trPr>
          <w:trHeight w:val="216"/>
        </w:trPr>
        <w:tc>
          <w:tcPr>
            <w:tcW w:w="34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16,875,546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15,335,315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records an allowance for credit losses for its receivables in accordance with GAAP. See Note 2 regarding the adoption of ASU 2016-13.</w:t>
      </w:r>
    </w:p>
    <w:p>
      <w:pPr>
        <w:sectPr>
          <w:pgSz w:w="11900" w:h="16838" w:orient="portrait"/>
          <w:cols w:equalWidth="0" w:num="1">
            <w:col w:w="11220"/>
          </w:cols>
          <w:pgMar w:left="320" w:top="661" w:right="35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534924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534924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2023</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color w:val="auto"/>
        </w:rPr>
        <w:t>Ended</w:t>
      </w:r>
    </w:p>
    <w:p>
      <w:pPr>
        <w:spacing w:after="0" w:line="18" w:lineRule="exact"/>
        <w:rPr>
          <w:sz w:val="20"/>
          <w:szCs w:val="20"/>
          <w:color w:val="auto"/>
        </w:rPr>
      </w:pPr>
    </w:p>
    <w:p>
      <w:pPr>
        <w:ind w:left="720" w:hanging="720"/>
        <w:spacing w:after="0"/>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1,897,887</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(118,497)</w:t>
      </w:r>
    </w:p>
    <w:p>
      <w:pPr>
        <w:spacing w:after="0" w:line="2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(23,837)</w:t>
      </w:r>
    </w:p>
    <w:p>
      <w:pPr>
        <w:spacing w:after="0" w:line="45" w:lineRule="exact"/>
        <w:rPr>
          <w:sz w:val="20"/>
          <w:szCs w:val="20"/>
          <w:color w:val="auto"/>
        </w:rPr>
      </w:pPr>
    </w:p>
    <w:p>
      <w:pPr>
        <w:ind w:left="720" w:hanging="720"/>
        <w:spacing w:after="0"/>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1,755,553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8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086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46"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color w:val="auto"/>
        </w:rPr>
        <w:t>Ended</w:t>
      </w:r>
    </w:p>
    <w:p>
      <w:pPr>
        <w:spacing w:after="0" w:line="18" w:lineRule="exact"/>
        <w:rPr>
          <w:sz w:val="20"/>
          <w:szCs w:val="20"/>
          <w:color w:val="auto"/>
        </w:rPr>
      </w:pPr>
    </w:p>
    <w:p>
      <w:pPr>
        <w:ind w:left="720" w:hanging="720"/>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2,229,791</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(318,664)</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(44,003)</w:t>
      </w:r>
    </w:p>
    <w:p>
      <w:pPr>
        <w:spacing w:after="0" w:line="45" w:lineRule="exact"/>
        <w:rPr>
          <w:sz w:val="20"/>
          <w:szCs w:val="20"/>
          <w:color w:val="auto"/>
        </w:rPr>
      </w:pPr>
    </w:p>
    <w:p>
      <w:pPr>
        <w:ind w:left="720" w:hanging="720"/>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1,867,124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086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086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0" w:space="720"/>
            <w:col w:w="4300"/>
          </w:cols>
          <w:pgMar w:left="320" w:top="661" w:right="359" w:bottom="1440" w:gutter="0" w:footer="0" w:header="0"/>
          <w:type w:val="continuous"/>
        </w:sectPr>
      </w:pPr>
    </w:p>
    <w:p>
      <w:pPr>
        <w:spacing w:after="0" w:line="106" w:lineRule="exact"/>
        <w:rPr>
          <w:sz w:val="20"/>
          <w:szCs w:val="20"/>
          <w:color w:val="auto"/>
        </w:rPr>
      </w:pPr>
    </w:p>
    <w:p>
      <w:pPr>
        <w:ind w:left="5540" w:right="5040" w:hanging="5472"/>
        <w:spacing w:after="0" w:line="475" w:lineRule="auto"/>
        <w:tabs>
          <w:tab w:leader="none" w:pos="36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type w:val="continuous"/>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March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Credit 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478,900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(786)</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478,572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162,207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647,109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(6,788)</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640,779</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3,657,164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1,066,760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(147,635)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4,576,289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60" w:type="dxa"/>
            <w:vAlign w:val="bottom"/>
            <w:tcBorders>
              <w:top w:val="single" w:sz="8" w:color="CCEEFF"/>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3,657,164</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1,066,760</w:t>
            </w: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(147,635</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54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4,576,289</w:t>
            </w:r>
          </w:p>
        </w:tc>
        <w:tc>
          <w:tcPr>
            <w:tcW w:w="100" w:type="dxa"/>
            <w:vAlign w:val="bottom"/>
            <w:tcBorders>
              <w:top w:val="single" w:sz="8" w:color="CCEEFF"/>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3,021,586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8,368,975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(5,384,115)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2,984,860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1"/>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28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477,797</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477,525</w:t>
            </w:r>
          </w:p>
        </w:tc>
        <w:tc>
          <w:tcPr>
            <w:tcW w:w="0" w:type="dxa"/>
            <w:vAlign w:val="bottom"/>
          </w:tcPr>
          <w:p>
            <w:pPr>
              <w:spacing w:after="0"/>
              <w:rPr>
                <w:sz w:val="1"/>
                <w:szCs w:val="1"/>
                <w:color w:val="auto"/>
              </w:rPr>
            </w:pP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115,792</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c>
          <w:tcPr>
            <w:tcW w:w="0" w:type="dxa"/>
            <w:vAlign w:val="bottom"/>
          </w:tcPr>
          <w:p>
            <w:pPr>
              <w:spacing w:after="0"/>
              <w:rPr>
                <w:sz w:val="1"/>
                <w:szCs w:val="1"/>
                <w:color w:val="auto"/>
              </w:rPr>
            </w:pPr>
          </w:p>
        </w:tc>
      </w:tr>
      <w:tr>
        <w:trPr>
          <w:trHeight w:val="249"/>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53,672</w:t>
            </w: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c>
          <w:tcPr>
            <w:tcW w:w="0" w:type="dxa"/>
            <w:vAlign w:val="bottom"/>
          </w:tcPr>
          <w:p>
            <w:pPr>
              <w:spacing w:after="0"/>
              <w:rPr>
                <w:sz w:val="1"/>
                <w:szCs w:val="1"/>
                <w:color w:val="auto"/>
              </w:rPr>
            </w:pPr>
          </w:p>
        </w:tc>
      </w:tr>
      <w:tr>
        <w:trPr>
          <w:trHeight w:val="257"/>
        </w:trPr>
        <w:tc>
          <w:tcPr>
            <w:tcW w:w="428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647,261</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641,704</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3,614,392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859,680</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4,327,301</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247,360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8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246,865</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1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2,867,047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8,082,917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(5,326,196)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2,756,721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2024 and December 31, 2023.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Losses for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Less than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Twelve</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Fair</w:t>
            </w:r>
          </w:p>
        </w:tc>
        <w:tc>
          <w:tcPr>
            <w:tcW w:w="56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w:t>
            </w:r>
          </w:p>
        </w:tc>
        <w:tc>
          <w:tcPr>
            <w:tcW w:w="2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560" w:type="dxa"/>
            <w:vAlign w:val="bottom"/>
          </w:tcPr>
          <w:p>
            <w:pPr>
              <w:spacing w:after="0"/>
              <w:rPr>
                <w:sz w:val="20"/>
                <w:szCs w:val="20"/>
                <w:color w:val="auto"/>
              </w:rPr>
            </w:pPr>
          </w:p>
        </w:tc>
      </w:tr>
      <w:tr>
        <w:trPr>
          <w:trHeight w:val="196"/>
        </w:trPr>
        <w:tc>
          <w:tcPr>
            <w:tcW w:w="11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28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198"/>
        </w:trPr>
        <w:tc>
          <w:tcPr>
            <w:tcW w:w="3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$ 143,234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$ 143,234</w:t>
            </w:r>
          </w:p>
        </w:tc>
        <w:tc>
          <w:tcPr>
            <w:tcW w:w="560" w:type="dxa"/>
            <w:vAlign w:val="bottom"/>
          </w:tcPr>
          <w:p>
            <w:pPr>
              <w:spacing w:after="0"/>
              <w:rPr>
                <w:sz w:val="20"/>
                <w:szCs w:val="20"/>
                <w:color w:val="auto"/>
              </w:rPr>
            </w:pPr>
          </w:p>
        </w:tc>
      </w:tr>
      <w:tr>
        <w:trPr>
          <w:trHeight w:val="250"/>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162,207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162,207</w:t>
            </w:r>
          </w:p>
        </w:tc>
        <w:tc>
          <w:tcPr>
            <w:tcW w:w="560" w:type="dxa"/>
            <w:vAlign w:val="bottom"/>
          </w:tcPr>
          <w:p>
            <w:pPr>
              <w:spacing w:after="0"/>
              <w:rPr>
                <w:sz w:val="21"/>
                <w:szCs w:val="21"/>
                <w:color w:val="auto"/>
              </w:rPr>
            </w:pPr>
          </w:p>
        </w:tc>
      </w:tr>
      <w:tr>
        <w:trPr>
          <w:trHeight w:val="256"/>
        </w:trPr>
        <w:tc>
          <w:tcPr>
            <w:tcW w:w="398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$ 143,234</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162,207</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$ 305,441</w:t>
            </w:r>
          </w:p>
        </w:tc>
        <w:tc>
          <w:tcPr>
            <w:tcW w:w="100" w:type="dxa"/>
            <w:vAlign w:val="bottom"/>
            <w:tcBorders>
              <w:top w:val="single" w:sz="8" w:color="CCEEFF"/>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3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3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$ 143,448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$ 143,448</w:t>
            </w:r>
          </w:p>
        </w:tc>
        <w:tc>
          <w:tcPr>
            <w:tcW w:w="560" w:type="dxa"/>
            <w:vAlign w:val="bottom"/>
          </w:tcPr>
          <w:p>
            <w:pPr>
              <w:spacing w:after="0"/>
              <w:rPr>
                <w:sz w:val="20"/>
                <w:szCs w:val="20"/>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5,114</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c>
          <w:tcPr>
            <w:tcW w:w="560" w:type="dxa"/>
            <w:vAlign w:val="bottom"/>
          </w:tcPr>
          <w:p>
            <w:pPr>
              <w:spacing w:after="0"/>
              <w:rPr>
                <w:sz w:val="18"/>
                <w:szCs w:val="18"/>
                <w:color w:val="auto"/>
              </w:rPr>
            </w:pPr>
          </w:p>
        </w:tc>
      </w:tr>
      <w:tr>
        <w:trPr>
          <w:trHeight w:val="250"/>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53,501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c>
          <w:tcPr>
            <w:tcW w:w="560" w:type="dxa"/>
            <w:vAlign w:val="bottom"/>
          </w:tcPr>
          <w:p>
            <w:pPr>
              <w:spacing w:after="0"/>
              <w:rPr>
                <w:sz w:val="21"/>
                <w:szCs w:val="21"/>
                <w:color w:val="auto"/>
              </w:rPr>
            </w:pPr>
          </w:p>
        </w:tc>
      </w:tr>
      <w:tr>
        <w:trPr>
          <w:trHeight w:val="216"/>
        </w:trPr>
        <w:tc>
          <w:tcPr>
            <w:tcW w:w="3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$ 143,448</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$ 307,627</w:t>
            </w: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9"/>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four securities with fair values aggregating 97.8% of the aggregate amortized cost as of March 31, 2024. Relevant holdings were comprised of four securities with fair values aggregating 98.1% of aggregate amortized cost as of December 31, 2023. No credit losses have been recognized for the three month periods ended March 31, 2024 and 2023,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8"/>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334,878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335,336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252,489</w:t>
            </w: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52,954</w:t>
            </w:r>
          </w:p>
        </w:tc>
      </w:tr>
      <w:tr>
        <w:trPr>
          <w:trHeight w:val="229"/>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647,109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640,779</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-753745</wp:posOffset>
            </wp:positionV>
            <wp:extent cx="4989195"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-471170</wp:posOffset>
            </wp:positionV>
            <wp:extent cx="498919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160" w:space="720"/>
            <w:col w:w="6360"/>
          </w:cols>
          <w:pgMar w:left="320" w:top="661"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8" w:name="page59"/>
    <w:bookmarkEnd w:id="58"/>
    <w:p>
      <w:pPr>
        <w:jc w:val="center"/>
        <w:ind w:left="880" w:right="21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right="3180" w:firstLine="8"/>
        <w:spacing w:after="0" w:line="500"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Restricted assets as of March 31, 2024,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1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Credit 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76"/>
        </w:trPr>
        <w:tc>
          <w:tcPr>
            <w:tcW w:w="396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March 31, 2024:</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9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932,737</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(1,370)</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936,640</w:t>
            </w: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555,848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547,758</w:t>
            </w:r>
          </w:p>
        </w:tc>
      </w:tr>
      <w:tr>
        <w:trPr>
          <w:trHeight w:val="25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324,253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(4,055)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320,216</w:t>
            </w:r>
          </w:p>
        </w:tc>
      </w:tr>
      <w:tr>
        <w:trPr>
          <w:trHeight w:val="171"/>
        </w:trPr>
        <w:tc>
          <w:tcPr>
            <w:tcW w:w="3960" w:type="dxa"/>
            <w:vAlign w:val="bottom"/>
            <w:tcBorders>
              <w:top w:val="single" w:sz="8" w:color="CCEEFF"/>
            </w:tcBorders>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01"/>
        </w:trPr>
        <w:tc>
          <w:tcPr>
            <w:tcW w:w="3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1,812,838</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(13,527)</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1,804,614</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7,023,615</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1,506,405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(251,408)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8,278,612</w:t>
            </w:r>
          </w:p>
        </w:tc>
      </w:tr>
      <w:tr>
        <w:trPr>
          <w:trHeight w:val="230"/>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7,023,615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396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183,574</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54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2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10,598,384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20,878,561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Including cash and cash equivalents of $6,925,987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December 31, 2023:</w:t>
            </w:r>
          </w:p>
        </w:tc>
        <w:tc>
          <w:tcPr>
            <w:tcW w:w="3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4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932,737</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933,170</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648,533</w:t>
            </w:r>
          </w:p>
        </w:tc>
      </w:tr>
      <w:tr>
        <w:trPr>
          <w:trHeight w:val="250"/>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274,688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272,157</w:t>
            </w:r>
          </w:p>
        </w:tc>
      </w:tr>
      <w:tr>
        <w:trPr>
          <w:trHeight w:val="256"/>
        </w:trPr>
        <w:tc>
          <w:tcPr>
            <w:tcW w:w="462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1,860,195</w:t>
            </w: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1,853,860</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6,516,044</w:t>
            </w: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1,117,155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(247,996)</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7,385,203</w:t>
            </w:r>
          </w:p>
        </w:tc>
      </w:tr>
      <w:tr>
        <w:trPr>
          <w:trHeight w:val="230"/>
        </w:trPr>
        <w:tc>
          <w:tcPr>
            <w:tcW w:w="462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6"/>
        </w:trPr>
        <w:tc>
          <w:tcPr>
            <w:tcW w:w="462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675,219</w:t>
            </w: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10,114,694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20,028,976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1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ectPr>
          <w:pgSz w:w="11900" w:h="16838" w:orient="portrait"/>
          <w:cols w:equalWidth="0" w:num="1">
            <w:col w:w="10680"/>
          </w:cols>
          <w:pgMar w:left="320" w:top="661" w:right="899"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(1) Including cash and cash equivalents of $6,930,930 for the life insurance and mortgage segments.</w:t>
      </w:r>
    </w:p>
    <w:p>
      <w:pPr>
        <w:sectPr>
          <w:pgSz w:w="11900" w:h="16838" w:orient="portrait"/>
          <w:cols w:equalWidth="0" w:num="1">
            <w:col w:w="10079"/>
          </w:cols>
          <w:pgMar w:left="380" w:top="121" w:right="1440" w:bottom="1440" w:gutter="0" w:footer="0" w:header="0"/>
        </w:sectPr>
      </w:pPr>
    </w:p>
    <w:p>
      <w:pPr>
        <w:spacing w:after="0" w:line="3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type w:val="continuous"/>
        </w:sectPr>
      </w:pPr>
    </w:p>
    <w:bookmarkStart w:id="60" w:name="page61"/>
    <w:bookmarkEnd w:id="6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right="3740" w:firstLine="8"/>
        <w:spacing w:after="0" w:line="500"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March 31, 2024 and December 31, 2023. The tables set forth unrealized losses by duration with the fair value of the related fixed maturity securities.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Less than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Twelve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Twelve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Months</w:t>
            </w:r>
          </w:p>
        </w:tc>
        <w:tc>
          <w:tcPr>
            <w:tcW w:w="1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4"/>
              </w:rPr>
              <w:t>Fair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96"/>
        </w:trPr>
        <w:tc>
          <w:tcPr>
            <w:tcW w:w="11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March 31, 2024</w:t>
            </w:r>
          </w:p>
        </w:tc>
        <w:tc>
          <w:tcPr>
            <w:tcW w:w="28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$ 249,507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249,507</w:t>
            </w: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4,206</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522,745</w:t>
            </w:r>
          </w:p>
        </w:tc>
      </w:tr>
      <w:tr>
        <w:trPr>
          <w:trHeight w:val="237"/>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75,757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219,442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295,199</w:t>
            </w:r>
          </w:p>
        </w:tc>
      </w:tr>
      <w:tr>
        <w:trPr>
          <w:trHeight w:val="229"/>
        </w:trPr>
        <w:tc>
          <w:tcPr>
            <w:tcW w:w="3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$ 660,364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1,067,451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$ 249,877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249,877</w:t>
            </w: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451,985</w:t>
            </w:r>
          </w:p>
        </w:tc>
      </w:tr>
      <w:tr>
        <w:trPr>
          <w:trHeight w:val="237"/>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221,334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221,334</w:t>
            </w:r>
          </w:p>
        </w:tc>
      </w:tr>
      <w:tr>
        <w:trPr>
          <w:trHeight w:val="230"/>
        </w:trPr>
        <w:tc>
          <w:tcPr>
            <w:tcW w:w="3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$ 249,877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15 securities with fair values aggregating 98.7% of the aggregate amortized cost as of March 31, 2024. Relevant holdings were comprised of 12 securities with fair values aggregating 99.1% of the aggregate amortized cost as of December 31, 2023. No credit losses have been recognized for the three month periods ended March 31, 2024 and 2023, since the increase in unrealized losses is primarily a result of increases in interest.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March 31,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8"/>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681,860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687,133</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455,800</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101,308</w:t>
            </w:r>
          </w:p>
        </w:tc>
      </w:tr>
      <w:tr>
        <w:trPr>
          <w:trHeight w:val="24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567,464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560,373</w:t>
            </w:r>
          </w:p>
        </w:tc>
      </w:tr>
      <w:tr>
        <w:trPr>
          <w:trHeight w:val="230"/>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1,804,614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-753745</wp:posOffset>
            </wp:positionV>
            <wp:extent cx="498919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-471170</wp:posOffset>
            </wp:positionV>
            <wp:extent cx="49891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1" w:name="page62"/>
    <w:bookmarkEnd w:id="61"/>
    <w:p>
      <w:pPr>
        <w:jc w:val="center"/>
        <w:ind w:left="2580" w:right="4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March 31, 2024 (Unaudited)</w:t>
      </w:r>
    </w:p>
    <w:p>
      <w:pPr>
        <w:spacing w:after="0" w:line="176"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56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(1,035,099)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5,436,929</w:t>
            </w:r>
          </w:p>
        </w:tc>
        <w:tc>
          <w:tcPr>
            <w:tcW w:w="60" w:type="dxa"/>
            <w:vAlign w:val="bottom"/>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00" w:type="dxa"/>
            <w:vAlign w:val="bottom"/>
          </w:tcPr>
          <w:p>
            <w:pPr>
              <w:spacing w:after="0"/>
              <w:rPr>
                <w:sz w:val="20"/>
                <w:szCs w:val="20"/>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(96,551)</w:t>
            </w:r>
          </w:p>
        </w:tc>
        <w:tc>
          <w:tcPr>
            <w:tcW w:w="3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(218,900)</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(1,131,650)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238,552</w:t>
            </w:r>
          </w:p>
        </w:tc>
        <w:tc>
          <w:tcPr>
            <w:tcW w:w="3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(1,095,787)</w:t>
            </w: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(893,098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4,122,242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3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(1,029)</w:t>
            </w:r>
          </w:p>
        </w:tc>
      </w:tr>
      <w:tr>
        <w:trPr>
          <w:trHeight w:val="210"/>
        </w:trPr>
        <w:tc>
          <w:tcPr>
            <w:tcW w:w="5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3,104</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r>
      <w:tr>
        <w:trPr>
          <w:trHeight w:val="23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(895,098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4,127,558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Beginning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Ending</w:t>
            </w: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5140" w:type="dxa"/>
            <w:vAlign w:val="bottom"/>
          </w:tcPr>
          <w:p>
            <w:pPr>
              <w:spacing w:after="0"/>
              <w:rPr>
                <w:sz w:val="18"/>
                <w:szCs w:val="18"/>
                <w:color w:val="auto"/>
              </w:rPr>
            </w:pPr>
          </w:p>
        </w:tc>
        <w:tc>
          <w:tcPr>
            <w:tcW w:w="13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color w:val="auto"/>
                <w:w w:val="98"/>
              </w:rPr>
              <w:t>December 31,</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41"/>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fixed maturity securities available for sale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(6,876,629)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(893,098)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(7,769,727)</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restricted assets (1)</w:t>
            </w:r>
          </w:p>
        </w:tc>
        <w:tc>
          <w:tcPr>
            <w:tcW w:w="12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(4,757)</w:t>
            </w:r>
          </w:p>
        </w:tc>
        <w:tc>
          <w:tcPr>
            <w:tcW w:w="20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(6,176)</w:t>
            </w: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 on cemetery perpetual care trust investments (1)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(4,172)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(4,753)</w:t>
            </w:r>
          </w:p>
        </w:tc>
      </w:tr>
      <w:tr>
        <w:trPr>
          <w:trHeight w:val="217"/>
        </w:trPr>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(895,098</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Beginning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Ending</w:t>
            </w:r>
          </w:p>
        </w:tc>
      </w:t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5140" w:type="dxa"/>
            <w:vAlign w:val="bottom"/>
          </w:tcPr>
          <w:p>
            <w:pPr>
              <w:spacing w:after="0"/>
              <w:rPr>
                <w:sz w:val="18"/>
                <w:szCs w:val="18"/>
                <w:color w:val="auto"/>
              </w:rPr>
            </w:pPr>
          </w:p>
        </w:tc>
        <w:tc>
          <w:tcPr>
            <w:tcW w:w="134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color w:val="auto"/>
                <w:w w:val="98"/>
              </w:rPr>
              <w:t>December 31,</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for the</w:t>
            </w:r>
          </w:p>
        </w:tc>
        <w:tc>
          <w:tcPr>
            <w:tcW w:w="20" w:type="dxa"/>
            <w:vAlign w:val="bottom"/>
          </w:tcPr>
          <w:p>
            <w:pPr>
              <w:spacing w:after="0"/>
              <w:rPr>
                <w:sz w:val="18"/>
                <w:szCs w:val="18"/>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51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(13,050,767)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6,174,138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(6,876,629)</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2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(13,148)</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(4,757)</w:t>
            </w: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8"/>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care trust investments (1)</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(6,362)</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(4,172)</w:t>
            </w:r>
          </w:p>
        </w:tc>
      </w:tr>
      <w:tr>
        <w:trPr>
          <w:trHeight w:val="217"/>
        </w:trPr>
        <w:tc>
          <w:tcPr>
            <w:tcW w:w="5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(13,070,277</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month periods ended March 31,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8"/>
          </w:tcPr>
          <w:p>
            <w:pPr>
              <w:jc w:val="center"/>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1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27,968</w:t>
            </w:r>
          </w:p>
        </w:tc>
        <w:tc>
          <w:tcPr>
            <w:tcW w:w="10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fee income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18,612</w:t>
            </w: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16,755</w:t>
            </w:r>
          </w:p>
        </w:tc>
        <w:tc>
          <w:tcPr>
            <w:tcW w:w="10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7"/>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9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6"/>
        </w:trPr>
        <w:tc>
          <w:tcPr>
            <w:tcW w:w="380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1,380</w:t>
            </w:r>
          </w:p>
        </w:tc>
        <w:tc>
          <w:tcPr>
            <w:tcW w:w="2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1,510</w:t>
            </w:r>
          </w:p>
        </w:tc>
        <w:tc>
          <w:tcPr>
            <w:tcW w:w="2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8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8,530</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3,684</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for the three month period ended March 31, 2024 increased due to (a) a $1,884,000 increase in insurance premiums and other considerations,</w:t>
      </w:r>
    </w:p>
    <w:p>
      <w:pPr>
        <w:spacing w:after="0" w:line="27" w:lineRule="exact"/>
        <w:rPr>
          <w:sz w:val="20"/>
          <w:szCs w:val="20"/>
          <w:color w:val="auto"/>
        </w:rPr>
      </w:pPr>
    </w:p>
    <w:p>
      <w:pPr>
        <w:jc w:val="both"/>
        <w:ind w:firstLine="8"/>
        <w:spacing w:after="0" w:line="250"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$1,857,000 increase in net investment income, (c) a $1,031,000 increase in gains on investments and other assets, (d) a $882,000 decrease in death, surrenders and other policy benefits, (e) a $481,000 decrease in selling, general and administrative expenses, (f) a $254,000 decrease in amortization of deferred policy acquisition costs, and (g) a $119,000 decrease in interest expense, which were partially offset by (i) a $1,291,000 increase in future policy benefits, (ii) a $173,000 decrease in other revenues, (iii) a $130,000 decrease in intersegment revenue, (iv) a $44,000 decrease in mortgage fee income, and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$24,000 increase in intersegment interest expense and other expenses.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month periods ended March 31,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10"/>
          </w:tcPr>
          <w:p>
            <w:pPr>
              <w:jc w:val="center"/>
              <w:ind w:right="4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left="71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3,414</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3,053</w:t>
            </w: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three month period ended March 31, 2024 increased due to (a) a $528,000 increase in gains on investments and other assets, (b) a $483,000 increase in net investment income, (c) a $221,000 increase in cemetery pre-need sales, (d) a $139,000 increase in mortuary at-need sales, (e) a $117,000 increase in cemetery at-need sales, and (f) a $101,000 increase in other revenues, a (g) a $5,000 decrease in intersegment interest expense and other expenses, and (h) a $1,000 increase in intersegment revenues, which were partially offset by (i) a $124,000 increase in selling, general and administrative expenses, (ii) a $114,000 increase in amortization of deferred policy acquisition costs, and (iii) an $88,000 increase in cost of goods and services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 mortgages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0.19%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increase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 periods ended March 31, 2024 and 2023, SecurityNational Mortgage originated 1,486 loans ($465,605,000 total volume) and 1,702 loans ($531,868,000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month periods ended March 31,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 Increase</w:t>
            </w: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9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14,731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6,840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investments and other assets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w:t>
            </w:r>
          </w:p>
        </w:tc>
        <w:tc>
          <w:tcPr>
            <w:tcW w:w="28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w:t>
            </w: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three month period ended March 31, 2024 increased due to (a) a $2,755,000 decrease in personnel expenses, (b) a $1,303,000 decrease in other expenses, (c) a $896,000 decrease in commissions, (d) a $393,000 decrease in costs related to funding mortgage loans, (e) a $382,000 decrease in rent and rent related expenses, (f) a $307,000 decrease in interest expense, (g) a $285,000 increase in income from loan originations, (h) a $176,000 decrease in advertising expenses, (i) a $125,000 decrease in intersegment interest expense and other expenses, (j) a $23,000 increase in intersegment revenues, and (k) a $17,000 decrease in depreciation on property and equipment, which were partially offset by (i) a $3,186,000 decrease in secondary gains from investors, (ii) a $1,096,000 decrease in the fair value of loans held for sale, (iii) a $175,000 decrease in other revenues, (iv) a $168,000 decrease in net investment income, and (v) a $116,000 decrease in the fair value of loan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 period ended March 31, 2024, Compared to Three month period ended March 31,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$1,687,000, or 2.1%, to $81,188,000 for the three month period ended March 31, 2024, from $79,501,000 for the comparable period in 2023. Contributing to this increase in total revenues was a $2,172,000 increase in net investment income, a $1,885,000 increase in insurance premiums and other considerations, a $1,558,000 increase in gains on investments and other assets, and a $477,000 increase in net mortuary and cemetery sales, which were partially offset by a $247,000 decrease in other revenues and a $4,157,000 decrease in mortgage fee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fee income decreased by $4,157,000, or 16.0%, to $21,832,000, for the three month period ended March 31, 2024, from $25,989,000 for the comparable period in 2023. This decrease was primarily due to a $3,230,000 decrease in secondary gains from mortgage loans sold to third-party investors into the secondary market due to the decline in origination activity because of increasing interest rates, a $1,096,000 decrease in the fair value of loans held for sale, and a $116,000 decrease in the fair value of loan commitments, which was partially offset by a $285,000 increase in loan fees and interest income net of a decrease in the provision for loan loss reserve.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$1,885,000, or 6.7%, to $29,852,000 for the three month period ended March 31, 2024, from $27,967,000 for the comparable period in 2023. This increase was primarily due to an increase of $1,645,000 in first year premiums and an increase of $240,000 in renewal premiums.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$2,172,000, or 12.2%, to $19,947,000 for the three month period ended March 31, 2024, from $17,775,000 for the comparable period in 2023. This increase was primarily attributable to a $903,000 increase in interest on cash and cash equivalents, $391,000 increase in fixed maturity securities income, a $326,000 increase in mortgage loan interest, a $308,000 increase in insurance assignment income, a $150,000 increase in real estate income, a $101,000 increase in policy loan interest, a $70,000 increase in other investment income, and a $28,000 increase in equity securities income, which were partially offset by a $105,000 increase in investment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$477,000, or 7.4%, to $6,948,000 for the three month period ended March 31, 2024, from $6,471,000 for the comparable period in 2023. This increase was primarily due to a $221,000 increase in cemetery pre-need sales, a $139,000 increase in mortuary at-need sales, and a $117,000 increase in cemetery at-need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on investments and other assets increased by $1,558,000, or 1401.9%, to $1,669,000 for the three month period ended March 31, 2024, from $111,000 for the comparable period in 2023. This increase in gains on investments and other assets was primarily due to a $1,203,000 increase in gains on equity securities mostly attributable to increases in the fair value of these equity securities, a $250,000 increase in gains on real estate, and a $122,000 increase in gains on fixed maturity securities, which were partially offset by a $17,000 decrease in gains on other assets mostly attributable to the Company discontinuing its use of call and put option derivatives in the first quarter of 2023.</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revenues decreased by $247,000, or 20.8%, to $940,000 for the three month period ended March 31, 2024, from $1,187,000 for the comparable period in 2023. This decrease was primarily attributable to a decrease of $180,000 in servicing fee revenue due to a decrease in the retention of mortgage servicing rights.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benefits and expenses were $71,569,000, or 88.2% of total revenues, for the three month period ended March 31, 2024, as compared to $77,916,000, or 98.0% of total revenues, for the comparable period in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increased by an aggregate of $409,000 or 1.6%, to $26,275,000 for the three month period ended March 31, 2024, from $25,866,000 for the comparable period in 2023. This increase was primarily the result of a $1,291,000 increase in future policy benefits and an $83,000 increase in surrender and other policy benefits, which were partially offset by a $965,000 decrease in death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decreased by $140,000, or 2.9%, to $4,744,000 for the three month period ended March 31, 2024, from $4,884,000 for the comparable period in 2023. This decrease was primarily due to increased payment consistency from premium-paying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$6,279,000, or 14.1%, to $38,248,000 for the three month period ended March 31, 2024, from $44,527,000 for the comparable period in 2023. This decrease was primarily the result of a $2,107,000 decrease in personnel expenses, a $1,692,000 decrease in commissions, a $1,495,000 decrease in other expenses, a $393,000 decrease in costs related to funding mortgage loans, a $376,000 decrease in rent and rent related expenses, and a $216,000 decrease in advertising expense.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$426,000, or 29.3%, to $1,027,000 for the three month period ended March 31, 2024, from $1,453,000 for the comparable period in 2023. This decrease was primarily due to a decrease of $307,000 in interest expense on mortgage warehouse lines of credit for loans held for sale and a decrease of $119,000 in interest expense on bank loans.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March 31, 2024, the Company’s subsidiary SecurityNational Mortgage was not in compliance with the net income covenants under its Warehouse Lines of Credit and has received or is in the process of receiving waivers from the warehouse banks. In the unlikely event SecurityNational Mortgage is required to repay the outstanding advances of approximately $6,963,000 on the Warehouse Line of Credit that has not provided a covenant waiver, SecurityNational Mortgage has sufficient cash and borrowing capacity on the Warehouse Lines of Credit that have provided covenant waivers to fund its origination activities. The Company has done an internal analysis of the funding capacities of both internal and external sources and has determined that there are sufficient funds to continue its business model. The Company continues to negotiate other warehouse lines of credit with other lenders.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 periods ended March 31, 2024 and 2023, the Company’s operations provided cash of approximately $25,077,000 and used cash of approximately $16,074,000, respectively. The increase in cash provided by operations was due primarily to increased proceeds from the sale of mortgage loans held for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$360,314,000 (at estimated fair value) and $362,663,000 (at estimated fair value) as of March 31, 2024 and December 31, 2023, respectively. This represented 38.5% and 38.7% of the total investments of the Company as of March 31, 2024 and December 31, 2023, respectively. Generally, all bonds owned by the life insurance subsidiaries are rated by the National Association of Insurance Commissioners. Under this rating system, there are six categories used for rating bonds. As of March 31, 2024, 1.9% (or $7,042,000) and as of December 31, 2023, 1.8% (or $6,954,000) of the Company’s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March 31, 2024 and December 31, 2023,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$424,439,000 as of March 31, 2024, as compared to $418,450,000 as of December 31, 2023. This increase was primarily due to an increase of $7,209,000 in stockholders’ equity as partially offset by a decrease of $1,220,000 in bank loans and other loans payable. Stockholders’ equity as a percent of total capitalization was 75.4% and 74.8% as of March 31, 2024 and December 31, 2023,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2023 was 4.4% as compared to a lapse rate of 4.3% for 2022. The 2024 lapse rate to date has been approximately the same as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$110,239,000 and $107,385,000 as of March 31, 2024, and December 31, 2023,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2024,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2024,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2024 the Company executed a 10b5-1 agreement with a broker to repurchase shares of the Company’s Class A Common Stock. Under the terms of the agreement, the broker is permitted to repurchase up to $1,000,000 of the Company’s Class A Common Stock, with purchases to commence no sooner than May 15, 2024. The agreement is subject to the daily time, price and volume conditions of Rule 10b-18. The agreement expires on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 month period ended March 31, 2024 under the 10b5-1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 Number</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 Approximate Dollar</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Value) of Class A</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 that May Yet Be</w:t>
            </w:r>
          </w:p>
        </w:tc>
      </w:tr>
      <w:tr>
        <w:trPr>
          <w:trHeight w:val="216"/>
        </w:trPr>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 Total Number of Class</w:t>
            </w:r>
          </w:p>
        </w:tc>
        <w:tc>
          <w:tcPr>
            <w:tcW w:w="24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Average Price Paid per</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Publicly Announced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41"/>
        </w:trPr>
        <w:tc>
          <w:tcPr>
            <w:tcW w:w="23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Period</w:t>
            </w: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 Shares Purchased</w:t>
            </w:r>
          </w:p>
        </w:tc>
        <w:tc>
          <w:tcPr>
            <w:tcW w:w="240" w:type="dxa"/>
            <w:vAlign w:val="bottom"/>
          </w:tcPr>
          <w:p>
            <w:pPr>
              <w:spacing w:after="0"/>
              <w:rPr>
                <w:sz w:val="20"/>
                <w:szCs w:val="20"/>
                <w:color w:val="auto"/>
              </w:rPr>
            </w:pPr>
          </w:p>
        </w:tc>
        <w:tc>
          <w:tcPr>
            <w:tcW w:w="1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Share (1)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Plan or Program</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Plan or Program (2)</w:t>
            </w:r>
          </w:p>
        </w:tc>
      </w:tr>
      <w:tr>
        <w:trPr>
          <w:trHeight w:val="216"/>
        </w:trPr>
        <w:tc>
          <w:tcPr>
            <w:tcW w:w="19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1/1/2024-1/31/2024</w:t>
            </w:r>
          </w:p>
        </w:tc>
        <w:tc>
          <w:tcPr>
            <w:tcW w:w="4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2/1/2024-2/29/2024</w:t>
            </w:r>
          </w:p>
        </w:tc>
        <w:tc>
          <w:tcPr>
            <w:tcW w:w="460" w:type="dxa"/>
            <w:vAlign w:val="bottom"/>
          </w:tcPr>
          <w:p>
            <w:pPr>
              <w:spacing w:after="0"/>
              <w:rPr>
                <w:sz w:val="18"/>
                <w:szCs w:val="18"/>
                <w:color w:val="auto"/>
              </w:rPr>
            </w:pPr>
          </w:p>
        </w:tc>
        <w:tc>
          <w:tcPr>
            <w:tcW w:w="2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318,043</w:t>
            </w:r>
          </w:p>
        </w:tc>
      </w:tr>
      <w:tr>
        <w:trPr>
          <w:trHeight w:val="237"/>
        </w:trPr>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3/1/2024-3/31/2024</w:t>
            </w:r>
          </w:p>
        </w:tc>
        <w:tc>
          <w:tcPr>
            <w:tcW w:w="46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318,043</w:t>
            </w:r>
          </w:p>
        </w:tc>
      </w:tr>
      <w:tr>
        <w:trPr>
          <w:trHeight w:val="216"/>
        </w:trPr>
        <w:tc>
          <w:tcPr>
            <w:tcW w:w="19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318,043</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660" w:type="dxa"/>
            <w:vAlign w:val="bottom"/>
            <w:gridSpan w:val="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Amended and Restated Articles of Incorporation (1)</w:t>
              </w:r>
            </w:hyperlink>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7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Amended and Restated Bylaws (2)</w:t>
              </w:r>
            </w:hyperlink>
          </w:p>
        </w:tc>
        <w:tc>
          <w:tcPr>
            <w:tcW w:w="4920" w:type="dxa"/>
            <w:vAlign w:val="bottom"/>
            <w:gridSpan w:val="2"/>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0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enacted by Section 302 of the Sarbanes-Oxley Act of 2002</w:t>
            </w:r>
          </w:p>
        </w:tc>
        <w:tc>
          <w:tcPr>
            <w:tcW w:w="64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w:t>
            </w:r>
          </w:p>
        </w:tc>
        <w:tc>
          <w:tcPr>
            <w:tcW w:w="666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REGISTRANT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Scott M. Quist</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Garrett S. Sill</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SNMC-SC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SNA-DM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SN-TLV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Paradise Sunset Chapel Funeral Home,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Greer-Wilson Funeral Home,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Mapleton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73" w:name="page74"/>
    <w:bookmarkEnd w:id="7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694"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40"/>
        <w:spacing w:after="0" w:line="266" w:lineRule="auto"/>
        <w:tabs>
          <w:tab w:leader="none" w:pos="72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440"/>
        <w:spacing w:after="0" w:line="282" w:lineRule="auto"/>
        <w:tabs>
          <w:tab w:leader="none" w:pos="721"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40"/>
        <w:spacing w:after="0" w:line="266" w:lineRule="auto"/>
        <w:tabs>
          <w:tab w:leader="none" w:pos="702"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Garrett S. Sill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2024,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8"/>
          <w:szCs w:val="18"/>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March 31, 2024,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14, 2024</w:t>
      </w:r>
      <w:r>
        <w:rPr>
          <w:sz w:val="20"/>
          <w:szCs w:val="20"/>
          <w:color w:val="auto"/>
        </w:rPr>
        <w:tab/>
      </w:r>
      <w:r>
        <w:rPr>
          <w:rFonts w:ascii="Times New Roman" w:cs="Times New Roman" w:eastAsia="Times New Roman" w:hAnsi="Times New Roman"/>
          <w:sz w:val="17"/>
          <w:szCs w:val="17"/>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3"/>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3"/>
    </w:lvl>
  </w:abstractNum>
  <w:abstractNum w:abstractNumId="10">
    <w:nsid w:val="38437FDB"/>
    <w:multiLevelType w:val="hybridMultilevel"/>
    <w:lvl w:ilvl="0">
      <w:lvlJc w:val="left"/>
      <w:lvlText w:val="%1)"/>
      <w:numFmt w:val="decimal"/>
      <w:start w:val="3"/>
    </w:lvl>
  </w:abstractNum>
  <w:abstractNum w:abstractNumId="11">
    <w:nsid w:val="7644A45C"/>
    <w:multiLevelType w:val="hybridMultilevel"/>
    <w:lvl w:ilvl="0">
      <w:lvlJc w:val="left"/>
      <w:lvlText w:val="%1)"/>
      <w:numFmt w:val="decimal"/>
      <w:start w:val="3"/>
    </w:lvl>
  </w:abstractNum>
  <w:abstractNum w:abstractNumId="12">
    <w:nsid w:val="32FFF902"/>
    <w:multiLevelType w:val="hybridMultilevel"/>
    <w:lvl w:ilvl="0">
      <w:lvlJc w:val="left"/>
      <w:lvlText w:val="%1)"/>
      <w:numFmt w:val="decimal"/>
      <w:start w:val="3"/>
    </w:lvl>
  </w:abstractNum>
  <w:abstractNum w:abstractNumId="13">
    <w:nsid w:val="684A481A"/>
    <w:multiLevelType w:val="hybridMultilevel"/>
    <w:lvl w:ilvl="0">
      <w:lvlJc w:val="left"/>
      <w:lvlText w:val="%1)"/>
      <w:numFmt w:val="decimal"/>
      <w:start w:val="3"/>
    </w:lvl>
  </w:abstractNum>
  <w:abstractNum w:abstractNumId="14">
    <w:nsid w:val="579478FE"/>
    <w:multiLevelType w:val="hybridMultilevel"/>
    <w:lvl w:ilvl="0">
      <w:lvlJc w:val="left"/>
      <w:lvlText w:val="%1)"/>
      <w:numFmt w:val="decimal"/>
      <w:start w:val="3"/>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3"/>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3"/>
    </w:lvl>
  </w:abstractNum>
  <w:abstractNum w:abstractNumId="19">
    <w:nsid w:val="75C6C33A"/>
    <w:multiLevelType w:val="hybridMultilevel"/>
    <w:lvl w:ilvl="0">
      <w:lvlJc w:val="left"/>
      <w:lvlText w:val="%1)"/>
      <w:numFmt w:val="decimal"/>
      <w:start w:val="3"/>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3"/>
    </w:lvl>
  </w:abstractNum>
  <w:abstractNum w:abstractNumId="24">
    <w:nsid w:val="4F4EF005"/>
    <w:multiLevelType w:val="hybridMultilevel"/>
    <w:lvl w:ilvl="0">
      <w:lvlJc w:val="left"/>
      <w:lvlText w:val="%1)"/>
      <w:numFmt w:val="decimal"/>
      <w:start w:val="3"/>
    </w:lvl>
  </w:abstractNum>
  <w:abstractNum w:abstractNumId="25">
    <w:nsid w:val="23F9C13C"/>
    <w:multiLevelType w:val="hybridMultilevel"/>
    <w:lvl w:ilvl="0">
      <w:lvlJc w:val="left"/>
      <w:lvlText w:val="%1)"/>
      <w:numFmt w:val="decimal"/>
      <w:start w:val="3"/>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3"/>
    </w:lvl>
  </w:abstractNum>
  <w:abstractNum w:abstractNumId="33">
    <w:nsid w:val="354FE9F9"/>
    <w:multiLevelType w:val="hybridMultilevel"/>
    <w:lvl w:ilvl="0">
      <w:lvlJc w:val="left"/>
      <w:lvlText w:val="%1)"/>
      <w:numFmt w:val="decimal"/>
      <w:start w:val="4"/>
    </w:lvl>
  </w:abstractNum>
  <w:abstractNum w:abstractNumId="34">
    <w:nsid w:val="15B5AF5C"/>
    <w:multiLevelType w:val="hybridMultilevel"/>
    <w:lvl w:ilvl="0">
      <w:lvlJc w:val="left"/>
      <w:lvlText w:val="%1)"/>
      <w:numFmt w:val="decimal"/>
      <w:start w:val="5"/>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5"/>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5"/>
    </w:lvl>
  </w:abstractNum>
  <w:abstractNum w:abstractNumId="41">
    <w:nsid w:val="77AE35EB"/>
    <w:multiLevelType w:val="hybridMultilevel"/>
    <w:lvl w:ilvl="0">
      <w:lvlJc w:val="left"/>
      <w:lvlText w:val="%1)"/>
      <w:numFmt w:val="decimal"/>
      <w:start w:val="6"/>
    </w:lvl>
  </w:abstractNum>
  <w:abstractNum w:abstractNumId="42">
    <w:nsid w:val="579BE4F1"/>
    <w:multiLevelType w:val="hybridMultilevel"/>
    <w:lvl w:ilvl="0">
      <w:lvlJc w:val="left"/>
      <w:lvlText w:val="%1)"/>
      <w:numFmt w:val="decimal"/>
      <w:start w:val="7"/>
    </w:lvl>
  </w:abstractNum>
  <w:abstractNum w:abstractNumId="43">
    <w:nsid w:val="310C50B3"/>
    <w:multiLevelType w:val="hybridMultilevel"/>
    <w:lvl w:ilvl="0">
      <w:lvlJc w:val="left"/>
      <w:lvlText w:val="%1)"/>
      <w:numFmt w:val="decimal"/>
      <w:start w:val="8"/>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decimal"/>
      <w:start w:val="8"/>
    </w:lvl>
  </w:abstractNum>
  <w:abstractNum w:abstractNumId="46">
    <w:nsid w:val="25A70BF7"/>
    <w:multiLevelType w:val="hybridMultilevel"/>
    <w:lvl w:ilvl="0">
      <w:lvlJc w:val="left"/>
      <w:lvlText w:val="%1)"/>
      <w:numFmt w:val="decimal"/>
      <w:start w:val="8"/>
    </w:lvl>
  </w:abstractNum>
  <w:abstractNum w:abstractNumId="47">
    <w:nsid w:val="1DBABF00"/>
    <w:multiLevelType w:val="hybridMultilevel"/>
    <w:lvl w:ilvl="0">
      <w:lvlJc w:val="left"/>
      <w:lvlText w:val="%1)"/>
      <w:numFmt w:val="decimal"/>
      <w:start w:val="8"/>
    </w:lvl>
  </w:abstractNum>
  <w:abstractNum w:abstractNumId="48">
    <w:nsid w:val="4AD084E9"/>
    <w:multiLevelType w:val="hybridMultilevel"/>
    <w:lvl w:ilvl="0">
      <w:lvlJc w:val="left"/>
      <w:lvlText w:val="%1)"/>
      <w:numFmt w:val="decimal"/>
      <w:start w:val="8"/>
    </w:lvl>
  </w:abstractNum>
  <w:abstractNum w:abstractNumId="49">
    <w:nsid w:val="1F48EAA1"/>
    <w:multiLevelType w:val="hybridMultilevel"/>
    <w:lvl w:ilvl="0">
      <w:lvlJc w:val="left"/>
      <w:lvlText w:val="%1)"/>
      <w:numFmt w:val="decimal"/>
      <w:start w:val="8"/>
    </w:lvl>
  </w:abstractNum>
  <w:abstractNum w:abstractNumId="50">
    <w:nsid w:val="1381823A"/>
    <w:multiLevelType w:val="hybridMultilevel"/>
    <w:lvl w:ilvl="0">
      <w:lvlJc w:val="left"/>
      <w:lvlText w:val="%1)"/>
      <w:numFmt w:val="decimal"/>
      <w:start w:val="8"/>
    </w:lvl>
  </w:abstractNum>
  <w:abstractNum w:abstractNumId="51">
    <w:nsid w:val="5DB70AE5"/>
    <w:multiLevelType w:val="hybridMultilevel"/>
    <w:lvl w:ilvl="0">
      <w:lvlJc w:val="left"/>
      <w:lvlText w:val="%1)"/>
      <w:numFmt w:val="decimal"/>
      <w:start w:val="8"/>
    </w:lvl>
  </w:abstractNum>
  <w:abstractNum w:abstractNumId="52">
    <w:nsid w:val="100F8FCA"/>
    <w:multiLevelType w:val="hybridMultilevel"/>
    <w:lvl w:ilvl="0">
      <w:lvlJc w:val="left"/>
      <w:lvlText w:val="%1)"/>
      <w:numFmt w:val="decimal"/>
      <w:start w:val="8"/>
    </w:lvl>
  </w:abstractNum>
  <w:abstractNum w:abstractNumId="53">
    <w:nsid w:val="6590700B"/>
    <w:multiLevelType w:val="hybridMultilevel"/>
    <w:lvl w:ilvl="0">
      <w:lvlJc w:val="left"/>
      <w:lvlText w:val="%1)"/>
      <w:numFmt w:val="decimal"/>
      <w:start w:val="9"/>
    </w:lvl>
  </w:abstractNum>
  <w:abstractNum w:abstractNumId="54">
    <w:nsid w:val="15014ACB"/>
    <w:multiLevelType w:val="hybridMultilevel"/>
    <w:lvl w:ilvl="0">
      <w:lvlJc w:val="left"/>
      <w:lvlText w:val="%1)"/>
      <w:numFmt w:val="decimal"/>
      <w:start w:val="9"/>
    </w:lvl>
  </w:abstractNum>
  <w:abstractNum w:abstractNumId="55">
    <w:nsid w:val="5F5E7FD0"/>
    <w:multiLevelType w:val="hybridMultilevel"/>
    <w:lvl w:ilvl="0">
      <w:lvlJc w:val="left"/>
      <w:lvlText w:val="%1)"/>
      <w:numFmt w:val="decimal"/>
      <w:start w:val="10"/>
    </w:lvl>
  </w:abstractNum>
  <w:abstractNum w:abstractNumId="56">
    <w:nsid w:val="98A3148"/>
    <w:multiLevelType w:val="hybridMultilevel"/>
    <w:lvl w:ilvl="0">
      <w:lvlJc w:val="left"/>
      <w:lvlText w:val="%1)"/>
      <w:numFmt w:val="decimal"/>
      <w:start w:val="10"/>
    </w:lvl>
  </w:abstractNum>
  <w:abstractNum w:abstractNumId="57">
    <w:nsid w:val="799D0247"/>
    <w:multiLevelType w:val="hybridMultilevel"/>
    <w:lvl w:ilvl="0">
      <w:lvlJc w:val="left"/>
      <w:lvlText w:val="%1)"/>
      <w:numFmt w:val="decimal"/>
      <w:start w:val="1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1"/>
    </w:lvl>
  </w:abstractNum>
  <w:abstractNum w:abstractNumId="60">
    <w:nsid w:val="168E121F"/>
    <w:multiLevelType w:val="hybridMultilevel"/>
    <w:lvl w:ilvl="0">
      <w:lvlJc w:val="left"/>
      <w:lvlText w:val="%1)"/>
      <w:numFmt w:val="decimal"/>
      <w:start w:val="12"/>
    </w:lvl>
  </w:abstractNum>
  <w:abstractNum w:abstractNumId="61">
    <w:nsid w:val="1EBA5D23"/>
    <w:multiLevelType w:val="hybridMultilevel"/>
    <w:lvl w:ilvl="0">
      <w:lvlJc w:val="left"/>
      <w:lvlText w:val="%1)"/>
      <w:numFmt w:val="decimal"/>
      <w:start w:val="13"/>
    </w:lvl>
  </w:abstractNum>
  <w:abstractNum w:abstractNumId="62">
    <w:nsid w:val="661E3F1E"/>
    <w:multiLevelType w:val="hybridMultilevel"/>
    <w:lvl w:ilvl="0">
      <w:lvlJc w:val="left"/>
      <w:lvlText w:val="%1)"/>
      <w:numFmt w:val="decimal"/>
      <w:start w:val="13"/>
    </w:lvl>
  </w:abstractNum>
  <w:abstractNum w:abstractNumId="63">
    <w:nsid w:val="5DC79EA8"/>
    <w:multiLevelType w:val="hybridMultilevel"/>
    <w:lvl w:ilvl="0">
      <w:lvlJc w:val="left"/>
      <w:lvlText w:val="%1)"/>
      <w:numFmt w:val="decimal"/>
      <w:start w:val="13"/>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5"/>
    </w:lvl>
  </w:abstractNum>
  <w:abstractNum w:abstractNumId="71">
    <w:nsid w:val="A0382C5"/>
    <w:multiLevelType w:val="hybridMultilevel"/>
    <w:lvl w:ilvl="0">
      <w:lvlJc w:val="left"/>
      <w:lvlText w:val="%1)"/>
      <w:numFmt w:val="decimal"/>
      <w:start w:val="15"/>
    </w:lvl>
  </w:abstractNum>
  <w:abstractNum w:abstractNumId="72">
    <w:nsid w:val="8F2B15E"/>
    <w:multiLevelType w:val="hybridMultilevel"/>
    <w:lvl w:ilvl="0">
      <w:lvlJc w:val="left"/>
      <w:lvlText w:val="%1)"/>
      <w:numFmt w:val="decimal"/>
      <w:start w:val="15"/>
    </w:lvl>
  </w:abstractNum>
  <w:abstractNum w:abstractNumId="73">
    <w:nsid w:val="1A32234B"/>
    <w:multiLevelType w:val="hybridMultilevel"/>
    <w:lvl w:ilvl="0">
      <w:lvlJc w:val="left"/>
      <w:lvlText w:val="%1)"/>
      <w:numFmt w:val="decimal"/>
      <w:start w:val="15"/>
    </w:lvl>
  </w:abstractNum>
  <w:abstractNum w:abstractNumId="74">
    <w:nsid w:val="3B0FD379"/>
    <w:multiLevelType w:val="hybridMultilevel"/>
    <w:lvl w:ilvl="0">
      <w:lvlJc w:val="left"/>
      <w:lvlText w:val="%1)"/>
      <w:numFmt w:val="decimal"/>
      <w:start w:val="15"/>
    </w:lvl>
  </w:abstractNum>
  <w:abstractNum w:abstractNumId="75">
    <w:nsid w:val="68EB2F63"/>
    <w:multiLevelType w:val="hybridMultilevel"/>
    <w:lvl w:ilvl="0">
      <w:lvlJc w:val="left"/>
      <w:lvlText w:val="%1)"/>
      <w:numFmt w:val="decimal"/>
      <w:start w:val="16"/>
    </w:lvl>
  </w:abstractNum>
  <w:abstractNum w:abstractNumId="76">
    <w:nsid w:val="4962813B"/>
    <w:multiLevelType w:val="hybridMultilevel"/>
    <w:lvl w:ilvl="0">
      <w:lvlJc w:val="left"/>
      <w:lvlText w:val="(%1)"/>
      <w:numFmt w:val="lowerLetter"/>
      <w:start w:val="2"/>
    </w:lvl>
  </w:abstractNum>
  <w:abstractNum w:abstractNumId="77">
    <w:nsid w:val="60B6DF70"/>
    <w:multiLevelType w:val="hybridMultilevel"/>
    <w:lvl w:ilvl="0">
      <w:lvlJc w:val="left"/>
      <w:lvlText w:val="(%1)"/>
      <w:numFmt w:val="lowerLetter"/>
      <w:start w:val="22"/>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15" Type="http://schemas.openxmlformats.org/officeDocument/2006/relationships/hyperlink" Target="https://www.sec.gov/Archives/edgar/data/318673/000109690617000214/exh3_1.pdf" TargetMode="External"/><Relationship Id="rId116"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2024-05-14T10:08:10Z</dcterms:created>
  <dcterms:modified xsi:type="dcterms:W3CDTF">2024-05-14T10:08:10Z</dcterms:modified>
</cp:coreProperties>
</file>